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3F15" w:rsidRDefault="005F449A">
      <w:pPr>
        <w:pStyle w:val="Heading1"/>
        <w:ind w:left="2"/>
      </w:pPr>
      <w:bookmarkStart w:id="0" w:name="_GoBack"/>
      <w:bookmarkEnd w:id="0"/>
      <w:r>
        <w:t>Участники издания</w:t>
      </w:r>
    </w:p>
    <w:p w:rsidR="008E3F15" w:rsidRDefault="005F449A">
      <w:pPr>
        <w:spacing w:line="259" w:lineRule="auto"/>
        <w:ind w:right="0"/>
      </w:pPr>
      <w:r>
        <w:rPr>
          <w:i/>
        </w:rPr>
        <w:t>Рабочая группа по подготовке текста рекомендаций</w:t>
      </w:r>
    </w:p>
    <w:p w:rsidR="008E3F15" w:rsidRDefault="005F449A">
      <w:pPr>
        <w:ind w:left="2"/>
      </w:pPr>
      <w:r>
        <w:rPr>
          <w:i/>
        </w:rPr>
        <w:t xml:space="preserve">Белялов Фарид Исмагильевич </w:t>
      </w:r>
      <w:r>
        <w:t>— д-р мед. наук, проф. кафедры геронтологии, гериатрии и клинической фармакологии Иркутской государственной медицинской академии последипломного образования, руководитель Кардиоаритмологического центра, председатель Иркутского отделения Российского кардиол</w:t>
      </w:r>
      <w:r>
        <w:t>огического общества, вицепрезидент Байкальской психосоматической ассоциации</w:t>
      </w:r>
    </w:p>
    <w:p w:rsidR="008E3F15" w:rsidRDefault="005F449A">
      <w:pPr>
        <w:ind w:left="2" w:right="15"/>
      </w:pPr>
      <w:r>
        <w:rPr>
          <w:i/>
        </w:rPr>
        <w:t xml:space="preserve">Куклин Сергей Германович </w:t>
      </w:r>
      <w:r>
        <w:t>— д-р мед. наук, проф., зав. кафедрой терапии Иркутской государственной медицинской академии последипломного образования, президент</w:t>
      </w:r>
    </w:p>
    <w:p w:rsidR="008E3F15" w:rsidRDefault="005F449A">
      <w:pPr>
        <w:spacing w:after="31"/>
        <w:ind w:left="2" w:right="15"/>
      </w:pPr>
      <w:r>
        <w:t>Иркутской ассоциации те</w:t>
      </w:r>
      <w:r>
        <w:t>рапевтов Иркутской области</w:t>
      </w:r>
    </w:p>
    <w:p w:rsidR="008E3F15" w:rsidRDefault="005F449A">
      <w:pPr>
        <w:spacing w:after="31"/>
        <w:ind w:left="2" w:right="15"/>
      </w:pPr>
      <w:r>
        <w:rPr>
          <w:i/>
        </w:rPr>
        <w:t xml:space="preserve">Петрунько Ольга Вячеславна </w:t>
      </w:r>
      <w:r>
        <w:t>— канд. мед. наук, зав. кафедрой психиатрии и наркологии</w:t>
      </w:r>
    </w:p>
    <w:p w:rsidR="008E3F15" w:rsidRDefault="005F449A">
      <w:pPr>
        <w:ind w:left="2" w:right="585"/>
      </w:pPr>
      <w:r>
        <w:t xml:space="preserve">Иркутской государственной медицинской академии последипломного образования </w:t>
      </w:r>
      <w:r>
        <w:rPr>
          <w:i/>
        </w:rPr>
        <w:t xml:space="preserve">Руяткина Людмила Александровна </w:t>
      </w:r>
      <w:r>
        <w:t>— д-р мед. наук, проф. кафедры неотложн</w:t>
      </w:r>
      <w:r>
        <w:t>ой терапии с эндокринологией и профпатологией факультета повышения квалификации и профессиональной переподготовки врачей Новосибирского государственного медицинского университета, председатель Новосибирского отделения Российской ассоциации эндокринологов</w:t>
      </w:r>
    </w:p>
    <w:p w:rsidR="008E3F15" w:rsidRDefault="005F449A">
      <w:pPr>
        <w:spacing w:after="31"/>
        <w:ind w:left="2" w:right="15"/>
      </w:pPr>
      <w:r>
        <w:rPr>
          <w:i/>
        </w:rPr>
        <w:t>С</w:t>
      </w:r>
      <w:r>
        <w:rPr>
          <w:i/>
        </w:rPr>
        <w:t xml:space="preserve">виряев Юрий Владимирович </w:t>
      </w:r>
      <w:r>
        <w:t>— д-р мед. наук, руководитель рабочей группы по сомнологии</w:t>
      </w:r>
    </w:p>
    <w:p w:rsidR="008E3F15" w:rsidRDefault="005F449A">
      <w:pPr>
        <w:spacing w:after="31"/>
        <w:ind w:left="2" w:right="15"/>
      </w:pPr>
      <w:r>
        <w:t>Национального медицинского исследовательского центра им. В.А. Алмазова</w:t>
      </w:r>
    </w:p>
    <w:p w:rsidR="008E3F15" w:rsidRDefault="005F449A">
      <w:pPr>
        <w:ind w:left="2" w:right="15"/>
      </w:pPr>
      <w:r>
        <w:rPr>
          <w:i/>
        </w:rPr>
        <w:t xml:space="preserve">Симуткин Герман Геннадьевич </w:t>
      </w:r>
      <w:r>
        <w:t>— д-р мед. наук, ведущий научный сотрудник отделения аффективных состояни</w:t>
      </w:r>
      <w:r>
        <w:t>й НИИ психического здоровья Томского национального</w:t>
      </w:r>
    </w:p>
    <w:p w:rsidR="008E3F15" w:rsidRDefault="005F449A">
      <w:pPr>
        <w:spacing w:after="31"/>
        <w:ind w:left="2" w:right="15"/>
      </w:pPr>
      <w:r>
        <w:t>исследовательского медицинского центра Российской академии наук</w:t>
      </w:r>
    </w:p>
    <w:p w:rsidR="008E3F15" w:rsidRDefault="005F449A">
      <w:pPr>
        <w:ind w:left="2" w:right="15"/>
      </w:pPr>
      <w:r>
        <w:rPr>
          <w:i/>
        </w:rPr>
        <w:t xml:space="preserve">Сумин Алексей Николаевич </w:t>
      </w:r>
      <w:r>
        <w:t>— д-р мед. наук, зав. лабораторией коморбидности при сердечнососудистых заболеваниях НИИ комплексных проблем сердечн</w:t>
      </w:r>
      <w:r>
        <w:t xml:space="preserve">о-сосудистых заболеваний </w:t>
      </w:r>
      <w:r>
        <w:rPr>
          <w:i/>
        </w:rPr>
        <w:t xml:space="preserve">Шнайдер Наталья Алексеевна </w:t>
      </w:r>
      <w:r>
        <w:t>— д-р мед. наук, ведущий научный сотрудник Института персонализированной психиатрии и неврологии Национального медицинского исследовательского центра психиатрии и неврологии им. В.М. Бехтерева</w:t>
      </w:r>
    </w:p>
    <w:p w:rsidR="008E3F15" w:rsidRDefault="005F449A">
      <w:pPr>
        <w:ind w:left="2" w:right="15"/>
      </w:pPr>
      <w:r>
        <w:rPr>
          <w:i/>
        </w:rPr>
        <w:t>Явелов Игор</w:t>
      </w:r>
      <w:r>
        <w:rPr>
          <w:i/>
        </w:rPr>
        <w:t xml:space="preserve">ь Семенович </w:t>
      </w:r>
      <w:r>
        <w:t>— д-р мед. наук, ведущий научный сотрудник отдела клинической кардиологии и молекулярной генетики Национального медицинского исследовательского центра профилактической медицины</w:t>
      </w:r>
    </w:p>
    <w:p w:rsidR="008E3F15" w:rsidRDefault="005F449A">
      <w:pPr>
        <w:spacing w:after="31"/>
        <w:ind w:left="2" w:right="15"/>
      </w:pPr>
      <w:r>
        <w:t>В подготовке рекомендаций принимали активное участие канд. мед. нау</w:t>
      </w:r>
      <w:r>
        <w:t xml:space="preserve">к </w:t>
      </w:r>
      <w:r>
        <w:rPr>
          <w:i/>
        </w:rPr>
        <w:t>Т.Г. Андриевская</w:t>
      </w:r>
    </w:p>
    <w:p w:rsidR="008E3F15" w:rsidRDefault="005F449A">
      <w:pPr>
        <w:spacing w:after="31"/>
        <w:ind w:left="2" w:right="15"/>
      </w:pPr>
      <w:r>
        <w:t xml:space="preserve">(Иркутск), д-р мед. наук </w:t>
      </w:r>
      <w:r>
        <w:rPr>
          <w:i/>
        </w:rPr>
        <w:t>В.В. Белов</w:t>
      </w:r>
      <w:r>
        <w:t xml:space="preserve"> (Челябинск), </w:t>
      </w:r>
      <w:r>
        <w:rPr>
          <w:i/>
        </w:rPr>
        <w:t>Н.С. Белялова</w:t>
      </w:r>
      <w:r>
        <w:t xml:space="preserve"> (Иркутск), канд. мед. наук</w:t>
      </w:r>
    </w:p>
    <w:p w:rsidR="008E3F15" w:rsidRDefault="005F449A">
      <w:pPr>
        <w:ind w:left="2" w:right="15"/>
      </w:pPr>
      <w:r>
        <w:rPr>
          <w:i/>
        </w:rPr>
        <w:t>А.В. Бирюков</w:t>
      </w:r>
      <w:r>
        <w:t xml:space="preserve"> (Санкт-Петербург), канд. мед. наук </w:t>
      </w:r>
      <w:r>
        <w:rPr>
          <w:i/>
        </w:rPr>
        <w:t>М.В. Бочкарев</w:t>
      </w:r>
      <w:r>
        <w:t xml:space="preserve"> (Санкт-Петербург), д-р мед. наук </w:t>
      </w:r>
      <w:r>
        <w:rPr>
          <w:i/>
        </w:rPr>
        <w:t>Н.М. Быкова</w:t>
      </w:r>
      <w:r>
        <w:t xml:space="preserve"> (Иркутск), д-р мед. наук </w:t>
      </w:r>
      <w:r>
        <w:rPr>
          <w:i/>
        </w:rPr>
        <w:t>Ю.А. Бунин</w:t>
      </w:r>
      <w:r>
        <w:t xml:space="preserve"> (Мос</w:t>
      </w:r>
      <w:r>
        <w:t xml:space="preserve">ква), д-р мед. наук </w:t>
      </w:r>
      <w:r>
        <w:rPr>
          <w:i/>
        </w:rPr>
        <w:t>А.Л. Верткин</w:t>
      </w:r>
      <w:r>
        <w:t xml:space="preserve"> (Москва),</w:t>
      </w:r>
    </w:p>
    <w:p w:rsidR="008E3F15" w:rsidRDefault="005F449A">
      <w:pPr>
        <w:ind w:left="2" w:right="285"/>
      </w:pPr>
      <w:r>
        <w:rPr>
          <w:i/>
        </w:rPr>
        <w:t>Н.Н. Винкова</w:t>
      </w:r>
      <w:r>
        <w:t xml:space="preserve"> (Иркутск), д-р мед. наук </w:t>
      </w:r>
      <w:r>
        <w:rPr>
          <w:i/>
        </w:rPr>
        <w:t>Н.А. Грацианский</w:t>
      </w:r>
      <w:r>
        <w:t xml:space="preserve"> (Москва), </w:t>
      </w:r>
      <w:r>
        <w:rPr>
          <w:i/>
        </w:rPr>
        <w:t>А.В. Дудник</w:t>
      </w:r>
      <w:r>
        <w:t xml:space="preserve"> (Иркутск), канд. мед. наук </w:t>
      </w:r>
      <w:r>
        <w:rPr>
          <w:i/>
        </w:rPr>
        <w:t>А.И. Квашин</w:t>
      </w:r>
      <w:r>
        <w:t xml:space="preserve"> (Иркутск), канд. мед. наук </w:t>
      </w:r>
      <w:r>
        <w:rPr>
          <w:i/>
        </w:rPr>
        <w:t xml:space="preserve">О.О. Князюк </w:t>
      </w:r>
      <w:r>
        <w:t xml:space="preserve">(Иркутск), канд. мед. наук </w:t>
      </w:r>
      <w:r>
        <w:rPr>
          <w:i/>
        </w:rPr>
        <w:t>Е.В. Корок</w:t>
      </w:r>
      <w:r>
        <w:t xml:space="preserve"> (Кемерово), канд. ме</w:t>
      </w:r>
      <w:r>
        <w:t xml:space="preserve">д. наук </w:t>
      </w:r>
      <w:r>
        <w:rPr>
          <w:i/>
        </w:rPr>
        <w:t>Л.С. Коростовцева</w:t>
      </w:r>
      <w:r>
        <w:t xml:space="preserve"> (Санкт-Петербург), д-р мед. наук</w:t>
      </w:r>
    </w:p>
    <w:p w:rsidR="008E3F15" w:rsidRDefault="005F449A">
      <w:pPr>
        <w:spacing w:after="31"/>
        <w:ind w:left="2" w:right="15"/>
      </w:pPr>
      <w:r>
        <w:rPr>
          <w:i/>
        </w:rPr>
        <w:t>Ю.Н. Краснова</w:t>
      </w:r>
      <w:r>
        <w:t xml:space="preserve"> (Иркутск), канд. мед. наук </w:t>
      </w:r>
      <w:r>
        <w:rPr>
          <w:i/>
        </w:rPr>
        <w:t>Е.В. Крижановская</w:t>
      </w:r>
      <w:r>
        <w:t xml:space="preserve"> (Красноярск), д-р мед. наук</w:t>
      </w:r>
    </w:p>
    <w:p w:rsidR="008E3F15" w:rsidRDefault="005F449A">
      <w:pPr>
        <w:spacing w:after="31"/>
        <w:ind w:left="2" w:right="15"/>
      </w:pPr>
      <w:r>
        <w:rPr>
          <w:i/>
        </w:rPr>
        <w:t>С.Ю. Лаврик</w:t>
      </w:r>
      <w:r>
        <w:t xml:space="preserve"> (Иркутск), д-р мед. наук </w:t>
      </w:r>
      <w:r>
        <w:rPr>
          <w:i/>
        </w:rPr>
        <w:t>Н.В. Ларева</w:t>
      </w:r>
      <w:r>
        <w:t xml:space="preserve"> (Чита), д-р мед. наук </w:t>
      </w:r>
      <w:r>
        <w:rPr>
          <w:i/>
        </w:rPr>
        <w:t>О.Н. Миллер</w:t>
      </w:r>
    </w:p>
    <w:p w:rsidR="008E3F15" w:rsidRDefault="005F449A">
      <w:pPr>
        <w:spacing w:after="31"/>
        <w:ind w:left="2" w:right="15"/>
      </w:pPr>
      <w:r>
        <w:t>(Новосибирск), д-р мед. нау</w:t>
      </w:r>
      <w:r>
        <w:t xml:space="preserve">к </w:t>
      </w:r>
      <w:r>
        <w:rPr>
          <w:i/>
        </w:rPr>
        <w:t>Н.М. Неминущий</w:t>
      </w:r>
      <w:r>
        <w:t xml:space="preserve"> (Москва), д-р мед. наук </w:t>
      </w:r>
      <w:r>
        <w:rPr>
          <w:i/>
        </w:rPr>
        <w:t>И.В. Першуков</w:t>
      </w:r>
      <w:r>
        <w:t xml:space="preserve"> (Москва),</w:t>
      </w:r>
    </w:p>
    <w:p w:rsidR="008E3F15" w:rsidRDefault="005F449A">
      <w:pPr>
        <w:spacing w:after="31"/>
        <w:ind w:left="2" w:right="15"/>
      </w:pPr>
      <w:r>
        <w:t xml:space="preserve">д-р мед. наук </w:t>
      </w:r>
      <w:r>
        <w:rPr>
          <w:i/>
        </w:rPr>
        <w:t>М.М. Петрова</w:t>
      </w:r>
      <w:r>
        <w:t xml:space="preserve">, д-р мед. наук </w:t>
      </w:r>
      <w:r>
        <w:rPr>
          <w:i/>
        </w:rPr>
        <w:t>В.А. Подменный</w:t>
      </w:r>
      <w:r>
        <w:t xml:space="preserve"> (Иркутск), д-р биол. наук</w:t>
      </w:r>
    </w:p>
    <w:p w:rsidR="008E3F15" w:rsidRDefault="005F449A">
      <w:pPr>
        <w:spacing w:after="31"/>
        <w:ind w:left="2" w:right="15"/>
      </w:pPr>
      <w:r>
        <w:rPr>
          <w:i/>
        </w:rPr>
        <w:t>В.М. Поляков</w:t>
      </w:r>
      <w:r>
        <w:t xml:space="preserve"> (Иркутск), канд. мед. наук </w:t>
      </w:r>
      <w:r>
        <w:rPr>
          <w:i/>
        </w:rPr>
        <w:t>Д.С. Руяткин</w:t>
      </w:r>
      <w:r>
        <w:t xml:space="preserve"> (Новосибирск), канд. мед. наук</w:t>
      </w:r>
    </w:p>
    <w:p w:rsidR="008E3F15" w:rsidRDefault="005F449A">
      <w:pPr>
        <w:spacing w:after="359"/>
        <w:ind w:left="2" w:right="306"/>
      </w:pPr>
      <w:r>
        <w:rPr>
          <w:i/>
        </w:rPr>
        <w:t>В.В. Свистунов</w:t>
      </w:r>
      <w:r>
        <w:t xml:space="preserve"> (Иркутск), д-р мед. наук </w:t>
      </w:r>
      <w:r>
        <w:rPr>
          <w:i/>
        </w:rPr>
        <w:t>В.С. Собенников</w:t>
      </w:r>
      <w:r>
        <w:t xml:space="preserve">, д-р мед. наук </w:t>
      </w:r>
      <w:r>
        <w:rPr>
          <w:i/>
        </w:rPr>
        <w:t>А.Н. Туров</w:t>
      </w:r>
      <w:r>
        <w:t xml:space="preserve">, канд. мед. наук </w:t>
      </w:r>
      <w:r>
        <w:rPr>
          <w:i/>
        </w:rPr>
        <w:t>В.В. Чернявский</w:t>
      </w:r>
      <w:r>
        <w:t xml:space="preserve"> (Израиль), д-р мед. наук </w:t>
      </w:r>
      <w:r>
        <w:rPr>
          <w:i/>
        </w:rPr>
        <w:t>С.Ю. Штарик</w:t>
      </w:r>
      <w:r>
        <w:t xml:space="preserve"> (Красноярск), канд. мед. наук </w:t>
      </w:r>
      <w:r>
        <w:rPr>
          <w:i/>
        </w:rPr>
        <w:t>А.В. Щербакова</w:t>
      </w:r>
      <w:r>
        <w:t xml:space="preserve"> (Иркутск), д-р мед. наук </w:t>
      </w:r>
      <w:r>
        <w:rPr>
          <w:i/>
        </w:rPr>
        <w:t>А.М. Шутов</w:t>
      </w:r>
      <w:r>
        <w:t xml:space="preserve"> (Ульяновск)</w:t>
      </w:r>
    </w:p>
    <w:p w:rsidR="008E3F15" w:rsidRDefault="005F449A">
      <w:pPr>
        <w:pStyle w:val="Heading1"/>
        <w:ind w:left="2"/>
      </w:pPr>
      <w:r>
        <w:lastRenderedPageBreak/>
        <w:t>Предисловие</w:t>
      </w:r>
    </w:p>
    <w:p w:rsidR="008E3F15" w:rsidRDefault="005F449A">
      <w:pPr>
        <w:ind w:left="2" w:right="15"/>
      </w:pPr>
      <w:r>
        <w:t>Интенсивная н</w:t>
      </w:r>
      <w:r>
        <w:t>аучно-исследовательская работа в медицине приводит к стремительному росту знаний в области выявления и лечения заболеваний человека. В связи с этим для практикующих врачей ежегодно выпускаются рекомендации профессиональных медицинских экспертных групп.</w:t>
      </w:r>
    </w:p>
    <w:p w:rsidR="008E3F15" w:rsidRDefault="005F449A">
      <w:pPr>
        <w:ind w:left="2" w:right="15"/>
      </w:pPr>
      <w:r>
        <w:t>Вме</w:t>
      </w:r>
      <w:r>
        <w:t>сте с тем большое число объемных работ, нередко противоречащих друг другу, стремительное развитие медицинской науки, часто запоздалое обновление отечественных рекомендаций или их отсутствие, а также необходимость компактного и доступно изложенного материал</w:t>
      </w:r>
      <w:r>
        <w:t>а с учетом сложившейся клинической практики обусловили написание данного руководства для врачей.</w:t>
      </w:r>
    </w:p>
    <w:p w:rsidR="008E3F15" w:rsidRDefault="005F449A">
      <w:pPr>
        <w:ind w:left="2" w:right="15"/>
      </w:pPr>
      <w:r>
        <w:t>В работе собраны клинические рекомендации по важнейшим заболеваниям и проблемам сердечно-сосудистой системы и коморбидным болезням, отражающие согласованную по</w:t>
      </w:r>
      <w:r>
        <w:t>зицию экспертов. Информация основана на принципах доказательной медицины, максимально объективном анализе результатов важных научных исследований, лучших рекомендациях авторитетных экспертных групп и классических руководствах. С целью расширения возможност</w:t>
      </w:r>
      <w:r>
        <w:t>ей практикующих врачей по выбору индивидуальной терапии включены дополнительные варианты клинических решений.</w:t>
      </w:r>
    </w:p>
    <w:p w:rsidR="008E3F15" w:rsidRDefault="005F449A">
      <w:pPr>
        <w:ind w:left="2" w:right="15"/>
      </w:pPr>
      <w:r>
        <w:t>Ценную помощь в подготовке рекомендаций оказали практикующие кардиологи, что обеспечивает более эффективную трансляцию медицинских знаний в кардио</w:t>
      </w:r>
      <w:r>
        <w:t>логическую практику.</w:t>
      </w:r>
    </w:p>
    <w:p w:rsidR="008E3F15" w:rsidRDefault="005F449A">
      <w:pPr>
        <w:spacing w:after="359"/>
        <w:ind w:left="2" w:right="15"/>
      </w:pPr>
      <w:r>
        <w:t>Настоящее издание значительно переработано и дополнено современными научными данными, оптимизирована структура книги, включена информация по деменции, раку печени и пищевода, центральному апноэ, выделены разделы по острой и хронической</w:t>
      </w:r>
      <w:r>
        <w:t xml:space="preserve"> сердечной недостаточности, нарушениям дыхания во сне, добавлено приложение с референтными значениями лабораторных тестов, а лечение в условиях коморбидности унифицировано и сведено в компактные таблицы. Все замечания и предложения с целью совершенствовани</w:t>
      </w:r>
      <w:r>
        <w:t xml:space="preserve">я данного издания можно направлять по e-mail: fbelyalov@yandex.ru. </w:t>
      </w:r>
      <w:r>
        <w:rPr>
          <w:i/>
        </w:rPr>
        <w:t>Фарид Исмагильевич Белялов</w:t>
      </w:r>
    </w:p>
    <w:p w:rsidR="008E3F15" w:rsidRDefault="005F449A">
      <w:pPr>
        <w:pStyle w:val="Heading1"/>
        <w:spacing w:after="102"/>
        <w:ind w:left="2"/>
      </w:pPr>
      <w:r>
        <w:t>Список сокращений и условных обозначений</w:t>
      </w:r>
    </w:p>
    <w:p w:rsidR="008E3F15" w:rsidRDefault="005F449A">
      <w:pPr>
        <w:spacing w:after="31"/>
        <w:ind w:left="2" w:right="15"/>
      </w:pPr>
      <w:r>
        <w:rPr>
          <w:sz w:val="31"/>
          <w:vertAlign w:val="superscript"/>
        </w:rPr>
        <w:t>♠</w:t>
      </w:r>
      <w:r>
        <w:t xml:space="preserve">  — торговое название лекарственного средства и/или фармацевтическая субстанция</w:t>
      </w:r>
    </w:p>
    <w:p w:rsidR="008E3F15" w:rsidRDefault="005F449A">
      <w:pPr>
        <w:spacing w:after="31"/>
        <w:ind w:left="2" w:right="15"/>
      </w:pPr>
      <w:r>
        <w:rPr>
          <w:rFonts w:ascii="Times New Roman" w:eastAsia="Times New Roman" w:hAnsi="Times New Roman" w:cs="Times New Roman"/>
          <w:sz w:val="31"/>
          <w:vertAlign w:val="superscript"/>
        </w:rPr>
        <w:t>℘</w:t>
      </w:r>
      <w:r>
        <w:t xml:space="preserve">  — лекарственное средство не зарегистр</w:t>
      </w:r>
      <w:r>
        <w:t>ировано в Российской Федерации</w:t>
      </w:r>
    </w:p>
    <w:p w:rsidR="008E3F15" w:rsidRDefault="005F449A">
      <w:pPr>
        <w:spacing w:after="31"/>
        <w:ind w:left="2" w:right="15"/>
      </w:pPr>
      <w:r>
        <w:t>АД  — артериальное давление</w:t>
      </w:r>
    </w:p>
    <w:p w:rsidR="008E3F15" w:rsidRDefault="005F449A">
      <w:pPr>
        <w:ind w:left="2" w:right="4150"/>
      </w:pPr>
      <w:r>
        <w:t>АДс  — систолическое артериальное давление АДд  — диастолическое артериальное давление аМКР  — антагонист минералокортикоидных рецепторов</w:t>
      </w:r>
    </w:p>
    <w:p w:rsidR="008E3F15" w:rsidRDefault="005F449A">
      <w:pPr>
        <w:spacing w:after="31"/>
        <w:ind w:left="2" w:right="15"/>
      </w:pPr>
      <w:r>
        <w:t>арГПП-1  — агонист рецепторов глюкогоноподобного пептида 1-</w:t>
      </w:r>
      <w:r>
        <w:t>го типа</w:t>
      </w:r>
    </w:p>
    <w:p w:rsidR="008E3F15" w:rsidRDefault="005F449A">
      <w:pPr>
        <w:spacing w:after="31"/>
        <w:ind w:left="2" w:right="15"/>
      </w:pPr>
      <w:r>
        <w:t>АСК  — ацетилсалициловая кислота</w:t>
      </w:r>
    </w:p>
    <w:p w:rsidR="008E3F15" w:rsidRDefault="005F449A">
      <w:pPr>
        <w:spacing w:after="31"/>
        <w:ind w:left="2" w:right="15"/>
      </w:pPr>
      <w:r>
        <w:t>БРА  — блокатор рецепторов ангиотензина</w:t>
      </w:r>
    </w:p>
    <w:p w:rsidR="008E3F15" w:rsidRDefault="005F449A">
      <w:pPr>
        <w:spacing w:after="31"/>
        <w:ind w:left="2" w:right="15"/>
      </w:pPr>
      <w:r>
        <w:t>ВИЧ  — вирус иммунодефицита человека</w:t>
      </w:r>
    </w:p>
    <w:p w:rsidR="008E3F15" w:rsidRDefault="005F449A">
      <w:pPr>
        <w:spacing w:after="31"/>
        <w:ind w:left="2" w:right="15"/>
      </w:pPr>
      <w:r>
        <w:t>ВОЗ  — Всемирная организация здравоохранения</w:t>
      </w:r>
    </w:p>
    <w:p w:rsidR="008E3F15" w:rsidRDefault="005F449A">
      <w:pPr>
        <w:spacing w:after="31"/>
        <w:ind w:left="2" w:right="15"/>
      </w:pPr>
      <w:r>
        <w:t>ВСС  — внезапная сердечная смерть</w:t>
      </w:r>
    </w:p>
    <w:p w:rsidR="008E3F15" w:rsidRDefault="005F449A">
      <w:pPr>
        <w:ind w:left="2" w:right="6502"/>
      </w:pPr>
      <w:r>
        <w:t>ВТЭ  — венозная тромбоэмболия ЖТ  — желудочковая тахикардия</w:t>
      </w:r>
    </w:p>
    <w:p w:rsidR="008E3F15" w:rsidRDefault="005F449A">
      <w:pPr>
        <w:ind w:left="2" w:right="3741"/>
      </w:pPr>
      <w:r>
        <w:t>иАПФ  — ингибитор ангиотензин-превращающего фермента иДПП-4  — ингибитор дипептидил-пептидазы 4-го типа ИКД  — имплантируемый кардиовертер-дефибриллятор</w:t>
      </w:r>
    </w:p>
    <w:p w:rsidR="008E3F15" w:rsidRDefault="005F449A">
      <w:pPr>
        <w:spacing w:after="31"/>
        <w:ind w:left="2" w:right="15"/>
      </w:pPr>
      <w:r>
        <w:t>ИМ  — инфаркт миокарда</w:t>
      </w:r>
    </w:p>
    <w:p w:rsidR="008E3F15" w:rsidRDefault="005F449A">
      <w:pPr>
        <w:ind w:left="2" w:right="3853"/>
      </w:pPr>
      <w:r>
        <w:t>ИМп</w:t>
      </w:r>
      <w:r>
        <w:rPr>
          <w:i/>
        </w:rPr>
        <w:t>ST</w:t>
      </w:r>
      <w:r>
        <w:t xml:space="preserve"> — инфаркт миокарда с подъемом сегмента </w:t>
      </w:r>
      <w:r>
        <w:rPr>
          <w:i/>
        </w:rPr>
        <w:t xml:space="preserve">ST </w:t>
      </w:r>
      <w:r>
        <w:t>иНГЛТ — ингибитор натрий-глюкозного котранспортера</w:t>
      </w:r>
    </w:p>
    <w:p w:rsidR="008E3F15" w:rsidRDefault="005F449A">
      <w:pPr>
        <w:spacing w:after="31"/>
        <w:ind w:left="2" w:right="15"/>
      </w:pPr>
      <w:r>
        <w:t>КГ  — коронарография</w:t>
      </w:r>
    </w:p>
    <w:p w:rsidR="008E3F15" w:rsidRDefault="005F449A">
      <w:pPr>
        <w:spacing w:after="31"/>
        <w:ind w:left="2" w:right="15"/>
      </w:pPr>
      <w:r>
        <w:t>КТ  — компьютерная томография</w:t>
      </w:r>
    </w:p>
    <w:p w:rsidR="008E3F15" w:rsidRDefault="005F449A">
      <w:pPr>
        <w:spacing w:after="31"/>
        <w:ind w:left="2" w:right="15"/>
      </w:pPr>
      <w:r>
        <w:t>КШ  — коронарное шунтирование</w:t>
      </w:r>
    </w:p>
    <w:p w:rsidR="008E3F15" w:rsidRDefault="005F449A">
      <w:pPr>
        <w:spacing w:after="31"/>
        <w:ind w:left="2" w:right="15"/>
      </w:pPr>
      <w:r>
        <w:t>ЛЭ  — легочная эмболия</w:t>
      </w:r>
    </w:p>
    <w:p w:rsidR="008E3F15" w:rsidRDefault="005F449A">
      <w:pPr>
        <w:spacing w:after="31"/>
        <w:ind w:left="2" w:right="15"/>
      </w:pPr>
      <w:r>
        <w:t>МКБ-10  — Международная классификация болезней 10-го пересмотра</w:t>
      </w:r>
    </w:p>
    <w:p w:rsidR="008E3F15" w:rsidRDefault="005F449A">
      <w:pPr>
        <w:spacing w:after="31"/>
        <w:ind w:left="2" w:right="15"/>
      </w:pPr>
      <w:r>
        <w:t xml:space="preserve">МНО  — международное нормализованное </w:t>
      </w:r>
      <w:r>
        <w:t>отношение</w:t>
      </w:r>
    </w:p>
    <w:p w:rsidR="008E3F15" w:rsidRDefault="005F449A">
      <w:pPr>
        <w:spacing w:after="31"/>
        <w:ind w:left="2" w:right="15"/>
      </w:pPr>
      <w:r>
        <w:t>НМГ  — низкомолекулярный гепарин</w:t>
      </w:r>
    </w:p>
    <w:p w:rsidR="008E3F15" w:rsidRDefault="005F449A">
      <w:pPr>
        <w:spacing w:after="31"/>
        <w:ind w:left="2" w:right="15"/>
      </w:pPr>
      <w:r>
        <w:t>НПВП  — нестероидный противовоспалительный препарат</w:t>
      </w:r>
    </w:p>
    <w:p w:rsidR="008E3F15" w:rsidRDefault="005F449A">
      <w:pPr>
        <w:spacing w:after="31"/>
        <w:ind w:left="2" w:right="15"/>
      </w:pPr>
      <w:r>
        <w:t>НФГ  — нефракционированный гепарин</w:t>
      </w:r>
    </w:p>
    <w:p w:rsidR="008E3F15" w:rsidRDefault="005F449A">
      <w:pPr>
        <w:spacing w:after="31"/>
        <w:ind w:left="2" w:right="15"/>
      </w:pPr>
      <w:r>
        <w:t>ОАС  — обструктивное апноэ сна</w:t>
      </w:r>
    </w:p>
    <w:p w:rsidR="008E3F15" w:rsidRDefault="005F449A">
      <w:pPr>
        <w:spacing w:after="31"/>
        <w:ind w:left="2" w:right="15"/>
      </w:pPr>
      <w:r>
        <w:t>ОКС  — острый коронарный синдром</w:t>
      </w:r>
    </w:p>
    <w:p w:rsidR="008E3F15" w:rsidRDefault="005F449A">
      <w:pPr>
        <w:spacing w:after="31"/>
        <w:ind w:left="2" w:right="15"/>
      </w:pPr>
      <w:r>
        <w:t>ОКСбп</w:t>
      </w:r>
      <w:r>
        <w:rPr>
          <w:i/>
        </w:rPr>
        <w:t>ST</w:t>
      </w:r>
      <w:r>
        <w:t xml:space="preserve">  — острый коронарный синдром без подъема сегмента </w:t>
      </w:r>
      <w:r>
        <w:rPr>
          <w:i/>
        </w:rPr>
        <w:t>ST</w:t>
      </w:r>
    </w:p>
    <w:p w:rsidR="008E3F15" w:rsidRDefault="005F449A">
      <w:pPr>
        <w:spacing w:after="31"/>
        <w:ind w:left="2" w:right="15"/>
      </w:pPr>
      <w:r>
        <w:t>ПСМ  — препарат сульфонилмочевины</w:t>
      </w:r>
    </w:p>
    <w:p w:rsidR="008E3F15" w:rsidRDefault="005F449A">
      <w:pPr>
        <w:spacing w:after="31"/>
        <w:ind w:left="2" w:right="15"/>
      </w:pPr>
      <w:r>
        <w:t>рСКФ  — расчетная скорость клубочковой фильтрации</w:t>
      </w:r>
    </w:p>
    <w:p w:rsidR="008E3F15" w:rsidRDefault="005F449A">
      <w:pPr>
        <w:spacing w:after="31"/>
        <w:ind w:left="2" w:right="15"/>
      </w:pPr>
      <w:r>
        <w:t>СД  — сахарный диабет</w:t>
      </w:r>
    </w:p>
    <w:p w:rsidR="008E3F15" w:rsidRDefault="005F449A">
      <w:pPr>
        <w:spacing w:after="31"/>
        <w:ind w:left="2" w:right="15"/>
      </w:pPr>
      <w:r>
        <w:t>СИОЗС  — селективный ингибитор обратного захвата серотонина</w:t>
      </w:r>
    </w:p>
    <w:p w:rsidR="008E3F15" w:rsidRDefault="005F449A">
      <w:pPr>
        <w:spacing w:after="31"/>
        <w:ind w:left="2" w:right="15"/>
      </w:pPr>
      <w:r>
        <w:t>СК  — стенокардия</w:t>
      </w:r>
    </w:p>
    <w:p w:rsidR="008E3F15" w:rsidRDefault="005F449A">
      <w:pPr>
        <w:spacing w:after="31"/>
        <w:ind w:left="2" w:right="15"/>
      </w:pPr>
      <w:r>
        <w:t>СКФ  — скорость клубочковой фильтрации</w:t>
      </w:r>
    </w:p>
    <w:p w:rsidR="008E3F15" w:rsidRDefault="005F449A">
      <w:pPr>
        <w:spacing w:after="31"/>
        <w:ind w:left="2" w:right="15"/>
      </w:pPr>
      <w:r>
        <w:t>СЛР  — сердечно-легочная реанимац</w:t>
      </w:r>
      <w:r>
        <w:t>ия</w:t>
      </w:r>
    </w:p>
    <w:p w:rsidR="008E3F15" w:rsidRDefault="005F449A">
      <w:pPr>
        <w:spacing w:after="31"/>
        <w:ind w:left="2" w:right="15"/>
      </w:pPr>
      <w:r>
        <w:t>СН  — сердечная недостаточность</w:t>
      </w:r>
    </w:p>
    <w:p w:rsidR="008E3F15" w:rsidRDefault="005F449A">
      <w:pPr>
        <w:ind w:left="2" w:right="215"/>
      </w:pPr>
      <w:r>
        <w:t>СНнФВ  — сердечная недостаточность с низкой фракцией выброса левого желудочка СНпФВ  — сердечная недостаточность с пониженной/промежуточной фракцией выброса левого желудочка</w:t>
      </w:r>
    </w:p>
    <w:p w:rsidR="008E3F15" w:rsidRDefault="005F449A">
      <w:pPr>
        <w:spacing w:after="31"/>
        <w:ind w:left="2" w:right="15"/>
      </w:pPr>
      <w:r>
        <w:t>СНсФВ  — сердечная недостаточность с сохраненной фракцией выброса левого желудочка</w:t>
      </w:r>
    </w:p>
    <w:p w:rsidR="008E3F15" w:rsidRDefault="005F449A">
      <w:pPr>
        <w:spacing w:after="31"/>
        <w:ind w:left="2" w:right="15"/>
      </w:pPr>
      <w:r>
        <w:t>СРТ  — сердечная ресинхронизирующая терапия</w:t>
      </w:r>
    </w:p>
    <w:p w:rsidR="008E3F15" w:rsidRDefault="005F449A">
      <w:pPr>
        <w:spacing w:after="31"/>
        <w:ind w:left="2" w:right="15"/>
      </w:pPr>
      <w:r>
        <w:t>ССЗ  — сердечно-сосудистое заболевание</w:t>
      </w:r>
    </w:p>
    <w:p w:rsidR="008E3F15" w:rsidRDefault="005F449A">
      <w:pPr>
        <w:spacing w:after="31"/>
        <w:ind w:left="2" w:right="15"/>
      </w:pPr>
      <w:r>
        <w:t>Т</w:t>
      </w:r>
      <w:r>
        <w:rPr>
          <w:sz w:val="31"/>
          <w:vertAlign w:val="subscript"/>
        </w:rPr>
        <w:t>3</w:t>
      </w:r>
      <w:r>
        <w:t xml:space="preserve">  — трийодтиронин</w:t>
      </w:r>
    </w:p>
    <w:p w:rsidR="008E3F15" w:rsidRDefault="005F449A">
      <w:pPr>
        <w:spacing w:after="31"/>
        <w:ind w:left="2" w:right="15"/>
      </w:pPr>
      <w:r>
        <w:t>Т</w:t>
      </w:r>
      <w:r>
        <w:rPr>
          <w:sz w:val="31"/>
          <w:vertAlign w:val="subscript"/>
        </w:rPr>
        <w:t>4</w:t>
      </w:r>
      <w:r>
        <w:t xml:space="preserve">  — тироксин</w:t>
      </w:r>
    </w:p>
    <w:p w:rsidR="008E3F15" w:rsidRDefault="005F449A">
      <w:pPr>
        <w:spacing w:after="31"/>
        <w:ind w:left="2" w:right="15"/>
      </w:pPr>
      <w:r>
        <w:t>ТП  — трепетание предсердий</w:t>
      </w:r>
    </w:p>
    <w:p w:rsidR="008E3F15" w:rsidRDefault="005F449A">
      <w:pPr>
        <w:spacing w:after="31"/>
        <w:ind w:left="2" w:right="15"/>
      </w:pPr>
      <w:r>
        <w:t>ТТГ  — тиреотропный гормон</w:t>
      </w:r>
    </w:p>
    <w:p w:rsidR="008E3F15" w:rsidRDefault="005F449A">
      <w:pPr>
        <w:spacing w:after="31"/>
        <w:ind w:left="2" w:right="15"/>
      </w:pPr>
      <w:r>
        <w:t>ТЦА  — трициклический антидепрессант</w:t>
      </w:r>
    </w:p>
    <w:p w:rsidR="008E3F15" w:rsidRDefault="005F449A">
      <w:pPr>
        <w:spacing w:after="31"/>
        <w:ind w:left="2" w:right="15"/>
      </w:pPr>
      <w:r>
        <w:t>ФВЛЖ — фракция выброса левого желудочка</w:t>
      </w:r>
    </w:p>
    <w:p w:rsidR="008E3F15" w:rsidRDefault="005F449A">
      <w:pPr>
        <w:spacing w:after="31"/>
        <w:ind w:left="2" w:right="15"/>
      </w:pPr>
      <w:r>
        <w:t>ФЖ  — фибрилляция желудочков</w:t>
      </w:r>
    </w:p>
    <w:p w:rsidR="008E3F15" w:rsidRDefault="005F449A">
      <w:pPr>
        <w:spacing w:after="31"/>
        <w:ind w:left="2" w:right="15"/>
      </w:pPr>
      <w:r>
        <w:t>ФК  — функциональный класс</w:t>
      </w:r>
    </w:p>
    <w:p w:rsidR="008E3F15" w:rsidRDefault="005F449A">
      <w:pPr>
        <w:spacing w:after="31"/>
        <w:ind w:left="2" w:right="15"/>
      </w:pPr>
      <w:r>
        <w:t>ФП  — фибрилляция предсердий</w:t>
      </w:r>
    </w:p>
    <w:p w:rsidR="008E3F15" w:rsidRDefault="005F449A">
      <w:pPr>
        <w:spacing w:after="31"/>
        <w:ind w:left="2" w:right="15"/>
      </w:pPr>
      <w:r>
        <w:t>ХБП  — хроническая болезнь почек</w:t>
      </w:r>
    </w:p>
    <w:p w:rsidR="008E3F15" w:rsidRDefault="005F449A">
      <w:pPr>
        <w:spacing w:after="31"/>
        <w:ind w:left="2" w:right="15"/>
      </w:pPr>
      <w:r>
        <w:t>ХС ЛНП  — холестерин липопротеинов низкой плотности</w:t>
      </w:r>
    </w:p>
    <w:p w:rsidR="008E3F15" w:rsidRDefault="005F449A">
      <w:pPr>
        <w:spacing w:after="31"/>
        <w:ind w:left="2" w:right="15"/>
      </w:pPr>
      <w:r>
        <w:t>ХСН  — хр</w:t>
      </w:r>
      <w:r>
        <w:t>оническая сердечная недостаточность</w:t>
      </w:r>
    </w:p>
    <w:p w:rsidR="008E3F15" w:rsidRDefault="005F449A">
      <w:pPr>
        <w:spacing w:after="31"/>
        <w:ind w:left="2" w:right="15"/>
      </w:pPr>
      <w:r>
        <w:t>ЧКВ  — чрескожное коронарное вмешательство</w:t>
      </w:r>
    </w:p>
    <w:p w:rsidR="008E3F15" w:rsidRDefault="005F449A">
      <w:pPr>
        <w:spacing w:after="31"/>
        <w:ind w:left="2" w:right="15"/>
      </w:pPr>
      <w:r>
        <w:t>ЧСС  — частота сердечных сокращений</w:t>
      </w:r>
    </w:p>
    <w:p w:rsidR="008E3F15" w:rsidRDefault="005F449A">
      <w:pPr>
        <w:spacing w:after="31"/>
        <w:ind w:left="2" w:right="15"/>
      </w:pPr>
      <w:r>
        <w:t>ЭКГ  — электрокардиограмма</w:t>
      </w:r>
    </w:p>
    <w:p w:rsidR="008E3F15" w:rsidRDefault="005F449A">
      <w:pPr>
        <w:spacing w:after="31"/>
        <w:ind w:left="2" w:right="15"/>
      </w:pPr>
      <w:r>
        <w:t>ЭС  — экстрасистолы</w:t>
      </w:r>
    </w:p>
    <w:p w:rsidR="008E3F15" w:rsidRDefault="005F449A">
      <w:pPr>
        <w:spacing w:after="31"/>
        <w:ind w:left="2" w:right="15"/>
      </w:pPr>
      <w:r>
        <w:t>BNP  — мозговой натрийуретический пептид (brain natriuretic peptide)</w:t>
      </w:r>
    </w:p>
    <w:p w:rsidR="008E3F15" w:rsidRDefault="005F449A">
      <w:pPr>
        <w:spacing w:after="31"/>
        <w:ind w:left="2" w:right="15"/>
      </w:pPr>
      <w:r>
        <w:t>COVID-19  — коронавирусна</w:t>
      </w:r>
      <w:r>
        <w:t>я инфекция</w:t>
      </w:r>
    </w:p>
    <w:p w:rsidR="008E3F15" w:rsidRDefault="005F449A">
      <w:pPr>
        <w:spacing w:after="31"/>
        <w:ind w:left="2" w:right="15"/>
      </w:pPr>
      <w:r>
        <w:t>HbA</w:t>
      </w:r>
      <w:r>
        <w:rPr>
          <w:sz w:val="31"/>
          <w:vertAlign w:val="subscript"/>
        </w:rPr>
        <w:t>1</w:t>
      </w:r>
      <w:r>
        <w:rPr>
          <w:sz w:val="20"/>
        </w:rPr>
        <w:t>c</w:t>
      </w:r>
      <w:r>
        <w:t xml:space="preserve">  — гликированный гемоглобин</w:t>
      </w:r>
    </w:p>
    <w:p w:rsidR="008E3F15" w:rsidRDefault="005F449A">
      <w:pPr>
        <w:spacing w:after="344"/>
        <w:ind w:left="2" w:right="15"/>
      </w:pPr>
      <w:r>
        <w:t>NT-proBNP  — N-терминальный фрагмент прогормона мозгового натрийуретического пептида (N-terminal prohormone of brain natriuretic peptide)</w:t>
      </w:r>
    </w:p>
    <w:p w:rsidR="008E3F15" w:rsidRDefault="005F449A">
      <w:pPr>
        <w:pStyle w:val="Heading1"/>
        <w:ind w:left="2"/>
      </w:pPr>
      <w:r>
        <w:t>Введение</w:t>
      </w:r>
    </w:p>
    <w:p w:rsidR="008E3F15" w:rsidRDefault="005F449A">
      <w:pPr>
        <w:ind w:left="2" w:right="15"/>
      </w:pPr>
      <w:r>
        <w:t xml:space="preserve">Сердечно-сосудистые заболевания (ССЗ) являются наиболее частыми </w:t>
      </w:r>
      <w:r>
        <w:t xml:space="preserve">причинами смерти населения. Несмотря на разработку и реализацию крупных программ по совершенствованию кардиологической помощи, смертность от заболеваний сердца и сосудов остается очень высокой. Анализ работы практикующих кардиологов показывает, что в ряде </w:t>
      </w:r>
      <w:r>
        <w:t>случаев современные возможности диагностики и лечения заболеваний используются не в полном объеме.</w:t>
      </w:r>
    </w:p>
    <w:p w:rsidR="008E3F15" w:rsidRDefault="005F449A">
      <w:pPr>
        <w:ind w:left="2" w:right="447"/>
      </w:pPr>
      <w:r>
        <w:t>Наряду с частыми и сложными для ведения заболеваниями сердца и сосудов в издание включен раздел по ведению распространенных ассоциированных заболеваний и расстройств. Наличие коморбидных болезней и состояний может существенно повлиять на диагностику и лече</w:t>
      </w:r>
      <w:r>
        <w:t>ние сердечно-сосудистых заболеваний.</w:t>
      </w:r>
    </w:p>
    <w:p w:rsidR="008E3F15" w:rsidRDefault="005F449A">
      <w:pPr>
        <w:ind w:left="2" w:right="15"/>
      </w:pPr>
      <w:r>
        <w:t>Важную роль в принятии решений играют клинические шкалы прогноза, наиболее распространенные из которых приведены в данной работе.</w:t>
      </w:r>
    </w:p>
    <w:p w:rsidR="008E3F15" w:rsidRDefault="005F449A">
      <w:pPr>
        <w:ind w:left="2" w:right="15"/>
      </w:pPr>
      <w:r>
        <w:t>Представленная информация основана на современных рекомендациях ведущих медицинских общес</w:t>
      </w:r>
      <w:r>
        <w:t>тв и крупнейших научных исследованиях.</w:t>
      </w:r>
    </w:p>
    <w:p w:rsidR="008E3F15" w:rsidRDefault="005F449A">
      <w:pPr>
        <w:spacing w:after="359"/>
        <w:ind w:left="2" w:right="15"/>
      </w:pPr>
      <w:r>
        <w:t>Медицинская наука и практика стремительно развиваются, поэтому в связи с быстрым обновлением медицинских знаний авторы постоянно работают над уточнением информации, и врачам важно использовать в своей практике последн</w:t>
      </w:r>
      <w:r>
        <w:t>ее издание рекомендаций.</w:t>
      </w:r>
    </w:p>
    <w:p w:rsidR="008E3F15" w:rsidRDefault="005F449A">
      <w:pPr>
        <w:pStyle w:val="Heading1"/>
        <w:ind w:left="2"/>
      </w:pPr>
      <w:r>
        <w:t>Часть I. Сердечно-сосудистые болезни</w:t>
      </w:r>
    </w:p>
    <w:p w:rsidR="008E3F15" w:rsidRDefault="005F449A">
      <w:pPr>
        <w:spacing w:after="31"/>
        <w:ind w:left="2" w:right="15"/>
      </w:pPr>
      <w:r>
        <w:t>Глава 1. Коронарные синдромы острые</w:t>
      </w:r>
    </w:p>
    <w:p w:rsidR="008E3F15" w:rsidRDefault="005F449A">
      <w:pPr>
        <w:ind w:left="2" w:right="15"/>
      </w:pPr>
      <w:r>
        <w:t>Заболевание коронарных артерий является главной причиной смерти населения (</w:t>
      </w:r>
      <w:r>
        <w:rPr>
          <w:b/>
        </w:rPr>
        <w:t>рис. 1.1</w:t>
      </w:r>
      <w:r>
        <w:t xml:space="preserve">). </w:t>
      </w:r>
      <w:r>
        <w:t>Чаще всего смерть от коронарной болезни наступает вследствие острой ишемии или ишемического повреждения сердечной мышцы — инфаркта мио карда (ИМ).</w:t>
      </w:r>
    </w:p>
    <w:p w:rsidR="008E3F15" w:rsidRDefault="005F449A">
      <w:pPr>
        <w:spacing w:after="65" w:line="259" w:lineRule="auto"/>
        <w:ind w:left="0" w:right="0" w:firstLine="0"/>
      </w:pPr>
      <w:r>
        <w:rPr>
          <w:noProof/>
        </w:rPr>
        <w:drawing>
          <wp:inline distT="0" distB="0" distL="0" distR="0">
            <wp:extent cx="5057775" cy="3514725"/>
            <wp:effectExtent l="0" t="0" r="0" b="0"/>
            <wp:docPr id="300" name="Picture 300"/>
            <wp:cNvGraphicFramePr/>
            <a:graphic xmlns:a="http://schemas.openxmlformats.org/drawingml/2006/main">
              <a:graphicData uri="http://schemas.openxmlformats.org/drawingml/2006/picture">
                <pic:pic xmlns:pic="http://schemas.openxmlformats.org/drawingml/2006/picture">
                  <pic:nvPicPr>
                    <pic:cNvPr id="300" name="Picture 300"/>
                    <pic:cNvPicPr/>
                  </pic:nvPicPr>
                  <pic:blipFill>
                    <a:blip r:embed="rId7"/>
                    <a:stretch>
                      <a:fillRect/>
                    </a:stretch>
                  </pic:blipFill>
                  <pic:spPr>
                    <a:xfrm>
                      <a:off x="0" y="0"/>
                      <a:ext cx="5057775" cy="3514725"/>
                    </a:xfrm>
                    <a:prstGeom prst="rect">
                      <a:avLst/>
                    </a:prstGeom>
                  </pic:spPr>
                </pic:pic>
              </a:graphicData>
            </a:graphic>
          </wp:inline>
        </w:drawing>
      </w:r>
    </w:p>
    <w:p w:rsidR="008E3F15" w:rsidRDefault="005F449A">
      <w:pPr>
        <w:spacing w:after="359"/>
        <w:ind w:left="2" w:right="15"/>
      </w:pPr>
      <w:r>
        <w:rPr>
          <w:b/>
        </w:rPr>
        <w:t xml:space="preserve">Рис. 1.1. </w:t>
      </w:r>
      <w:r>
        <w:t>Структура сердечно-сосудистой смертности в Соединенных Штатах Америки (Heart Disease and Stroke S</w:t>
      </w:r>
      <w:r>
        <w:t>tatistics — 2023)</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ind w:left="2" w:right="15"/>
      </w:pPr>
      <w:r>
        <w:t>В зависимости от основной причины и механизма развития ИМ выделяют 5 типов заболевания (</w:t>
      </w:r>
      <w:r>
        <w:rPr>
          <w:b/>
        </w:rPr>
        <w:t>табл. 1.1</w:t>
      </w:r>
      <w:r>
        <w:t>). Наиболее изучен ИМ 1-го типа, обусловленный атеротромбозом коронарных артерий</w:t>
      </w:r>
      <w:r>
        <w:t>.</w:t>
      </w:r>
    </w:p>
    <w:p w:rsidR="008E3F15" w:rsidRDefault="005F449A">
      <w:pPr>
        <w:spacing w:after="31"/>
        <w:ind w:left="2" w:right="15"/>
      </w:pPr>
      <w:r>
        <w:rPr>
          <w:b/>
        </w:rPr>
        <w:t xml:space="preserve">Таблица 1.1. </w:t>
      </w:r>
      <w:r>
        <w:t>Классификация типов инфаркта мио карда (ESC/ACCF/AHA/WHF)</w:t>
      </w:r>
    </w:p>
    <w:tbl>
      <w:tblPr>
        <w:tblStyle w:val="TableGrid"/>
        <w:tblW w:w="8610" w:type="dxa"/>
        <w:tblInd w:w="30" w:type="dxa"/>
        <w:tblCellMar>
          <w:top w:w="80" w:type="dxa"/>
          <w:left w:w="45" w:type="dxa"/>
          <w:bottom w:w="0" w:type="dxa"/>
          <w:right w:w="43" w:type="dxa"/>
        </w:tblCellMar>
        <w:tblLook w:val="04A0" w:firstRow="1" w:lastRow="0" w:firstColumn="1" w:lastColumn="0" w:noHBand="0" w:noVBand="1"/>
      </w:tblPr>
      <w:tblGrid>
        <w:gridCol w:w="510"/>
        <w:gridCol w:w="8100"/>
      </w:tblGrid>
      <w:tr w:rsidR="008E3F15">
        <w:trPr>
          <w:trHeight w:val="330"/>
        </w:trPr>
        <w:tc>
          <w:tcPr>
            <w:tcW w:w="510" w:type="dxa"/>
            <w:tcBorders>
              <w:top w:val="single" w:sz="6" w:space="0" w:color="000000"/>
              <w:left w:val="single" w:sz="6" w:space="0" w:color="000000"/>
              <w:bottom w:val="nil"/>
              <w:right w:val="nil"/>
            </w:tcBorders>
          </w:tcPr>
          <w:p w:rsidR="008E3F15" w:rsidRDefault="005F449A">
            <w:pPr>
              <w:spacing w:after="0" w:line="259" w:lineRule="auto"/>
              <w:ind w:left="0" w:right="0" w:firstLine="0"/>
              <w:jc w:val="both"/>
            </w:pPr>
            <w:r>
              <w:rPr>
                <w:b/>
                <w:bdr w:val="single" w:sz="12" w:space="0" w:color="000000"/>
              </w:rPr>
              <w:t>Тип</w:t>
            </w:r>
          </w:p>
        </w:tc>
        <w:tc>
          <w:tcPr>
            <w:tcW w:w="810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rPr>
                <w:b/>
              </w:rPr>
              <w:t>Характеристика</w:t>
            </w:r>
          </w:p>
        </w:tc>
      </w:tr>
      <w:tr w:rsidR="008E3F15">
        <w:trPr>
          <w:trHeight w:val="330"/>
        </w:trPr>
        <w:tc>
          <w:tcPr>
            <w:tcW w:w="5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w:t>
            </w:r>
          </w:p>
        </w:tc>
        <w:tc>
          <w:tcPr>
            <w:tcW w:w="81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Разрыв атеросклеротической бляшки с тромбозом</w:t>
            </w:r>
          </w:p>
        </w:tc>
      </w:tr>
      <w:tr w:rsidR="008E3F15">
        <w:trPr>
          <w:trHeight w:val="330"/>
        </w:trPr>
        <w:tc>
          <w:tcPr>
            <w:tcW w:w="5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2</w:t>
            </w:r>
          </w:p>
        </w:tc>
        <w:tc>
          <w:tcPr>
            <w:tcW w:w="8100"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dr w:val="single" w:sz="12" w:space="0" w:color="000000"/>
              </w:rPr>
              <w:t>Ишемические повреждения мио карда, не связанные с атеротромбозом</w:t>
            </w:r>
          </w:p>
        </w:tc>
      </w:tr>
      <w:tr w:rsidR="008E3F15">
        <w:trPr>
          <w:trHeight w:val="330"/>
        </w:trPr>
        <w:tc>
          <w:tcPr>
            <w:tcW w:w="5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3</w:t>
            </w:r>
          </w:p>
        </w:tc>
        <w:tc>
          <w:tcPr>
            <w:tcW w:w="81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Сердечная смерть предположительно ишемической природы</w:t>
            </w:r>
          </w:p>
        </w:tc>
      </w:tr>
      <w:tr w:rsidR="008E3F15">
        <w:trPr>
          <w:trHeight w:val="330"/>
        </w:trPr>
        <w:tc>
          <w:tcPr>
            <w:tcW w:w="510" w:type="dxa"/>
            <w:vMerge w:val="restart"/>
            <w:tcBorders>
              <w:top w:val="nil"/>
              <w:left w:val="single" w:sz="6" w:space="0" w:color="000000"/>
              <w:bottom w:val="nil"/>
              <w:right w:val="nil"/>
            </w:tcBorders>
          </w:tcPr>
          <w:p w:rsidR="008E3F15" w:rsidRDefault="005F449A">
            <w:pPr>
              <w:spacing w:after="0" w:line="259" w:lineRule="auto"/>
              <w:ind w:left="0" w:right="0" w:firstLine="0"/>
            </w:pPr>
            <w:r>
              <w:rPr>
                <w:bdr w:val="single" w:sz="12" w:space="0" w:color="000000"/>
              </w:rPr>
              <w:t>4а</w:t>
            </w:r>
          </w:p>
          <w:p w:rsidR="008E3F15" w:rsidRDefault="005F449A">
            <w:pPr>
              <w:spacing w:after="0" w:line="259" w:lineRule="auto"/>
              <w:ind w:left="0" w:right="0" w:firstLine="0"/>
            </w:pPr>
            <w:r>
              <w:rPr>
                <w:bdr w:val="single" w:sz="12" w:space="0" w:color="000000"/>
              </w:rPr>
              <w:t>4b</w:t>
            </w:r>
          </w:p>
          <w:p w:rsidR="008E3F15" w:rsidRDefault="005F449A">
            <w:pPr>
              <w:spacing w:after="0" w:line="259" w:lineRule="auto"/>
              <w:ind w:left="0" w:right="0" w:firstLine="0"/>
            </w:pPr>
            <w:r>
              <w:rPr>
                <w:bdr w:val="single" w:sz="12" w:space="0" w:color="000000"/>
              </w:rPr>
              <w:t>4с</w:t>
            </w:r>
          </w:p>
        </w:tc>
        <w:tc>
          <w:tcPr>
            <w:tcW w:w="810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Последствия чрескожного коронарного вмешательства (ЧКВ)</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810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Тромбоз стента</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810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Рестеноз внутри стента или после ангиопластики</w:t>
            </w:r>
          </w:p>
        </w:tc>
      </w:tr>
      <w:tr w:rsidR="008E3F15">
        <w:trPr>
          <w:trHeight w:val="330"/>
        </w:trPr>
        <w:tc>
          <w:tcPr>
            <w:tcW w:w="5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w:t>
            </w:r>
          </w:p>
        </w:tc>
        <w:tc>
          <w:tcPr>
            <w:tcW w:w="8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Последствия коронарного шунтирования (КШ)</w:t>
            </w:r>
          </w:p>
        </w:tc>
      </w:tr>
    </w:tbl>
    <w:p w:rsidR="008E3F15" w:rsidRDefault="005F449A">
      <w:pPr>
        <w:ind w:left="2" w:right="15"/>
      </w:pPr>
      <w:r>
        <w:t>Вместе с тем важно учитывать возможность ИМ, связанного с несоответствием потребности мио карда и кровоснабжения: коронарный спазм, микроваскулярная дисфункция, коронарная эмболия, аномалии гемостаза, расслоение коронарной артерии, мио кардиальные мышечные</w:t>
      </w:r>
      <w:r>
        <w:t xml:space="preserve"> мостики, васкулит, брадикардия, артериальная гипотензия, шок, дыхательная недостаточность, анемия, кровотечение, артериальная гипертензия, тахикардия. Все эти случаи относят к ИМ 2го типа (</w:t>
      </w:r>
      <w:r>
        <w:rPr>
          <w:b/>
        </w:rPr>
        <w:t>рис. 1.2</w:t>
      </w:r>
      <w:r>
        <w:t>). Предложено выделять ИМ 2А типа с коронарной обструкцией</w:t>
      </w:r>
      <w:r>
        <w:t xml:space="preserve"> и худшим прогнозом, 2Б типа без коронарной обструкции. Рекомендуют включать диагноз ИМ 2-го типа в осложнения основного заболевания.</w:t>
      </w:r>
    </w:p>
    <w:p w:rsidR="008E3F15" w:rsidRDefault="005F449A">
      <w:pPr>
        <w:spacing w:after="65" w:line="259" w:lineRule="auto"/>
        <w:ind w:left="0" w:right="0" w:firstLine="0"/>
      </w:pPr>
      <w:r>
        <w:rPr>
          <w:noProof/>
        </w:rPr>
        <w:drawing>
          <wp:inline distT="0" distB="0" distL="0" distR="0">
            <wp:extent cx="5057775" cy="4210050"/>
            <wp:effectExtent l="0" t="0" r="0" b="0"/>
            <wp:docPr id="378" name="Picture 378"/>
            <wp:cNvGraphicFramePr/>
            <a:graphic xmlns:a="http://schemas.openxmlformats.org/drawingml/2006/main">
              <a:graphicData uri="http://schemas.openxmlformats.org/drawingml/2006/picture">
                <pic:pic xmlns:pic="http://schemas.openxmlformats.org/drawingml/2006/picture">
                  <pic:nvPicPr>
                    <pic:cNvPr id="378" name="Picture 378"/>
                    <pic:cNvPicPr/>
                  </pic:nvPicPr>
                  <pic:blipFill>
                    <a:blip r:embed="rId8"/>
                    <a:stretch>
                      <a:fillRect/>
                    </a:stretch>
                  </pic:blipFill>
                  <pic:spPr>
                    <a:xfrm>
                      <a:off x="0" y="0"/>
                      <a:ext cx="5057775" cy="4210050"/>
                    </a:xfrm>
                    <a:prstGeom prst="rect">
                      <a:avLst/>
                    </a:prstGeom>
                  </pic:spPr>
                </pic:pic>
              </a:graphicData>
            </a:graphic>
          </wp:inline>
        </w:drawing>
      </w:r>
    </w:p>
    <w:p w:rsidR="008E3F15" w:rsidRDefault="005F449A">
      <w:pPr>
        <w:spacing w:after="31"/>
        <w:ind w:left="2" w:right="15"/>
      </w:pPr>
      <w:r>
        <w:rPr>
          <w:b/>
        </w:rPr>
        <w:t xml:space="preserve">Рис. 1.2. </w:t>
      </w:r>
      <w:r>
        <w:t>Виды острого повреждения мио карда</w:t>
      </w:r>
    </w:p>
    <w:p w:rsidR="008E3F15" w:rsidRDefault="005F449A">
      <w:pPr>
        <w:ind w:left="2" w:right="254"/>
      </w:pPr>
      <w:r>
        <w:t>Частота ИМ 2-го типа сопоставима с частотой атеротромботического ИМ (Raphae</w:t>
      </w:r>
      <w:r>
        <w:t>l C. et al., 2020). ИМ 2-го типа чаще встречается у женщин, сопровождается болями без иррадиации и меньшим повышением тропонина. В случае отсутствия повреждения бляшки с локальным тромбозом, терапия может включать блокаторы кальциевых каналов при коронарно</w:t>
      </w:r>
      <w:r>
        <w:t>м спазме, коррекцию анемии, кислородотерапию, лечение аритмий, контроль артериального давления (АД) и т.д.</w:t>
      </w:r>
    </w:p>
    <w:p w:rsidR="008E3F15" w:rsidRDefault="005F449A">
      <w:pPr>
        <w:spacing w:after="359"/>
        <w:ind w:left="2" w:right="15"/>
      </w:pPr>
      <w:r>
        <w:t>По данным исследования CHAMPION, у 6% пациентов после ЧКВ развивается перипроцедурный ИМ. Причинами ИМ после коронарного вмешательства могут быть: ок</w:t>
      </w:r>
      <w:r>
        <w:t>клюзия боковой ветви, макро- и микроэмболизация.</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spacing w:after="31"/>
        <w:ind w:left="2" w:right="15"/>
      </w:pPr>
      <w:r>
        <w:t>Диагноз при развитии ИМ часто уточняется в зависимости от изменений</w:t>
      </w:r>
    </w:p>
    <w:p w:rsidR="008E3F15" w:rsidRDefault="005F449A">
      <w:pPr>
        <w:ind w:left="2" w:right="15"/>
      </w:pPr>
      <w:r>
        <w:t>электрокардиограммы (ЭКГ) и появления осложнений. Например, врач скорой помощи устанавли</w:t>
      </w:r>
      <w:r>
        <w:t xml:space="preserve">вает диагноз «острый коронарный синдром», в палате интенсивной терапии после регистрации ЭКГ и определения сердечных биомаркеров диагноз уточняют: «инфаркт мио карда без подъема </w:t>
      </w:r>
      <w:r>
        <w:rPr>
          <w:i/>
        </w:rPr>
        <w:t>ST</w:t>
      </w:r>
      <w:r>
        <w:t>».</w:t>
      </w:r>
    </w:p>
    <w:p w:rsidR="008E3F15" w:rsidRDefault="005F449A">
      <w:pPr>
        <w:ind w:left="2" w:right="15"/>
      </w:pPr>
      <w:r>
        <w:t>Термин «острый коронарный синдром» рекомендуется использовать в качестве предварительного диагноза в течение 24 ч, после этого формулируется диагноз ИМ, нестабильной СК или другого заболевания.</w:t>
      </w:r>
    </w:p>
    <w:p w:rsidR="008E3F15" w:rsidRDefault="005F449A">
      <w:pPr>
        <w:ind w:left="2" w:right="15"/>
      </w:pPr>
      <w:r>
        <w:t>Классификации ИМ и тяжести острой сердечной недостаточности (С</w:t>
      </w:r>
      <w:r>
        <w:t xml:space="preserve">Н) приведены в </w:t>
      </w:r>
      <w:r>
        <w:rPr>
          <w:b/>
        </w:rPr>
        <w:t>табл. 1.1</w:t>
      </w:r>
      <w:r>
        <w:t xml:space="preserve">, </w:t>
      </w:r>
      <w:r>
        <w:rPr>
          <w:b/>
        </w:rPr>
        <w:t>1.2</w:t>
      </w:r>
      <w:r>
        <w:t xml:space="preserve">, на </w:t>
      </w:r>
      <w:r>
        <w:rPr>
          <w:b/>
        </w:rPr>
        <w:t>рис. 1.2</w:t>
      </w:r>
      <w:r>
        <w:t>.</w:t>
      </w:r>
    </w:p>
    <w:p w:rsidR="008E3F15" w:rsidRDefault="005F449A">
      <w:pPr>
        <w:spacing w:after="31"/>
        <w:ind w:left="2" w:right="15"/>
      </w:pPr>
      <w:r>
        <w:rPr>
          <w:b/>
        </w:rPr>
        <w:t xml:space="preserve">Таблица 1.2. </w:t>
      </w:r>
      <w:r>
        <w:t>Классификация острой сердечной недостаточности при инфаркте мио карда</w:t>
      </w:r>
    </w:p>
    <w:p w:rsidR="008E3F15" w:rsidRDefault="005F449A">
      <w:pPr>
        <w:spacing w:after="31"/>
        <w:ind w:left="2" w:right="15"/>
      </w:pPr>
      <w:r>
        <w:t>Killip-Kimball</w:t>
      </w:r>
    </w:p>
    <w:tbl>
      <w:tblPr>
        <w:tblStyle w:val="TableGrid"/>
        <w:tblW w:w="10485" w:type="dxa"/>
        <w:tblInd w:w="30" w:type="dxa"/>
        <w:tblCellMar>
          <w:top w:w="58" w:type="dxa"/>
          <w:left w:w="39" w:type="dxa"/>
          <w:bottom w:w="0" w:type="dxa"/>
          <w:right w:w="51" w:type="dxa"/>
        </w:tblCellMar>
        <w:tblLook w:val="04A0" w:firstRow="1" w:lastRow="0" w:firstColumn="1" w:lastColumn="0" w:noHBand="0" w:noVBand="1"/>
      </w:tblPr>
      <w:tblGrid>
        <w:gridCol w:w="765"/>
        <w:gridCol w:w="5040"/>
        <w:gridCol w:w="1650"/>
        <w:gridCol w:w="3030"/>
      </w:tblGrid>
      <w:tr w:rsidR="008E3F15">
        <w:trPr>
          <w:trHeight w:val="330"/>
        </w:trPr>
        <w:tc>
          <w:tcPr>
            <w:tcW w:w="76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rPr>
                <w:b/>
              </w:rPr>
              <w:t>Класс</w:t>
            </w:r>
          </w:p>
        </w:tc>
        <w:tc>
          <w:tcPr>
            <w:tcW w:w="504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Характеристика</w:t>
            </w:r>
          </w:p>
        </w:tc>
        <w:tc>
          <w:tcPr>
            <w:tcW w:w="468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30-суточная смертность, %*</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 xml:space="preserve">ИМ без подъема </w:t>
            </w:r>
            <w:r>
              <w:rPr>
                <w:b/>
                <w:i/>
              </w:rPr>
              <w:t>ST</w:t>
            </w:r>
          </w:p>
        </w:tc>
        <w:tc>
          <w:tcPr>
            <w:tcW w:w="30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54" w:firstLine="0"/>
            </w:pPr>
            <w:r>
              <w:rPr>
                <w:b/>
              </w:rPr>
              <w:t xml:space="preserve">Инфаркт мио карда с подъемом </w:t>
            </w:r>
            <w:r>
              <w:rPr>
                <w:b/>
                <w:i/>
              </w:rPr>
              <w:t>ST</w:t>
            </w:r>
            <w:r>
              <w:rPr>
                <w:b/>
              </w:rPr>
              <w:t xml:space="preserve"> (ИМп</w:t>
            </w:r>
            <w:r>
              <w:rPr>
                <w:b/>
                <w:i/>
              </w:rPr>
              <w:t>ST</w:t>
            </w:r>
            <w:r>
              <w:rPr>
                <w:b/>
              </w:rPr>
              <w:t>)</w:t>
            </w:r>
          </w:p>
        </w:tc>
      </w:tr>
      <w:tr w:rsidR="008E3F15">
        <w:trPr>
          <w:trHeight w:val="330"/>
        </w:trPr>
        <w:tc>
          <w:tcPr>
            <w:tcW w:w="7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w:t>
            </w:r>
          </w:p>
        </w:tc>
        <w:tc>
          <w:tcPr>
            <w:tcW w:w="50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Нет СН</w:t>
            </w:r>
          </w:p>
        </w:tc>
        <w:tc>
          <w:tcPr>
            <w:tcW w:w="1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3–6</w:t>
            </w:r>
          </w:p>
        </w:tc>
        <w:tc>
          <w:tcPr>
            <w:tcW w:w="30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1,5–4</w:t>
            </w:r>
          </w:p>
        </w:tc>
      </w:tr>
      <w:tr w:rsidR="008E3F15">
        <w:trPr>
          <w:trHeight w:val="81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II</w:t>
            </w:r>
          </w:p>
        </w:tc>
        <w:tc>
          <w:tcPr>
            <w:tcW w:w="50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16" w:firstLine="0"/>
            </w:pPr>
            <w:r>
              <w:t>Влажные хрипы &lt;50% легочных полей, III тон, повышенное давление в яремных венах</w:t>
            </w:r>
          </w:p>
        </w:tc>
        <w:tc>
          <w:tcPr>
            <w:tcW w:w="16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10–12</w:t>
            </w:r>
          </w:p>
        </w:tc>
        <w:tc>
          <w:tcPr>
            <w:tcW w:w="30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9–10</w:t>
            </w:r>
          </w:p>
        </w:tc>
      </w:tr>
      <w:tr w:rsidR="008E3F15">
        <w:trPr>
          <w:trHeight w:val="308"/>
        </w:trPr>
        <w:tc>
          <w:tcPr>
            <w:tcW w:w="7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III</w:t>
            </w:r>
          </w:p>
        </w:tc>
        <w:tc>
          <w:tcPr>
            <w:tcW w:w="504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Влажные хрипы &gt;50% легочных полей</w:t>
            </w:r>
          </w:p>
        </w:tc>
        <w:tc>
          <w:tcPr>
            <w:tcW w:w="16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8" w:right="0" w:firstLine="0"/>
            </w:pPr>
            <w:r>
              <w:t>13–25</w:t>
            </w:r>
          </w:p>
        </w:tc>
        <w:tc>
          <w:tcPr>
            <w:tcW w:w="303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22–27</w:t>
            </w:r>
          </w:p>
        </w:tc>
      </w:tr>
      <w:tr w:rsidR="008E3F15">
        <w:trPr>
          <w:trHeight w:val="188"/>
        </w:trPr>
        <w:tc>
          <w:tcPr>
            <w:tcW w:w="10485" w:type="dxa"/>
            <w:gridSpan w:val="4"/>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08"/>
        </w:trPr>
        <w:tc>
          <w:tcPr>
            <w:tcW w:w="7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IV</w:t>
            </w:r>
          </w:p>
        </w:tc>
        <w:tc>
          <w:tcPr>
            <w:tcW w:w="50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Шок</w:t>
            </w:r>
          </w:p>
        </w:tc>
        <w:tc>
          <w:tcPr>
            <w:tcW w:w="16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24–72</w:t>
            </w:r>
          </w:p>
        </w:tc>
        <w:tc>
          <w:tcPr>
            <w:tcW w:w="303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36–65</w:t>
            </w:r>
          </w:p>
        </w:tc>
      </w:tr>
    </w:tbl>
    <w:p w:rsidR="008E3F15" w:rsidRDefault="005F449A">
      <w:pPr>
        <w:spacing w:after="200"/>
        <w:ind w:left="2" w:right="2389"/>
      </w:pPr>
      <w:r>
        <w:rPr>
          <w:b/>
        </w:rPr>
        <w:t>Примечание.</w:t>
      </w:r>
      <w:r>
        <w:t xml:space="preserve"> * — de Carvalho L. et al., 2015; Mello B. et al., 2014. </w:t>
      </w:r>
      <w:r>
        <w:rPr>
          <w:i/>
        </w:rPr>
        <w:t>Критерии острого ИМ (ESC/ACCF/AHA/WHF):</w:t>
      </w:r>
    </w:p>
    <w:p w:rsidR="008E3F15" w:rsidRDefault="005F449A">
      <w:pPr>
        <w:ind w:left="600" w:right="381"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50127" name="Group 25012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89" name="Shape 489"/>
                        <wps:cNvSpPr/>
                        <wps:spPr>
                          <a:xfrm>
                            <a:off x="0" y="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6"/>
                                </a:cubicBezTo>
                                <a:cubicBezTo>
                                  <a:pt x="56425" y="21134"/>
                                  <a:pt x="57150" y="24780"/>
                                  <a:pt x="57150" y="28575"/>
                                </a:cubicBezTo>
                                <a:cubicBezTo>
                                  <a:pt x="57150" y="32364"/>
                                  <a:pt x="56425" y="36007"/>
                                  <a:pt x="54975" y="39508"/>
                                </a:cubicBezTo>
                                <a:cubicBezTo>
                                  <a:pt x="53525" y="43005"/>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8"/>
                                </a:cubicBezTo>
                                <a:cubicBezTo>
                                  <a:pt x="5690" y="46093"/>
                                  <a:pt x="3625" y="43005"/>
                                  <a:pt x="2175" y="39508"/>
                                </a:cubicBezTo>
                                <a:cubicBezTo>
                                  <a:pt x="725" y="36007"/>
                                  <a:pt x="0" y="32364"/>
                                  <a:pt x="0" y="28575"/>
                                </a:cubicBezTo>
                                <a:cubicBezTo>
                                  <a:pt x="0" y="24780"/>
                                  <a:pt x="725" y="21134"/>
                                  <a:pt x="2175" y="17636"/>
                                </a:cubicBezTo>
                                <a:cubicBezTo>
                                  <a:pt x="3625" y="14132"/>
                                  <a:pt x="5690" y="11044"/>
                                  <a:pt x="8369" y="8365"/>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0127" style="width:4.5pt;height:4.5pt;mso-position-horizontal-relative:char;mso-position-vertical-relative:line" coordsize="571,571">
                <v:shape id="Shape 489" style="position:absolute;width:571;height:571;left:0;top:0;" coordsize="57150,57150" path="m28575,0c32364,0,36009,726,39510,2170c43011,3621,46101,5686,48781,8365c51460,11044,53525,14132,54975,17636c56425,21134,57150,24780,57150,28575c57150,32364,56425,36007,54975,39508c53525,43005,51460,46093,48781,48778c46101,51451,43011,53516,39510,54967c36009,56418,32364,57144,28575,57150c24786,57144,21141,56418,17640,54967c14139,53516,11049,51451,8369,48778c5690,46093,3625,43005,2175,39508c725,36007,0,32364,0,28575c0,24780,725,21134,2175,17636c3625,14132,5690,11044,8369,8365c11049,5686,14139,3621,17640,2170c21141,726,24786,0,28575,0x">
                  <v:stroke weight="0pt" endcap="flat" joinstyle="miter" miterlimit="4" on="false" color="#000000" opacity="0"/>
                  <v:fill on="true" color="#333333"/>
                </v:shape>
              </v:group>
            </w:pict>
          </mc:Fallback>
        </mc:AlternateContent>
      </w:r>
      <w:r>
        <w:t xml:space="preserve"> острое повреждение мио карда с клиникой острой мио кардиальной ишемии и повышением и/или снижением сердечного тропонина, если хотя бы одно значение выше порогового уровня (99 перцентиля) и присутствует хотя бы один</w:t>
      </w:r>
      <w:r>
        <w:t xml:space="preserve"> признак:</w:t>
      </w:r>
    </w:p>
    <w:p w:rsidR="008E3F15" w:rsidRDefault="005F449A">
      <w:pPr>
        <w:ind w:left="940" w:right="3920"/>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column">
                  <wp:posOffset>590550</wp:posOffset>
                </wp:positionH>
                <wp:positionV relativeFrom="paragraph">
                  <wp:posOffset>34751</wp:posOffset>
                </wp:positionV>
                <wp:extent cx="57150" cy="514350"/>
                <wp:effectExtent l="0" t="0" r="0" b="0"/>
                <wp:wrapSquare wrapText="bothSides"/>
                <wp:docPr id="250128" name="Group 25012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493" name="Shape 493"/>
                        <wps:cNvSpPr/>
                        <wps:spPr>
                          <a:xfrm>
                            <a:off x="0" y="0"/>
                            <a:ext cx="57150" cy="57150"/>
                          </a:xfrm>
                          <a:custGeom>
                            <a:avLst/>
                            <a:gdLst/>
                            <a:ahLst/>
                            <a:cxnLst/>
                            <a:rect l="0" t="0" r="0" b="0"/>
                            <a:pathLst>
                              <a:path w="57150" h="57150">
                                <a:moveTo>
                                  <a:pt x="28575" y="0"/>
                                </a:moveTo>
                                <a:cubicBezTo>
                                  <a:pt x="32364" y="0"/>
                                  <a:pt x="36009" y="719"/>
                                  <a:pt x="39510" y="2167"/>
                                </a:cubicBezTo>
                                <a:cubicBezTo>
                                  <a:pt x="43011" y="3618"/>
                                  <a:pt x="46101" y="5683"/>
                                  <a:pt x="48781" y="8365"/>
                                </a:cubicBezTo>
                                <a:cubicBezTo>
                                  <a:pt x="51460" y="11041"/>
                                  <a:pt x="53525" y="14129"/>
                                  <a:pt x="54975" y="17630"/>
                                </a:cubicBezTo>
                                <a:cubicBezTo>
                                  <a:pt x="56425" y="21134"/>
                                  <a:pt x="57150" y="24780"/>
                                  <a:pt x="57150" y="28575"/>
                                </a:cubicBezTo>
                                <a:cubicBezTo>
                                  <a:pt x="57150" y="32361"/>
                                  <a:pt x="56425" y="36001"/>
                                  <a:pt x="54975" y="39505"/>
                                </a:cubicBezTo>
                                <a:cubicBezTo>
                                  <a:pt x="53525" y="43005"/>
                                  <a:pt x="51460" y="46093"/>
                                  <a:pt x="48781" y="48772"/>
                                </a:cubicBezTo>
                                <a:cubicBezTo>
                                  <a:pt x="46101" y="51451"/>
                                  <a:pt x="43011" y="53516"/>
                                  <a:pt x="39510" y="54964"/>
                                </a:cubicBezTo>
                                <a:cubicBezTo>
                                  <a:pt x="36009" y="56415"/>
                                  <a:pt x="32364" y="57144"/>
                                  <a:pt x="28575" y="57150"/>
                                </a:cubicBezTo>
                                <a:cubicBezTo>
                                  <a:pt x="24786" y="57144"/>
                                  <a:pt x="21141" y="56415"/>
                                  <a:pt x="17640" y="54964"/>
                                </a:cubicBezTo>
                                <a:cubicBezTo>
                                  <a:pt x="14139" y="53516"/>
                                  <a:pt x="11049" y="51451"/>
                                  <a:pt x="8370" y="48772"/>
                                </a:cubicBezTo>
                                <a:cubicBezTo>
                                  <a:pt x="5690" y="46093"/>
                                  <a:pt x="3625" y="43005"/>
                                  <a:pt x="2175" y="39505"/>
                                </a:cubicBezTo>
                                <a:cubicBezTo>
                                  <a:pt x="725" y="36001"/>
                                  <a:pt x="0" y="32361"/>
                                  <a:pt x="0" y="28575"/>
                                </a:cubicBezTo>
                                <a:cubicBezTo>
                                  <a:pt x="0" y="24780"/>
                                  <a:pt x="725" y="21134"/>
                                  <a:pt x="2175" y="17630"/>
                                </a:cubicBezTo>
                                <a:cubicBezTo>
                                  <a:pt x="3625" y="14129"/>
                                  <a:pt x="5690" y="11041"/>
                                  <a:pt x="8370" y="8365"/>
                                </a:cubicBezTo>
                                <a:cubicBezTo>
                                  <a:pt x="11049" y="5683"/>
                                  <a:pt x="14139" y="3618"/>
                                  <a:pt x="17640" y="2167"/>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95" name="Shape 495"/>
                        <wps:cNvSpPr/>
                        <wps:spPr>
                          <a:xfrm>
                            <a:off x="0" y="152400"/>
                            <a:ext cx="57150" cy="57150"/>
                          </a:xfrm>
                          <a:custGeom>
                            <a:avLst/>
                            <a:gdLst/>
                            <a:ahLst/>
                            <a:cxnLst/>
                            <a:rect l="0" t="0" r="0" b="0"/>
                            <a:pathLst>
                              <a:path w="57150" h="57150">
                                <a:moveTo>
                                  <a:pt x="28575" y="0"/>
                                </a:moveTo>
                                <a:cubicBezTo>
                                  <a:pt x="32364" y="0"/>
                                  <a:pt x="36009" y="726"/>
                                  <a:pt x="39510" y="2170"/>
                                </a:cubicBezTo>
                                <a:cubicBezTo>
                                  <a:pt x="43011" y="3618"/>
                                  <a:pt x="46101" y="5683"/>
                                  <a:pt x="48781" y="8365"/>
                                </a:cubicBezTo>
                                <a:cubicBezTo>
                                  <a:pt x="51460" y="11041"/>
                                  <a:pt x="53525" y="14129"/>
                                  <a:pt x="54975" y="17630"/>
                                </a:cubicBezTo>
                                <a:cubicBezTo>
                                  <a:pt x="56425" y="21134"/>
                                  <a:pt x="57150" y="24783"/>
                                  <a:pt x="57150" y="28575"/>
                                </a:cubicBezTo>
                                <a:cubicBezTo>
                                  <a:pt x="57150" y="32355"/>
                                  <a:pt x="56425" y="35998"/>
                                  <a:pt x="54975" y="39498"/>
                                </a:cubicBezTo>
                                <a:cubicBezTo>
                                  <a:pt x="53525" y="43002"/>
                                  <a:pt x="51460" y="46090"/>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70" y="48772"/>
                                </a:cubicBezTo>
                                <a:cubicBezTo>
                                  <a:pt x="5690" y="46090"/>
                                  <a:pt x="3625" y="43002"/>
                                  <a:pt x="2175" y="39498"/>
                                </a:cubicBezTo>
                                <a:cubicBezTo>
                                  <a:pt x="725" y="35998"/>
                                  <a:pt x="0" y="32355"/>
                                  <a:pt x="0" y="28575"/>
                                </a:cubicBezTo>
                                <a:cubicBezTo>
                                  <a:pt x="0" y="24783"/>
                                  <a:pt x="725" y="21134"/>
                                  <a:pt x="2175" y="17630"/>
                                </a:cubicBezTo>
                                <a:cubicBezTo>
                                  <a:pt x="3625" y="14129"/>
                                  <a:pt x="5690" y="11041"/>
                                  <a:pt x="8370" y="8365"/>
                                </a:cubicBezTo>
                                <a:cubicBezTo>
                                  <a:pt x="11049" y="5683"/>
                                  <a:pt x="14139" y="3618"/>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97" name="Shape 497"/>
                        <wps:cNvSpPr/>
                        <wps:spPr>
                          <a:xfrm>
                            <a:off x="0" y="304800"/>
                            <a:ext cx="57150" cy="57150"/>
                          </a:xfrm>
                          <a:custGeom>
                            <a:avLst/>
                            <a:gdLst/>
                            <a:ahLst/>
                            <a:cxnLst/>
                            <a:rect l="0" t="0" r="0" b="0"/>
                            <a:pathLst>
                              <a:path w="57150" h="57150">
                                <a:moveTo>
                                  <a:pt x="28575" y="0"/>
                                </a:moveTo>
                                <a:cubicBezTo>
                                  <a:pt x="32364" y="0"/>
                                  <a:pt x="36009" y="726"/>
                                  <a:pt x="39510" y="2170"/>
                                </a:cubicBezTo>
                                <a:cubicBezTo>
                                  <a:pt x="43011" y="3621"/>
                                  <a:pt x="46101" y="5686"/>
                                  <a:pt x="48781" y="8362"/>
                                </a:cubicBezTo>
                                <a:cubicBezTo>
                                  <a:pt x="51460" y="11041"/>
                                  <a:pt x="53525" y="14129"/>
                                  <a:pt x="54975" y="17630"/>
                                </a:cubicBezTo>
                                <a:cubicBezTo>
                                  <a:pt x="56425" y="21134"/>
                                  <a:pt x="57150" y="24780"/>
                                  <a:pt x="57150" y="28575"/>
                                </a:cubicBezTo>
                                <a:cubicBezTo>
                                  <a:pt x="57150" y="32361"/>
                                  <a:pt x="56425" y="36001"/>
                                  <a:pt x="54975" y="39505"/>
                                </a:cubicBezTo>
                                <a:cubicBezTo>
                                  <a:pt x="53525" y="43005"/>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70" y="48778"/>
                                </a:cubicBezTo>
                                <a:cubicBezTo>
                                  <a:pt x="5690" y="46093"/>
                                  <a:pt x="3625" y="43005"/>
                                  <a:pt x="2175" y="39505"/>
                                </a:cubicBezTo>
                                <a:cubicBezTo>
                                  <a:pt x="725" y="36001"/>
                                  <a:pt x="0" y="32361"/>
                                  <a:pt x="0" y="28575"/>
                                </a:cubicBezTo>
                                <a:cubicBezTo>
                                  <a:pt x="0" y="24780"/>
                                  <a:pt x="725" y="21134"/>
                                  <a:pt x="2175" y="17630"/>
                                </a:cubicBezTo>
                                <a:cubicBezTo>
                                  <a:pt x="3625" y="14129"/>
                                  <a:pt x="5690" y="11041"/>
                                  <a:pt x="8370" y="8362"/>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01" name="Shape 501"/>
                        <wps:cNvSpPr/>
                        <wps:spPr>
                          <a:xfrm>
                            <a:off x="0" y="457200"/>
                            <a:ext cx="57150" cy="57150"/>
                          </a:xfrm>
                          <a:custGeom>
                            <a:avLst/>
                            <a:gdLst/>
                            <a:ahLst/>
                            <a:cxnLst/>
                            <a:rect l="0" t="0" r="0" b="0"/>
                            <a:pathLst>
                              <a:path w="57150" h="57150">
                                <a:moveTo>
                                  <a:pt x="28575" y="0"/>
                                </a:moveTo>
                                <a:cubicBezTo>
                                  <a:pt x="32364" y="0"/>
                                  <a:pt x="36009" y="719"/>
                                  <a:pt x="39510" y="2167"/>
                                </a:cubicBezTo>
                                <a:cubicBezTo>
                                  <a:pt x="43011" y="3618"/>
                                  <a:pt x="46101" y="5683"/>
                                  <a:pt x="48781" y="8362"/>
                                </a:cubicBezTo>
                                <a:cubicBezTo>
                                  <a:pt x="51460" y="11035"/>
                                  <a:pt x="53525" y="14123"/>
                                  <a:pt x="54975" y="17627"/>
                                </a:cubicBezTo>
                                <a:cubicBezTo>
                                  <a:pt x="56425" y="21127"/>
                                  <a:pt x="57150" y="24780"/>
                                  <a:pt x="57150" y="28575"/>
                                </a:cubicBezTo>
                                <a:cubicBezTo>
                                  <a:pt x="57150" y="32355"/>
                                  <a:pt x="56425" y="35998"/>
                                  <a:pt x="54975" y="39498"/>
                                </a:cubicBezTo>
                                <a:cubicBezTo>
                                  <a:pt x="53525" y="43002"/>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70" y="48778"/>
                                </a:cubicBezTo>
                                <a:cubicBezTo>
                                  <a:pt x="5690" y="46093"/>
                                  <a:pt x="3625" y="43002"/>
                                  <a:pt x="2175" y="39498"/>
                                </a:cubicBezTo>
                                <a:cubicBezTo>
                                  <a:pt x="725" y="35998"/>
                                  <a:pt x="0" y="32355"/>
                                  <a:pt x="0" y="28575"/>
                                </a:cubicBezTo>
                                <a:cubicBezTo>
                                  <a:pt x="0" y="24780"/>
                                  <a:pt x="725" y="21127"/>
                                  <a:pt x="2175" y="17627"/>
                                </a:cubicBezTo>
                                <a:cubicBezTo>
                                  <a:pt x="3625" y="14123"/>
                                  <a:pt x="5690" y="11035"/>
                                  <a:pt x="8370" y="8362"/>
                                </a:cubicBezTo>
                                <a:cubicBezTo>
                                  <a:pt x="11049" y="5683"/>
                                  <a:pt x="14139" y="3618"/>
                                  <a:pt x="17640" y="2167"/>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128" style="width:4.50001pt;height:40.5pt;position:absolute;mso-position-horizontal-relative:text;mso-position-horizontal:absolute;margin-left:46.5pt;mso-position-vertical-relative:text;margin-top:2.73633pt;" coordsize="571,5143">
                <v:shape id="Shape 493" style="position:absolute;width:571;height:571;left:0;top:0;" coordsize="57150,57150" path="m28575,0c32364,0,36009,719,39510,2167c43011,3618,46101,5683,48781,8365c51460,11041,53525,14129,54975,17630c56425,21134,57150,24780,57150,28575c57150,32361,56425,36001,54975,39505c53525,43005,51460,46093,48781,48772c46101,51451,43011,53516,39510,54964c36009,56415,32364,57144,28575,57150c24786,57144,21141,56415,17640,54964c14139,53516,11049,51451,8370,48772c5690,46093,3625,43005,2175,39505c725,36001,0,32361,0,28575c0,24780,725,21134,2175,17630c3625,14129,5690,11041,8370,8365c11049,5683,14139,3618,17640,2167c21141,719,24786,0,28575,0x">
                  <v:stroke weight="0pt" endcap="flat" joinstyle="miter" miterlimit="4" on="false" color="#000000" opacity="0"/>
                  <v:fill on="true" color="#333333"/>
                </v:shape>
                <v:shape id="Shape 495" style="position:absolute;width:571;height:571;left:0;top:1524;" coordsize="57150,57150" path="m28575,0c32364,0,36009,726,39510,2170c43011,3618,46101,5683,48781,8365c51460,11041,53525,14129,54975,17630c56425,21134,57150,24783,57150,28575c57150,32355,56425,35998,54975,39498c53525,43002,51460,46090,48781,48772c46101,51451,43011,53516,39510,54967c36009,56418,32364,57144,28575,57150c24786,57144,21141,56418,17640,54967c14139,53516,11049,51451,8370,48772c5690,46090,3625,43002,2175,39498c725,35998,0,32355,0,28575c0,24783,725,21134,2175,17630c3625,14129,5690,11041,8370,8365c11049,5683,14139,3618,17640,2170c21141,726,24786,0,28575,0x">
                  <v:stroke weight="0pt" endcap="flat" joinstyle="miter" miterlimit="4" on="false" color="#000000" opacity="0"/>
                  <v:fill on="true" color="#333333"/>
                </v:shape>
                <v:shape id="Shape 497" style="position:absolute;width:571;height:571;left:0;top:3048;" coordsize="57150,57150" path="m28575,0c32364,0,36009,726,39510,2170c43011,3621,46101,5686,48781,8362c51460,11041,53525,14129,54975,17630c56425,21134,57150,24780,57150,28575c57150,32361,56425,36001,54975,39505c53525,43005,51460,46093,48781,48778c46101,51451,43011,53516,39510,54967c36009,56418,32364,57144,28575,57150c24786,57144,21141,56418,17640,54967c14139,53516,11049,51451,8370,48778c5690,46093,3625,43005,2175,39505c725,36001,0,32361,0,28575c0,24780,725,21134,2175,17630c3625,14129,5690,11041,8370,8362c11049,5686,14139,3621,17640,2170c21141,726,24786,0,28575,0x">
                  <v:stroke weight="0pt" endcap="flat" joinstyle="miter" miterlimit="4" on="false" color="#000000" opacity="0"/>
                  <v:fill on="true" color="#333333"/>
                </v:shape>
                <v:shape id="Shape 501" style="position:absolute;width:571;height:571;left:0;top:4572;" coordsize="57150,57150" path="m28575,0c32364,0,36009,719,39510,2167c43011,3618,46101,5683,48781,8362c51460,11035,53525,14123,54975,17627c56425,21127,57150,24780,57150,28575c57150,32355,56425,35998,54975,39498c53525,43002,51460,46093,48781,48778c46101,51451,43011,53516,39510,54967c36009,56418,32364,57144,28575,57150c24786,57144,21141,56418,17640,54967c14139,53516,11049,51451,8370,48778c5690,46093,3625,43002,2175,39498c725,35998,0,32355,0,28575c0,24780,725,21127,2175,17627c3625,14123,5690,11035,8370,8362c11049,5683,14139,3618,17640,2167c21141,719,24786,0,28575,0x">
                  <v:stroke weight="0pt" endcap="flat" joinstyle="miter" miterlimit="4" on="false" color="#000000" opacity="0"/>
                  <v:fill on="true" color="#333333"/>
                </v:shape>
                <w10:wrap type="square"/>
              </v:group>
            </w:pict>
          </mc:Fallback>
        </mc:AlternateContent>
      </w:r>
      <w:r>
        <w:t xml:space="preserve">симптомы ишемии мио карда; новые ишемические изменения на ЭКГ; формирование патологических зубцов </w:t>
      </w:r>
      <w:r>
        <w:rPr>
          <w:i/>
        </w:rPr>
        <w:t>Q</w:t>
      </w:r>
      <w:r>
        <w:t xml:space="preserve"> на ЭКГ;</w:t>
      </w:r>
    </w:p>
    <w:p w:rsidR="008E3F15" w:rsidRDefault="005F449A">
      <w:pPr>
        <w:ind w:left="940" w:right="925"/>
      </w:pPr>
      <w:r>
        <w:t>визуализационные признаки новой потери жизнеспособного мио карда или нарушений локальной сократимости, характерные для ишемической этиологии;</w:t>
      </w:r>
    </w:p>
    <w:p w:rsidR="008E3F15" w:rsidRDefault="005F449A">
      <w:pPr>
        <w:ind w:left="1200" w:right="15" w:hanging="270"/>
      </w:pPr>
      <w:r>
        <w:rPr>
          <w:rFonts w:ascii="Calibri" w:eastAsia="Calibri" w:hAnsi="Calibri" w:cs="Calibri"/>
          <w:noProof/>
          <w:color w:val="000000"/>
          <w:sz w:val="22"/>
        </w:rPr>
        <mc:AlternateContent>
          <mc:Choice Requires="wpg">
            <w:drawing>
              <wp:inline distT="0" distB="0" distL="0" distR="0">
                <wp:extent cx="57150" cy="57147"/>
                <wp:effectExtent l="0" t="0" r="0" b="0"/>
                <wp:docPr id="250129" name="Group 250129"/>
                <wp:cNvGraphicFramePr/>
                <a:graphic xmlns:a="http://schemas.openxmlformats.org/drawingml/2006/main">
                  <a:graphicData uri="http://schemas.microsoft.com/office/word/2010/wordprocessingGroup">
                    <wpg:wgp>
                      <wpg:cNvGrpSpPr/>
                      <wpg:grpSpPr>
                        <a:xfrm>
                          <a:off x="0" y="0"/>
                          <a:ext cx="57150" cy="57147"/>
                          <a:chOff x="0" y="0"/>
                          <a:chExt cx="57150" cy="57147"/>
                        </a:xfrm>
                      </wpg:grpSpPr>
                      <wps:wsp>
                        <wps:cNvPr id="505" name="Shape 505"/>
                        <wps:cNvSpPr/>
                        <wps:spPr>
                          <a:xfrm>
                            <a:off x="0" y="0"/>
                            <a:ext cx="57150" cy="57147"/>
                          </a:xfrm>
                          <a:custGeom>
                            <a:avLst/>
                            <a:gdLst/>
                            <a:ahLst/>
                            <a:cxnLst/>
                            <a:rect l="0" t="0" r="0" b="0"/>
                            <a:pathLst>
                              <a:path w="57150" h="57147">
                                <a:moveTo>
                                  <a:pt x="28575" y="0"/>
                                </a:moveTo>
                                <a:cubicBezTo>
                                  <a:pt x="32364" y="0"/>
                                  <a:pt x="36009" y="719"/>
                                  <a:pt x="39510" y="2167"/>
                                </a:cubicBezTo>
                                <a:cubicBezTo>
                                  <a:pt x="43011" y="3612"/>
                                  <a:pt x="46101" y="5677"/>
                                  <a:pt x="48781" y="8362"/>
                                </a:cubicBezTo>
                                <a:cubicBezTo>
                                  <a:pt x="51460" y="11035"/>
                                  <a:pt x="53525" y="14129"/>
                                  <a:pt x="54975" y="17633"/>
                                </a:cubicBezTo>
                                <a:cubicBezTo>
                                  <a:pt x="56425" y="21130"/>
                                  <a:pt x="57150" y="24783"/>
                                  <a:pt x="57150" y="28572"/>
                                </a:cubicBezTo>
                                <a:cubicBezTo>
                                  <a:pt x="57150" y="32361"/>
                                  <a:pt x="56425" y="36001"/>
                                  <a:pt x="54975" y="39505"/>
                                </a:cubicBezTo>
                                <a:cubicBezTo>
                                  <a:pt x="53525" y="43008"/>
                                  <a:pt x="51460" y="46096"/>
                                  <a:pt x="48781" y="48775"/>
                                </a:cubicBezTo>
                                <a:cubicBezTo>
                                  <a:pt x="46101" y="51454"/>
                                  <a:pt x="43011" y="53519"/>
                                  <a:pt x="39510" y="54970"/>
                                </a:cubicBezTo>
                                <a:cubicBezTo>
                                  <a:pt x="36009" y="56421"/>
                                  <a:pt x="32364" y="57147"/>
                                  <a:pt x="28575" y="57147"/>
                                </a:cubicBezTo>
                                <a:cubicBezTo>
                                  <a:pt x="24786" y="57147"/>
                                  <a:pt x="21141" y="56421"/>
                                  <a:pt x="17640" y="54970"/>
                                </a:cubicBezTo>
                                <a:cubicBezTo>
                                  <a:pt x="14139" y="53519"/>
                                  <a:pt x="11049" y="51454"/>
                                  <a:pt x="8370" y="48775"/>
                                </a:cubicBezTo>
                                <a:cubicBezTo>
                                  <a:pt x="5690" y="46096"/>
                                  <a:pt x="3625" y="43008"/>
                                  <a:pt x="2175" y="39505"/>
                                </a:cubicBezTo>
                                <a:cubicBezTo>
                                  <a:pt x="725" y="36001"/>
                                  <a:pt x="0" y="32361"/>
                                  <a:pt x="0" y="28572"/>
                                </a:cubicBezTo>
                                <a:cubicBezTo>
                                  <a:pt x="0" y="24783"/>
                                  <a:pt x="725" y="21130"/>
                                  <a:pt x="2175" y="17633"/>
                                </a:cubicBezTo>
                                <a:cubicBezTo>
                                  <a:pt x="3625" y="14129"/>
                                  <a:pt x="5690" y="11035"/>
                                  <a:pt x="8370" y="8362"/>
                                </a:cubicBezTo>
                                <a:cubicBezTo>
                                  <a:pt x="11049" y="5677"/>
                                  <a:pt x="14139" y="3612"/>
                                  <a:pt x="17640" y="2167"/>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0129" style="width:4.50001pt;height:4.49976pt;mso-position-horizontal-relative:char;mso-position-vertical-relative:line" coordsize="571,571">
                <v:shape id="Shape 505" style="position:absolute;width:571;height:571;left:0;top:0;" coordsize="57150,57147" path="m28575,0c32364,0,36009,719,39510,2167c43011,3612,46101,5677,48781,8362c51460,11035,53525,14129,54975,17633c56425,21130,57150,24783,57150,28572c57150,32361,56425,36001,54975,39505c53525,43008,51460,46096,48781,48775c46101,51454,43011,53519,39510,54970c36009,56421,32364,57147,28575,57147c24786,57147,21141,56421,17640,54970c14139,53519,11049,51454,8370,48775c5690,46096,3625,43008,2175,39505c725,36001,0,32361,0,28572c0,24783,725,21130,2175,17633c3625,14129,5690,11035,8370,8362c11049,5677,14139,3612,17640,2167c21141,719,24786,0,28575,0x">
                  <v:stroke weight="0pt" endcap="flat" joinstyle="miter" miterlimit="4" on="false" color="#000000" opacity="0"/>
                  <v:fill on="true" color="#333333"/>
                </v:shape>
              </v:group>
            </w:pict>
          </mc:Fallback>
        </mc:AlternateContent>
      </w:r>
      <w:r>
        <w:t xml:space="preserve"> внутрикоронарный тромб при ангиографии или аутопсии (не для 2-го и 3-го типов);</w:t>
      </w:r>
    </w:p>
    <w:p w:rsidR="008E3F15" w:rsidRDefault="005F449A">
      <w:pPr>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250130" name="Group 25013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08" name="Shape 508"/>
                        <wps:cNvSpPr/>
                        <wps:spPr>
                          <a:xfrm>
                            <a:off x="0" y="0"/>
                            <a:ext cx="57150" cy="57150"/>
                          </a:xfrm>
                          <a:custGeom>
                            <a:avLst/>
                            <a:gdLst/>
                            <a:ahLst/>
                            <a:cxnLst/>
                            <a:rect l="0" t="0" r="0" b="0"/>
                            <a:pathLst>
                              <a:path w="57150" h="57150">
                                <a:moveTo>
                                  <a:pt x="28575" y="0"/>
                                </a:moveTo>
                                <a:cubicBezTo>
                                  <a:pt x="32364" y="0"/>
                                  <a:pt x="36009" y="726"/>
                                  <a:pt x="39510" y="2177"/>
                                </a:cubicBezTo>
                                <a:cubicBezTo>
                                  <a:pt x="43011" y="3621"/>
                                  <a:pt x="46101" y="5686"/>
                                  <a:pt x="48781" y="8372"/>
                                </a:cubicBezTo>
                                <a:cubicBezTo>
                                  <a:pt x="51460" y="11050"/>
                                  <a:pt x="53525" y="14139"/>
                                  <a:pt x="54975" y="17636"/>
                                </a:cubicBezTo>
                                <a:cubicBezTo>
                                  <a:pt x="56425" y="21140"/>
                                  <a:pt x="57150" y="24786"/>
                                  <a:pt x="57150" y="28575"/>
                                </a:cubicBezTo>
                                <a:cubicBezTo>
                                  <a:pt x="57150" y="32358"/>
                                  <a:pt x="56425" y="35998"/>
                                  <a:pt x="54975" y="39501"/>
                                </a:cubicBezTo>
                                <a:cubicBezTo>
                                  <a:pt x="53525" y="43005"/>
                                  <a:pt x="51460" y="46093"/>
                                  <a:pt x="48781" y="48778"/>
                                </a:cubicBezTo>
                                <a:cubicBezTo>
                                  <a:pt x="46101" y="51451"/>
                                  <a:pt x="43011" y="53516"/>
                                  <a:pt x="39510" y="54973"/>
                                </a:cubicBezTo>
                                <a:cubicBezTo>
                                  <a:pt x="36009" y="56424"/>
                                  <a:pt x="32364" y="57150"/>
                                  <a:pt x="28575" y="57150"/>
                                </a:cubicBezTo>
                                <a:cubicBezTo>
                                  <a:pt x="24786" y="57150"/>
                                  <a:pt x="21141" y="56424"/>
                                  <a:pt x="17640" y="54973"/>
                                </a:cubicBezTo>
                                <a:cubicBezTo>
                                  <a:pt x="14139" y="53516"/>
                                  <a:pt x="11049" y="51451"/>
                                  <a:pt x="8369" y="48778"/>
                                </a:cubicBezTo>
                                <a:cubicBezTo>
                                  <a:pt x="5690" y="46093"/>
                                  <a:pt x="3625" y="43005"/>
                                  <a:pt x="2175" y="39501"/>
                                </a:cubicBezTo>
                                <a:cubicBezTo>
                                  <a:pt x="725" y="35998"/>
                                  <a:pt x="0" y="32358"/>
                                  <a:pt x="0" y="28575"/>
                                </a:cubicBezTo>
                                <a:cubicBezTo>
                                  <a:pt x="0" y="24786"/>
                                  <a:pt x="725" y="21140"/>
                                  <a:pt x="2175" y="17636"/>
                                </a:cubicBezTo>
                                <a:cubicBezTo>
                                  <a:pt x="3625" y="14139"/>
                                  <a:pt x="5690" y="11050"/>
                                  <a:pt x="8369" y="8372"/>
                                </a:cubicBezTo>
                                <a:cubicBezTo>
                                  <a:pt x="11049" y="5686"/>
                                  <a:pt x="14139" y="3621"/>
                                  <a:pt x="17640" y="2177"/>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0130" style="width:4.5pt;height:4.5pt;mso-position-horizontal-relative:char;mso-position-vertical-relative:line" coordsize="571,571">
                <v:shape id="Shape 508" style="position:absolute;width:571;height:571;left:0;top:0;" coordsize="57150,57150" path="m28575,0c32364,0,36009,726,39510,2177c43011,3621,46101,5686,48781,8372c51460,11050,53525,14139,54975,17636c56425,21140,57150,24786,57150,28575c57150,32358,56425,35998,54975,39501c53525,43005,51460,46093,48781,48778c46101,51451,43011,53516,39510,54973c36009,56424,32364,57150,28575,57150c24786,57150,21141,56424,17640,54973c14139,53516,11049,51451,8369,48778c5690,46093,3625,43005,2175,39501c725,35998,0,32358,0,28575c0,24786,725,21140,2175,17636c3625,14139,5690,11050,8369,8372c11049,5686,14139,3621,17640,2177c21141,726,24786,0,28575,0x">
                  <v:stroke weight="0pt" endcap="flat" joinstyle="miter" miterlimit="4" on="false" color="#000000" opacity="0"/>
                  <v:fill on="true" color="#333333"/>
                </v:shape>
              </v:group>
            </w:pict>
          </mc:Fallback>
        </mc:AlternateContent>
      </w:r>
      <w:r>
        <w:t xml:space="preserve"> сердечная смерть с симптомами, возможно связанными с ишемией мио карда, сопровождающаяся предположительно новыми ишемическими изменениями ЭКГ или фибрилляцией желудочков (ФЖ), если смерть наступила до получения образцов крови или до повышения уровня биома</w:t>
      </w:r>
      <w:r>
        <w:t xml:space="preserve">ркеров или ИМ выявлен при аутопсии; </w:t>
      </w:r>
      <w:r>
        <w:rPr>
          <w:rFonts w:ascii="Calibri" w:eastAsia="Calibri" w:hAnsi="Calibri" w:cs="Calibri"/>
          <w:noProof/>
          <w:color w:val="000000"/>
          <w:sz w:val="22"/>
        </w:rPr>
        <mc:AlternateContent>
          <mc:Choice Requires="wpg">
            <w:drawing>
              <wp:inline distT="0" distB="0" distL="0" distR="0">
                <wp:extent cx="57150" cy="57150"/>
                <wp:effectExtent l="0" t="0" r="0" b="0"/>
                <wp:docPr id="250131" name="Group 25013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13" name="Shape 513"/>
                        <wps:cNvSpPr/>
                        <wps:spPr>
                          <a:xfrm>
                            <a:off x="0" y="0"/>
                            <a:ext cx="57150" cy="57150"/>
                          </a:xfrm>
                          <a:custGeom>
                            <a:avLst/>
                            <a:gdLst/>
                            <a:ahLst/>
                            <a:cxnLst/>
                            <a:rect l="0" t="0" r="0" b="0"/>
                            <a:pathLst>
                              <a:path w="57150" h="57150">
                                <a:moveTo>
                                  <a:pt x="28575" y="0"/>
                                </a:moveTo>
                                <a:cubicBezTo>
                                  <a:pt x="32364" y="0"/>
                                  <a:pt x="36009" y="726"/>
                                  <a:pt x="39510" y="2170"/>
                                </a:cubicBezTo>
                                <a:cubicBezTo>
                                  <a:pt x="43011" y="3621"/>
                                  <a:pt x="46101" y="5686"/>
                                  <a:pt x="48781" y="8372"/>
                                </a:cubicBezTo>
                                <a:cubicBezTo>
                                  <a:pt x="51460" y="11044"/>
                                  <a:pt x="53525" y="14139"/>
                                  <a:pt x="54975" y="17636"/>
                                </a:cubicBezTo>
                                <a:cubicBezTo>
                                  <a:pt x="56425" y="21140"/>
                                  <a:pt x="57150" y="24786"/>
                                  <a:pt x="57150" y="28575"/>
                                </a:cubicBezTo>
                                <a:cubicBezTo>
                                  <a:pt x="57150" y="32364"/>
                                  <a:pt x="56425" y="36004"/>
                                  <a:pt x="54975" y="39508"/>
                                </a:cubicBezTo>
                                <a:cubicBezTo>
                                  <a:pt x="53525" y="43011"/>
                                  <a:pt x="51460" y="46100"/>
                                  <a:pt x="48781" y="48778"/>
                                </a:cubicBezTo>
                                <a:cubicBezTo>
                                  <a:pt x="46101" y="51457"/>
                                  <a:pt x="43011" y="53522"/>
                                  <a:pt x="39510" y="54967"/>
                                </a:cubicBezTo>
                                <a:cubicBezTo>
                                  <a:pt x="36009" y="56418"/>
                                  <a:pt x="32364" y="57150"/>
                                  <a:pt x="28575" y="57150"/>
                                </a:cubicBezTo>
                                <a:cubicBezTo>
                                  <a:pt x="24786" y="57150"/>
                                  <a:pt x="21141" y="56418"/>
                                  <a:pt x="17640" y="54967"/>
                                </a:cubicBezTo>
                                <a:cubicBezTo>
                                  <a:pt x="14139" y="53522"/>
                                  <a:pt x="11049" y="51457"/>
                                  <a:pt x="8369" y="48778"/>
                                </a:cubicBezTo>
                                <a:cubicBezTo>
                                  <a:pt x="5690" y="46100"/>
                                  <a:pt x="3625" y="43011"/>
                                  <a:pt x="2175" y="39508"/>
                                </a:cubicBezTo>
                                <a:cubicBezTo>
                                  <a:pt x="725" y="36004"/>
                                  <a:pt x="0" y="32364"/>
                                  <a:pt x="0" y="28575"/>
                                </a:cubicBezTo>
                                <a:cubicBezTo>
                                  <a:pt x="0" y="24786"/>
                                  <a:pt x="725" y="21140"/>
                                  <a:pt x="2175" y="17636"/>
                                </a:cubicBezTo>
                                <a:cubicBezTo>
                                  <a:pt x="3625" y="14139"/>
                                  <a:pt x="5690" y="11044"/>
                                  <a:pt x="8369" y="8372"/>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0131" style="width:4.5pt;height:4.5pt;mso-position-horizontal-relative:char;mso-position-vertical-relative:line" coordsize="571,571">
                <v:shape id="Shape 513" style="position:absolute;width:571;height:571;left:0;top:0;" coordsize="57150,57150" path="m28575,0c32364,0,36009,726,39510,2170c43011,3621,46101,5686,48781,8372c51460,11044,53525,14139,54975,17636c56425,21140,57150,24786,57150,28575c57150,32364,56425,36004,54975,39508c53525,43011,51460,46100,48781,48778c46101,51457,43011,53522,39510,54967c36009,56418,32364,57150,28575,57150c24786,57150,21141,56418,17640,54967c14139,53522,11049,51457,8369,48778c5690,46100,3625,43011,2175,39508c725,36004,0,32364,0,28575c0,24786,725,21140,2175,17636c3625,14139,5690,11044,8369,8372c11049,5686,14139,3621,17640,2170c21141,726,24786,0,28575,0x">
                  <v:stroke weight="0pt" endcap="flat" joinstyle="miter" miterlimit="4" on="false" color="#000000" opacity="0"/>
                  <v:fill on="true" color="#333333"/>
                </v:shape>
              </v:group>
            </w:pict>
          </mc:Fallback>
        </mc:AlternateContent>
      </w:r>
      <w:r>
        <w:t xml:space="preserve"> в период до 48 ч после ЧКВ уровень тропонина повысился &gt;5 раз от порогового уровня при исходно нормальном уровне, а также &gt;20% при исходно повышенном содержании (стабильном или снижающемся) и превысил 5-кратный порогов</w:t>
      </w:r>
      <w:r>
        <w:t>ый уровень.</w:t>
      </w:r>
    </w:p>
    <w:p w:rsidR="008E3F15" w:rsidRDefault="005F449A">
      <w:pPr>
        <w:ind w:left="610" w:right="15"/>
      </w:pPr>
      <w:r>
        <w:t xml:space="preserve">Дополнительно присутствует хотя бы один признак: симптомы ишемии мио карда, новые ишемические изменения или патологический зубец </w:t>
      </w:r>
      <w:r>
        <w:rPr>
          <w:i/>
        </w:rPr>
        <w:t>Q</w:t>
      </w:r>
      <w:r>
        <w:t xml:space="preserve"> на ЭКГ, визуализационные признаки новой потери жизнеспособного мио карда или нарушений локальной сократимости, ха</w:t>
      </w:r>
      <w:r>
        <w:t>рактерные для ишемической этиологии, ангиографические признаки снижения кровотока вследствие процедуры, тромбоз стента или рестеноз;</w:t>
      </w:r>
    </w:p>
    <w:p w:rsidR="008E3F15" w:rsidRDefault="005F449A">
      <w:pPr>
        <w:spacing w:after="179"/>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50132" name="Group 25013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24" name="Shape 524"/>
                        <wps:cNvSpPr/>
                        <wps:spPr>
                          <a:xfrm>
                            <a:off x="0" y="0"/>
                            <a:ext cx="57150" cy="57150"/>
                          </a:xfrm>
                          <a:custGeom>
                            <a:avLst/>
                            <a:gdLst/>
                            <a:ahLst/>
                            <a:cxnLst/>
                            <a:rect l="0" t="0" r="0" b="0"/>
                            <a:pathLst>
                              <a:path w="57150" h="57150">
                                <a:moveTo>
                                  <a:pt x="28575" y="0"/>
                                </a:moveTo>
                                <a:cubicBezTo>
                                  <a:pt x="32364" y="0"/>
                                  <a:pt x="36009" y="726"/>
                                  <a:pt x="39510" y="2177"/>
                                </a:cubicBezTo>
                                <a:cubicBezTo>
                                  <a:pt x="43011" y="3621"/>
                                  <a:pt x="46101" y="5686"/>
                                  <a:pt x="48781" y="8372"/>
                                </a:cubicBezTo>
                                <a:cubicBezTo>
                                  <a:pt x="51460" y="11050"/>
                                  <a:pt x="53525" y="14139"/>
                                  <a:pt x="54975" y="17636"/>
                                </a:cubicBezTo>
                                <a:cubicBezTo>
                                  <a:pt x="56425" y="21140"/>
                                  <a:pt x="57150" y="24786"/>
                                  <a:pt x="57150" y="28575"/>
                                </a:cubicBezTo>
                                <a:cubicBezTo>
                                  <a:pt x="57150" y="32364"/>
                                  <a:pt x="56425" y="36004"/>
                                  <a:pt x="54975" y="39508"/>
                                </a:cubicBezTo>
                                <a:cubicBezTo>
                                  <a:pt x="53525" y="43011"/>
                                  <a:pt x="51460" y="46100"/>
                                  <a:pt x="48781" y="48778"/>
                                </a:cubicBezTo>
                                <a:cubicBezTo>
                                  <a:pt x="46101" y="51457"/>
                                  <a:pt x="43011" y="53522"/>
                                  <a:pt x="39510" y="54973"/>
                                </a:cubicBezTo>
                                <a:cubicBezTo>
                                  <a:pt x="36009" y="56424"/>
                                  <a:pt x="32364" y="57150"/>
                                  <a:pt x="28575" y="57150"/>
                                </a:cubicBezTo>
                                <a:cubicBezTo>
                                  <a:pt x="24786" y="57150"/>
                                  <a:pt x="21141" y="56424"/>
                                  <a:pt x="17640" y="54973"/>
                                </a:cubicBezTo>
                                <a:cubicBezTo>
                                  <a:pt x="14139" y="53522"/>
                                  <a:pt x="11049" y="51457"/>
                                  <a:pt x="8369" y="48778"/>
                                </a:cubicBezTo>
                                <a:cubicBezTo>
                                  <a:pt x="5690" y="46100"/>
                                  <a:pt x="3625" y="43011"/>
                                  <a:pt x="2175" y="39508"/>
                                </a:cubicBezTo>
                                <a:cubicBezTo>
                                  <a:pt x="725" y="36004"/>
                                  <a:pt x="0" y="32364"/>
                                  <a:pt x="0" y="28575"/>
                                </a:cubicBezTo>
                                <a:cubicBezTo>
                                  <a:pt x="0" y="24786"/>
                                  <a:pt x="725" y="21140"/>
                                  <a:pt x="2175" y="17636"/>
                                </a:cubicBezTo>
                                <a:cubicBezTo>
                                  <a:pt x="3625" y="14139"/>
                                  <a:pt x="5690" y="11050"/>
                                  <a:pt x="8369" y="8372"/>
                                </a:cubicBezTo>
                                <a:cubicBezTo>
                                  <a:pt x="11049" y="5686"/>
                                  <a:pt x="14139" y="3621"/>
                                  <a:pt x="17640" y="2177"/>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0132" style="width:4.5pt;height:4.5pt;mso-position-horizontal-relative:char;mso-position-vertical-relative:line" coordsize="571,571">
                <v:shape id="Shape 524" style="position:absolute;width:571;height:571;left:0;top:0;" coordsize="57150,57150" path="m28575,0c32364,0,36009,726,39510,2177c43011,3621,46101,5686,48781,8372c51460,11050,53525,14139,54975,17636c56425,21140,57150,24786,57150,28575c57150,32364,56425,36004,54975,39508c53525,43011,51460,46100,48781,48778c46101,51457,43011,53522,39510,54973c36009,56424,32364,57150,28575,57150c24786,57150,21141,56424,17640,54973c14139,53522,11049,51457,8369,48778c5690,46100,3625,43011,2175,39508c725,36004,0,32364,0,28575c0,24786,725,21140,2175,17636c3625,14139,5690,11050,8369,8372c11049,5686,14139,3621,17640,2177c21141,726,24786,0,28575,0x">
                  <v:stroke weight="0pt" endcap="flat" joinstyle="miter" miterlimit="4" on="false" color="#000000" opacity="0"/>
                  <v:fill on="true" color="#333333"/>
                </v:shape>
              </v:group>
            </w:pict>
          </mc:Fallback>
        </mc:AlternateContent>
      </w:r>
      <w:r>
        <w:t xml:space="preserve"> в период до 48 ч после КШ уровень тропонина повысился &gt;10 раз от порогового уровня при исходно нормальном уровне, а также</w:t>
      </w:r>
      <w:r>
        <w:t xml:space="preserve"> &gt;20% при исходно повышенном содержании (стабильном или снижающемся). Дополнительно присутствует хотя бы один признак: патологический зубец </w:t>
      </w:r>
      <w:r>
        <w:rPr>
          <w:i/>
        </w:rPr>
        <w:t>Q</w:t>
      </w:r>
      <w:r>
        <w:t xml:space="preserve"> на ЭКГ, ангиографические признаки окклюзии шунта или нативной коронарной артерии, визуализационные признаки новой </w:t>
      </w:r>
      <w:r>
        <w:t>потери жизнеспособного мио карда или нарушений локальной сократимости, характерные для ишемической этиологии.</w:t>
      </w:r>
    </w:p>
    <w:p w:rsidR="008E3F15" w:rsidRDefault="005F449A">
      <w:pPr>
        <w:spacing w:after="133" w:line="259" w:lineRule="auto"/>
        <w:ind w:right="0"/>
      </w:pPr>
      <w:r>
        <w:rPr>
          <w:i/>
        </w:rPr>
        <w:t>Критерии перенесенного или невыявленного ИМ (ESC/ACCF/AHA/WHF):</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column">
                  <wp:posOffset>209550</wp:posOffset>
                </wp:positionH>
                <wp:positionV relativeFrom="paragraph">
                  <wp:posOffset>34751</wp:posOffset>
                </wp:positionV>
                <wp:extent cx="57150" cy="666750"/>
                <wp:effectExtent l="0" t="0" r="0" b="0"/>
                <wp:wrapSquare wrapText="bothSides"/>
                <wp:docPr id="250133" name="Group 250133"/>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535" name="Shape 535"/>
                        <wps:cNvSpPr/>
                        <wps:spPr>
                          <a:xfrm>
                            <a:off x="0" y="0"/>
                            <a:ext cx="57150" cy="57150"/>
                          </a:xfrm>
                          <a:custGeom>
                            <a:avLst/>
                            <a:gdLst/>
                            <a:ahLst/>
                            <a:cxnLst/>
                            <a:rect l="0" t="0" r="0" b="0"/>
                            <a:pathLst>
                              <a:path w="57150" h="57150">
                                <a:moveTo>
                                  <a:pt x="28575" y="0"/>
                                </a:moveTo>
                                <a:cubicBezTo>
                                  <a:pt x="32364" y="0"/>
                                  <a:pt x="36009" y="726"/>
                                  <a:pt x="39510" y="2177"/>
                                </a:cubicBezTo>
                                <a:cubicBezTo>
                                  <a:pt x="43011" y="3628"/>
                                  <a:pt x="46101" y="5693"/>
                                  <a:pt x="48781" y="8372"/>
                                </a:cubicBezTo>
                                <a:cubicBezTo>
                                  <a:pt x="51460" y="11050"/>
                                  <a:pt x="53525" y="14139"/>
                                  <a:pt x="54975" y="17636"/>
                                </a:cubicBezTo>
                                <a:cubicBezTo>
                                  <a:pt x="56425" y="21140"/>
                                  <a:pt x="57150" y="24786"/>
                                  <a:pt x="57150" y="28575"/>
                                </a:cubicBezTo>
                                <a:cubicBezTo>
                                  <a:pt x="57150" y="32364"/>
                                  <a:pt x="56425" y="36004"/>
                                  <a:pt x="54975" y="39508"/>
                                </a:cubicBezTo>
                                <a:cubicBezTo>
                                  <a:pt x="53525" y="43005"/>
                                  <a:pt x="51460" y="46093"/>
                                  <a:pt x="48781" y="48778"/>
                                </a:cubicBezTo>
                                <a:cubicBezTo>
                                  <a:pt x="46101" y="51451"/>
                                  <a:pt x="43011" y="53516"/>
                                  <a:pt x="39510" y="54967"/>
                                </a:cubicBezTo>
                                <a:cubicBezTo>
                                  <a:pt x="36009" y="56424"/>
                                  <a:pt x="32364" y="57150"/>
                                  <a:pt x="28575" y="57150"/>
                                </a:cubicBezTo>
                                <a:cubicBezTo>
                                  <a:pt x="24786" y="57150"/>
                                  <a:pt x="21141" y="56424"/>
                                  <a:pt x="17640" y="54973"/>
                                </a:cubicBezTo>
                                <a:cubicBezTo>
                                  <a:pt x="14139" y="53516"/>
                                  <a:pt x="11049" y="51451"/>
                                  <a:pt x="8369" y="48778"/>
                                </a:cubicBezTo>
                                <a:cubicBezTo>
                                  <a:pt x="5690" y="46093"/>
                                  <a:pt x="3625" y="43005"/>
                                  <a:pt x="2175" y="39508"/>
                                </a:cubicBezTo>
                                <a:cubicBezTo>
                                  <a:pt x="725" y="36004"/>
                                  <a:pt x="0" y="32364"/>
                                  <a:pt x="0" y="28575"/>
                                </a:cubicBezTo>
                                <a:cubicBezTo>
                                  <a:pt x="0" y="24786"/>
                                  <a:pt x="725" y="21140"/>
                                  <a:pt x="2175" y="17636"/>
                                </a:cubicBezTo>
                                <a:cubicBezTo>
                                  <a:pt x="3625" y="14139"/>
                                  <a:pt x="5690" y="11050"/>
                                  <a:pt x="8369" y="8372"/>
                                </a:cubicBezTo>
                                <a:cubicBezTo>
                                  <a:pt x="11049" y="5693"/>
                                  <a:pt x="14139" y="3628"/>
                                  <a:pt x="17640" y="2177"/>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40" name="Shape 540"/>
                        <wps:cNvSpPr/>
                        <wps:spPr>
                          <a:xfrm>
                            <a:off x="0" y="304800"/>
                            <a:ext cx="57150" cy="57150"/>
                          </a:xfrm>
                          <a:custGeom>
                            <a:avLst/>
                            <a:gdLst/>
                            <a:ahLst/>
                            <a:cxnLst/>
                            <a:rect l="0" t="0" r="0" b="0"/>
                            <a:pathLst>
                              <a:path w="57150" h="57150">
                                <a:moveTo>
                                  <a:pt x="28575" y="0"/>
                                </a:moveTo>
                                <a:cubicBezTo>
                                  <a:pt x="32364" y="0"/>
                                  <a:pt x="36009" y="726"/>
                                  <a:pt x="39510" y="2177"/>
                                </a:cubicBezTo>
                                <a:cubicBezTo>
                                  <a:pt x="43011" y="3621"/>
                                  <a:pt x="46101" y="5680"/>
                                  <a:pt x="48781" y="8365"/>
                                </a:cubicBezTo>
                                <a:cubicBezTo>
                                  <a:pt x="51460" y="11038"/>
                                  <a:pt x="53525" y="14132"/>
                                  <a:pt x="54975" y="17636"/>
                                </a:cubicBezTo>
                                <a:cubicBezTo>
                                  <a:pt x="56425" y="21134"/>
                                  <a:pt x="57150" y="24786"/>
                                  <a:pt x="57150" y="28575"/>
                                </a:cubicBezTo>
                                <a:cubicBezTo>
                                  <a:pt x="57150" y="32364"/>
                                  <a:pt x="56425" y="36004"/>
                                  <a:pt x="54975" y="39508"/>
                                </a:cubicBezTo>
                                <a:cubicBezTo>
                                  <a:pt x="53525" y="43011"/>
                                  <a:pt x="51460" y="46100"/>
                                  <a:pt x="48781" y="48778"/>
                                </a:cubicBezTo>
                                <a:cubicBezTo>
                                  <a:pt x="46101" y="51457"/>
                                  <a:pt x="43011" y="53522"/>
                                  <a:pt x="39510" y="54973"/>
                                </a:cubicBezTo>
                                <a:cubicBezTo>
                                  <a:pt x="36009" y="56424"/>
                                  <a:pt x="32364" y="57150"/>
                                  <a:pt x="28575" y="57150"/>
                                </a:cubicBezTo>
                                <a:cubicBezTo>
                                  <a:pt x="24786" y="57150"/>
                                  <a:pt x="21141" y="56424"/>
                                  <a:pt x="17640" y="54973"/>
                                </a:cubicBezTo>
                                <a:cubicBezTo>
                                  <a:pt x="14139" y="53522"/>
                                  <a:pt x="11049" y="51457"/>
                                  <a:pt x="8369" y="48778"/>
                                </a:cubicBezTo>
                                <a:cubicBezTo>
                                  <a:pt x="5690" y="46100"/>
                                  <a:pt x="3625" y="43011"/>
                                  <a:pt x="2175" y="39508"/>
                                </a:cubicBezTo>
                                <a:cubicBezTo>
                                  <a:pt x="725" y="36004"/>
                                  <a:pt x="0" y="32364"/>
                                  <a:pt x="0" y="28575"/>
                                </a:cubicBezTo>
                                <a:cubicBezTo>
                                  <a:pt x="0" y="24786"/>
                                  <a:pt x="725" y="21140"/>
                                  <a:pt x="2175" y="17636"/>
                                </a:cubicBezTo>
                                <a:cubicBezTo>
                                  <a:pt x="3625" y="14132"/>
                                  <a:pt x="5690" y="11038"/>
                                  <a:pt x="8369" y="8365"/>
                                </a:cubicBezTo>
                                <a:cubicBezTo>
                                  <a:pt x="11049" y="5680"/>
                                  <a:pt x="14139" y="3615"/>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43" name="Shape 543"/>
                        <wps:cNvSpPr/>
                        <wps:spPr>
                          <a:xfrm>
                            <a:off x="0" y="609600"/>
                            <a:ext cx="57150" cy="57150"/>
                          </a:xfrm>
                          <a:custGeom>
                            <a:avLst/>
                            <a:gdLst/>
                            <a:ahLst/>
                            <a:cxnLst/>
                            <a:rect l="0" t="0" r="0" b="0"/>
                            <a:pathLst>
                              <a:path w="57150" h="57150">
                                <a:moveTo>
                                  <a:pt x="28575" y="0"/>
                                </a:moveTo>
                                <a:cubicBezTo>
                                  <a:pt x="32364" y="0"/>
                                  <a:pt x="36009" y="726"/>
                                  <a:pt x="39510" y="2177"/>
                                </a:cubicBezTo>
                                <a:cubicBezTo>
                                  <a:pt x="43011" y="3621"/>
                                  <a:pt x="46101" y="5686"/>
                                  <a:pt x="48781" y="8372"/>
                                </a:cubicBezTo>
                                <a:cubicBezTo>
                                  <a:pt x="51460" y="11044"/>
                                  <a:pt x="53525" y="14132"/>
                                  <a:pt x="54975" y="17636"/>
                                </a:cubicBezTo>
                                <a:cubicBezTo>
                                  <a:pt x="56425" y="21134"/>
                                  <a:pt x="57150" y="24786"/>
                                  <a:pt x="57150" y="28575"/>
                                </a:cubicBezTo>
                                <a:cubicBezTo>
                                  <a:pt x="57150" y="32364"/>
                                  <a:pt x="56425" y="36004"/>
                                  <a:pt x="54975" y="39508"/>
                                </a:cubicBezTo>
                                <a:cubicBezTo>
                                  <a:pt x="53525" y="43011"/>
                                  <a:pt x="51460" y="46100"/>
                                  <a:pt x="48781" y="48778"/>
                                </a:cubicBezTo>
                                <a:cubicBezTo>
                                  <a:pt x="46101" y="51457"/>
                                  <a:pt x="43011" y="53522"/>
                                  <a:pt x="39510" y="54973"/>
                                </a:cubicBezTo>
                                <a:cubicBezTo>
                                  <a:pt x="36009" y="56424"/>
                                  <a:pt x="32364" y="57150"/>
                                  <a:pt x="28575" y="57150"/>
                                </a:cubicBezTo>
                                <a:cubicBezTo>
                                  <a:pt x="24786" y="57150"/>
                                  <a:pt x="21141" y="56424"/>
                                  <a:pt x="17640" y="54973"/>
                                </a:cubicBezTo>
                                <a:cubicBezTo>
                                  <a:pt x="14139" y="53522"/>
                                  <a:pt x="11049" y="51457"/>
                                  <a:pt x="8369" y="48778"/>
                                </a:cubicBezTo>
                                <a:cubicBezTo>
                                  <a:pt x="5690" y="46100"/>
                                  <a:pt x="3625" y="43011"/>
                                  <a:pt x="2175" y="39508"/>
                                </a:cubicBezTo>
                                <a:cubicBezTo>
                                  <a:pt x="725" y="36004"/>
                                  <a:pt x="0" y="32364"/>
                                  <a:pt x="0" y="28575"/>
                                </a:cubicBezTo>
                                <a:cubicBezTo>
                                  <a:pt x="0" y="24786"/>
                                  <a:pt x="725" y="21140"/>
                                  <a:pt x="2175" y="17636"/>
                                </a:cubicBezTo>
                                <a:cubicBezTo>
                                  <a:pt x="3625" y="14139"/>
                                  <a:pt x="5690" y="11044"/>
                                  <a:pt x="8369" y="8372"/>
                                </a:cubicBezTo>
                                <a:cubicBezTo>
                                  <a:pt x="11049" y="5686"/>
                                  <a:pt x="14139" y="3621"/>
                                  <a:pt x="17640" y="2177"/>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133" style="width:4.5pt;height:52.5pt;position:absolute;mso-position-horizontal-relative:text;mso-position-horizontal:absolute;margin-left:16.5pt;mso-position-vertical-relative:text;margin-top:2.73633pt;" coordsize="571,6667">
                <v:shape id="Shape 535" style="position:absolute;width:571;height:571;left:0;top:0;" coordsize="57150,57150" path="m28575,0c32364,0,36009,726,39510,2177c43011,3628,46101,5693,48781,8372c51460,11050,53525,14139,54975,17636c56425,21140,57150,24786,57150,28575c57150,32364,56425,36004,54975,39508c53525,43005,51460,46093,48781,48778c46101,51451,43011,53516,39510,54967c36009,56424,32364,57150,28575,57150c24786,57150,21141,56424,17640,54973c14139,53516,11049,51451,8369,48778c5690,46093,3625,43005,2175,39508c725,36004,0,32364,0,28575c0,24786,725,21140,2175,17636c3625,14139,5690,11050,8369,8372c11049,5693,14139,3628,17640,2177c21141,726,24786,0,28575,0x">
                  <v:stroke weight="0pt" endcap="flat" joinstyle="miter" miterlimit="4" on="false" color="#000000" opacity="0"/>
                  <v:fill on="true" color="#333333"/>
                </v:shape>
                <v:shape id="Shape 540" style="position:absolute;width:571;height:571;left:0;top:3048;" coordsize="57150,57150" path="m28575,0c32364,0,36009,726,39510,2177c43011,3621,46101,5680,48781,8365c51460,11038,53525,14132,54975,17636c56425,21134,57150,24786,57150,28575c57150,32364,56425,36004,54975,39508c53525,43011,51460,46100,48781,48778c46101,51457,43011,53522,39510,54973c36009,56424,32364,57150,28575,57150c24786,57150,21141,56424,17640,54973c14139,53522,11049,51457,8369,48778c5690,46100,3625,43011,2175,39508c725,36004,0,32364,0,28575c0,24786,725,21140,2175,17636c3625,14132,5690,11038,8369,8365c11049,5680,14139,3615,17640,2170c21141,726,24786,0,28575,0x">
                  <v:stroke weight="0pt" endcap="flat" joinstyle="miter" miterlimit="4" on="false" color="#000000" opacity="0"/>
                  <v:fill on="true" color="#333333"/>
                </v:shape>
                <v:shape id="Shape 543" style="position:absolute;width:571;height:571;left:0;top:6096;" coordsize="57150,57150" path="m28575,0c32364,0,36009,726,39510,2177c43011,3621,46101,5686,48781,8372c51460,11044,53525,14132,54975,17636c56425,21134,57150,24786,57150,28575c57150,32364,56425,36004,54975,39508c53525,43011,51460,46100,48781,48778c46101,51457,43011,53522,39510,54973c36009,56424,32364,57150,28575,57150c24786,57150,21141,56424,17640,54973c14139,53522,11049,51457,8369,48778c5690,46100,3625,43011,2175,39508c725,36004,0,32364,0,28575c0,24786,725,21140,2175,17636c3625,14139,5690,11044,8369,8372c11049,5686,14139,3621,17640,2177c21141,726,24786,0,28575,0x">
                  <v:stroke weight="0pt" endcap="flat" joinstyle="miter" miterlimit="4" on="false" color="#000000" opacity="0"/>
                  <v:fill on="true" color="#333333"/>
                </v:shape>
                <w10:wrap type="square"/>
              </v:group>
            </w:pict>
          </mc:Fallback>
        </mc:AlternateContent>
      </w:r>
      <w:r>
        <w:t xml:space="preserve">патологические зубцы </w:t>
      </w:r>
      <w:r>
        <w:rPr>
          <w:i/>
        </w:rPr>
        <w:t>Q</w:t>
      </w:r>
      <w:r>
        <w:t xml:space="preserve"> c симптомами или без них при отсутствии неишемических прич</w:t>
      </w:r>
      <w:r>
        <w:t>ин;</w:t>
      </w:r>
    </w:p>
    <w:p w:rsidR="008E3F15" w:rsidRDefault="005F449A">
      <w:pPr>
        <w:spacing w:after="179"/>
        <w:ind w:left="340" w:right="15"/>
      </w:pPr>
      <w:r>
        <w:t>визуализационные признаки (эхокардиография, сцинтиграфия) утраты жизнеспособного мио карда, характерные для ишемической этиологии; патоморфологические признаки перенесенного ИМ.</w:t>
      </w:r>
    </w:p>
    <w:p w:rsidR="008E3F15" w:rsidRDefault="005F449A">
      <w:pPr>
        <w:ind w:left="2" w:right="15"/>
      </w:pPr>
      <w:r>
        <w:t>Предложение определять ИМ по более высокому уровню (в 35–70 раз) возрастан</w:t>
      </w:r>
      <w:r>
        <w:t>ия тропонина (SCAI; ARC-2) не было поддержано авторитетными кардиологическими обществами.</w:t>
      </w:r>
    </w:p>
    <w:p w:rsidR="008E3F15" w:rsidRDefault="005F449A">
      <w:pPr>
        <w:ind w:left="2" w:right="790"/>
      </w:pPr>
      <w:r>
        <w:t>Случаи повышения сердечных биомаркеров, не связанные с ишемией, относят к повреждениям мио карда. Причинами последнего могут быть мио кардит, СН острая или хроническа</w:t>
      </w:r>
      <w:r>
        <w:t>я, кардиомиопатия Такоцубо и другие, легочная эмболия (ЛЭ), легочная гипертензия, критические состояния, абляция, электроимпульсная терапия, кардиотоксические препараты, ушиб сердца, рабдомиолиз.</w:t>
      </w:r>
    </w:p>
    <w:p w:rsidR="008E3F15" w:rsidRDefault="005F449A">
      <w:pPr>
        <w:spacing w:after="359"/>
        <w:ind w:left="2" w:right="15"/>
      </w:pPr>
      <w:r>
        <w:t>Международная классификация болезней 10-го пересмотра (МКБ-1</w:t>
      </w:r>
      <w:r>
        <w:t>0) не соответствует современной классификации ИМ, поэтому для кодировки ИМп</w:t>
      </w:r>
      <w:r>
        <w:rPr>
          <w:i/>
        </w:rPr>
        <w:t>ST</w:t>
      </w:r>
      <w:r>
        <w:t xml:space="preserve"> используется шифр I21.0–3, для ИМ без подъема </w:t>
      </w:r>
      <w:r>
        <w:rPr>
          <w:i/>
        </w:rPr>
        <w:t>ST</w:t>
      </w:r>
      <w:r>
        <w:t xml:space="preserve"> — шифр I21.4 (</w:t>
      </w:r>
      <w:r>
        <w:rPr>
          <w:b/>
        </w:rPr>
        <w:t>табл. 1.3</w:t>
      </w:r>
      <w:r>
        <w:t>). Если имеет место ИМ в течение 4 нед после предыдущего, то применяют шифр I22, а если позднее — I21. В с</w:t>
      </w:r>
      <w:r>
        <w:t>лучае смертельного исхода рекомендуют использовать только коды I21. В Международной классификации болезней 11го пересмотра будет использована современная терминология ИМ.</w:t>
      </w:r>
    </w:p>
    <w:p w:rsidR="008E3F15" w:rsidRDefault="005F449A">
      <w:pPr>
        <w:pStyle w:val="Heading1"/>
        <w:ind w:left="2"/>
      </w:pPr>
      <w:r>
        <w:t>Часть I. Сердечно-сосудистые болезни</w:t>
      </w:r>
    </w:p>
    <w:p w:rsidR="008E3F15" w:rsidRDefault="005F449A">
      <w:pPr>
        <w:spacing w:after="31"/>
        <w:ind w:left="2" w:right="15"/>
      </w:pPr>
      <w:r>
        <w:rPr>
          <w:b/>
        </w:rPr>
        <w:t xml:space="preserve">Таблица 1.3. </w:t>
      </w:r>
      <w:r>
        <w:t>Классификация острых коронарных синдромов по Международной классификации болезней 10-го пересмотра</w:t>
      </w:r>
    </w:p>
    <w:tbl>
      <w:tblPr>
        <w:tblStyle w:val="TableGrid"/>
        <w:tblW w:w="7747" w:type="dxa"/>
        <w:tblInd w:w="30" w:type="dxa"/>
        <w:tblCellMar>
          <w:top w:w="80" w:type="dxa"/>
          <w:left w:w="45" w:type="dxa"/>
          <w:bottom w:w="0" w:type="dxa"/>
          <w:right w:w="72" w:type="dxa"/>
        </w:tblCellMar>
        <w:tblLook w:val="04A0" w:firstRow="1" w:lastRow="0" w:firstColumn="1" w:lastColumn="0" w:noHBand="0" w:noVBand="1"/>
      </w:tblPr>
      <w:tblGrid>
        <w:gridCol w:w="6187"/>
        <w:gridCol w:w="23"/>
        <w:gridCol w:w="1515"/>
        <w:gridCol w:w="22"/>
      </w:tblGrid>
      <w:tr w:rsidR="008E3F15">
        <w:trPr>
          <w:trHeight w:val="308"/>
        </w:trPr>
        <w:tc>
          <w:tcPr>
            <w:tcW w:w="6187"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0" w:right="0" w:firstLine="0"/>
            </w:pPr>
            <w:r>
              <w:rPr>
                <w:b/>
              </w:rPr>
              <w:t>Форма заболевания</w:t>
            </w:r>
          </w:p>
        </w:tc>
        <w:tc>
          <w:tcPr>
            <w:tcW w:w="1560" w:type="dxa"/>
            <w:gridSpan w:val="3"/>
            <w:vMerge w:val="restart"/>
            <w:tcBorders>
              <w:top w:val="single" w:sz="6" w:space="0" w:color="000000"/>
              <w:left w:val="nil"/>
              <w:bottom w:val="nil"/>
              <w:right w:val="single" w:sz="6" w:space="0" w:color="000000"/>
            </w:tcBorders>
          </w:tcPr>
          <w:p w:rsidR="008E3F15" w:rsidRDefault="005F449A">
            <w:pPr>
              <w:spacing w:after="0" w:line="259" w:lineRule="auto"/>
              <w:ind w:left="17" w:right="0" w:firstLine="0"/>
              <w:jc w:val="both"/>
            </w:pPr>
            <w:r>
              <w:rPr>
                <w:b/>
                <w:bdr w:val="single" w:sz="12" w:space="0" w:color="000000"/>
              </w:rPr>
              <w:t>Код МКБ-10</w:t>
            </w:r>
          </w:p>
        </w:tc>
      </w:tr>
      <w:tr w:rsidR="008E3F15">
        <w:trPr>
          <w:trHeight w:val="143"/>
        </w:trPr>
        <w:tc>
          <w:tcPr>
            <w:tcW w:w="6187" w:type="dxa"/>
            <w:tcBorders>
              <w:top w:val="single" w:sz="6" w:space="0" w:color="000000"/>
              <w:left w:val="single" w:sz="6" w:space="0" w:color="000000"/>
              <w:bottom w:val="nil"/>
              <w:right w:val="nil"/>
            </w:tcBorders>
          </w:tcPr>
          <w:p w:rsidR="008E3F15" w:rsidRDefault="008E3F15">
            <w:pPr>
              <w:spacing w:after="160" w:line="259" w:lineRule="auto"/>
              <w:ind w:left="0" w:right="0" w:firstLine="0"/>
            </w:pPr>
          </w:p>
        </w:tc>
        <w:tc>
          <w:tcPr>
            <w:tcW w:w="0" w:type="auto"/>
            <w:gridSpan w:val="3"/>
            <w:vMerge/>
            <w:tcBorders>
              <w:top w:val="nil"/>
              <w:left w:val="nil"/>
              <w:bottom w:val="nil"/>
              <w:right w:val="single" w:sz="6" w:space="0" w:color="000000"/>
            </w:tcBorders>
          </w:tcPr>
          <w:p w:rsidR="008E3F15" w:rsidRDefault="008E3F15">
            <w:pPr>
              <w:spacing w:after="160" w:line="259" w:lineRule="auto"/>
              <w:ind w:left="0" w:right="0" w:firstLine="0"/>
            </w:pPr>
          </w:p>
        </w:tc>
      </w:tr>
      <w:tr w:rsidR="008E3F15">
        <w:tblPrEx>
          <w:tblCellMar>
            <w:top w:w="58" w:type="dxa"/>
            <w:left w:w="40" w:type="dxa"/>
            <w:right w:w="50" w:type="dxa"/>
          </w:tblCellMar>
        </w:tblPrEx>
        <w:trPr>
          <w:gridAfter w:val="1"/>
          <w:wAfter w:w="22" w:type="dxa"/>
          <w:trHeight w:val="308"/>
        </w:trPr>
        <w:tc>
          <w:tcPr>
            <w:tcW w:w="6210" w:type="dxa"/>
            <w:gridSpan w:val="2"/>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Острый трансмуральный ИМ (ИМп</w:t>
            </w:r>
            <w:r>
              <w:rPr>
                <w:i/>
              </w:rPr>
              <w:t>ST</w:t>
            </w:r>
            <w:r>
              <w:t>)</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I21.0–3</w:t>
            </w:r>
          </w:p>
        </w:tc>
      </w:tr>
      <w:tr w:rsidR="008E3F15">
        <w:tblPrEx>
          <w:tblCellMar>
            <w:top w:w="58" w:type="dxa"/>
            <w:left w:w="40" w:type="dxa"/>
            <w:right w:w="50" w:type="dxa"/>
          </w:tblCellMar>
        </w:tblPrEx>
        <w:trPr>
          <w:gridAfter w:val="1"/>
          <w:wAfter w:w="22" w:type="dxa"/>
          <w:trHeight w:val="330"/>
        </w:trPr>
        <w:tc>
          <w:tcPr>
            <w:tcW w:w="6210"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jc w:val="both"/>
            </w:pPr>
            <w:r>
              <w:rPr>
                <w:bdr w:val="single" w:sz="12" w:space="0" w:color="000000"/>
              </w:rPr>
              <w:t xml:space="preserve">Острый субэндокардиальный ИМ (ИМ без подъема </w:t>
            </w:r>
            <w:r>
              <w:rPr>
                <w:i/>
                <w:bdr w:val="single" w:sz="12" w:space="0" w:color="000000"/>
              </w:rPr>
              <w:t>ST</w:t>
            </w:r>
            <w:r>
              <w:rPr>
                <w:bdr w:val="single" w:sz="12" w:space="0" w:color="000000"/>
              </w:rPr>
              <w:t>)</w:t>
            </w:r>
          </w:p>
        </w:tc>
        <w:tc>
          <w:tcPr>
            <w:tcW w:w="151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I21.4</w:t>
            </w:r>
          </w:p>
        </w:tc>
      </w:tr>
      <w:tr w:rsidR="008E3F15">
        <w:tblPrEx>
          <w:tblCellMar>
            <w:top w:w="58" w:type="dxa"/>
            <w:left w:w="40" w:type="dxa"/>
            <w:right w:w="50" w:type="dxa"/>
          </w:tblCellMar>
        </w:tblPrEx>
        <w:trPr>
          <w:gridAfter w:val="1"/>
          <w:wAfter w:w="22" w:type="dxa"/>
          <w:trHeight w:val="330"/>
        </w:trPr>
        <w:tc>
          <w:tcPr>
            <w:tcW w:w="6210" w:type="dxa"/>
            <w:gridSpan w:val="2"/>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Острый ИМ неуточненный</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I21.9</w:t>
            </w:r>
          </w:p>
        </w:tc>
      </w:tr>
      <w:tr w:rsidR="008E3F15">
        <w:tblPrEx>
          <w:tblCellMar>
            <w:top w:w="58" w:type="dxa"/>
            <w:left w:w="40" w:type="dxa"/>
            <w:right w:w="50" w:type="dxa"/>
          </w:tblCellMar>
        </w:tblPrEx>
        <w:trPr>
          <w:gridAfter w:val="1"/>
          <w:wAfter w:w="22" w:type="dxa"/>
          <w:trHeight w:val="330"/>
        </w:trPr>
        <w:tc>
          <w:tcPr>
            <w:tcW w:w="62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Повторный ИМ (рецидивирующий)</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I22.0–9</w:t>
            </w:r>
          </w:p>
        </w:tc>
      </w:tr>
      <w:tr w:rsidR="008E3F15">
        <w:tblPrEx>
          <w:tblCellMar>
            <w:top w:w="58" w:type="dxa"/>
            <w:left w:w="40" w:type="dxa"/>
            <w:right w:w="50" w:type="dxa"/>
          </w:tblCellMar>
        </w:tblPrEx>
        <w:trPr>
          <w:gridAfter w:val="1"/>
          <w:wAfter w:w="22" w:type="dxa"/>
          <w:trHeight w:val="330"/>
        </w:trPr>
        <w:tc>
          <w:tcPr>
            <w:tcW w:w="62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Коронарный тромбоз, не завершившийся ИМ</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I24.0</w:t>
            </w:r>
          </w:p>
        </w:tc>
      </w:tr>
      <w:tr w:rsidR="008E3F15">
        <w:tblPrEx>
          <w:tblCellMar>
            <w:top w:w="58" w:type="dxa"/>
            <w:left w:w="40" w:type="dxa"/>
            <w:right w:w="50" w:type="dxa"/>
          </w:tblCellMar>
        </w:tblPrEx>
        <w:trPr>
          <w:gridAfter w:val="1"/>
          <w:wAfter w:w="22" w:type="dxa"/>
          <w:trHeight w:val="330"/>
        </w:trPr>
        <w:tc>
          <w:tcPr>
            <w:tcW w:w="62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Другие формы острой ишемической болезни сердца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I24.8</w:t>
            </w:r>
          </w:p>
        </w:tc>
      </w:tr>
      <w:tr w:rsidR="008E3F15">
        <w:tblPrEx>
          <w:tblCellMar>
            <w:top w:w="58" w:type="dxa"/>
            <w:left w:w="40" w:type="dxa"/>
            <w:right w:w="50" w:type="dxa"/>
          </w:tblCellMar>
        </w:tblPrEx>
        <w:trPr>
          <w:gridAfter w:val="1"/>
          <w:wAfter w:w="22" w:type="dxa"/>
          <w:trHeight w:val="330"/>
        </w:trPr>
        <w:tc>
          <w:tcPr>
            <w:tcW w:w="62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Острая ишемическая болезнь сердца, неуточненная</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I24.9</w:t>
            </w:r>
          </w:p>
        </w:tc>
      </w:tr>
    </w:tbl>
    <w:p w:rsidR="008E3F15" w:rsidRDefault="005F449A">
      <w:pPr>
        <w:ind w:left="2" w:right="15"/>
      </w:pPr>
      <w:r>
        <w:t>Чтобы избежать несоответствий в трактовке терминов, можно указывать ИМ с датами без терминов «повторный» или «рецидивирующий».</w:t>
      </w:r>
    </w:p>
    <w:p w:rsidR="008E3F15" w:rsidRDefault="005F449A">
      <w:pPr>
        <w:ind w:left="2" w:right="15"/>
      </w:pPr>
      <w:r>
        <w:t xml:space="preserve">Наличие зубца </w:t>
      </w:r>
      <w:r>
        <w:rPr>
          <w:i/>
        </w:rPr>
        <w:t>Q</w:t>
      </w:r>
      <w:r>
        <w:t xml:space="preserve"> не связано тесно с тяжестью поражения мио карда и прогнозом заболевания, а также не влияет на выбор лечения.</w:t>
      </w:r>
    </w:p>
    <w:p w:rsidR="008E3F15" w:rsidRDefault="005F449A">
      <w:pPr>
        <w:spacing w:after="31"/>
        <w:ind w:left="2" w:right="217"/>
      </w:pPr>
      <w:r>
        <w:t>Прим</w:t>
      </w:r>
      <w:r>
        <w:t xml:space="preserve">еры оформления диагноза, приемлемые для практической работы, и соответствующие коды МКБ-10 приведены в </w:t>
      </w:r>
      <w:r>
        <w:rPr>
          <w:b/>
        </w:rPr>
        <w:t>табл. 1.4</w:t>
      </w:r>
      <w:r>
        <w:t xml:space="preserve">. </w:t>
      </w:r>
      <w:r>
        <w:rPr>
          <w:b/>
        </w:rPr>
        <w:t xml:space="preserve">Таблица 1.4. </w:t>
      </w:r>
      <w:r>
        <w:t>Примеры оформления диагноза</w:t>
      </w:r>
    </w:p>
    <w:tbl>
      <w:tblPr>
        <w:tblStyle w:val="TableGrid"/>
        <w:tblW w:w="10485" w:type="dxa"/>
        <w:tblInd w:w="30" w:type="dxa"/>
        <w:tblCellMar>
          <w:top w:w="80" w:type="dxa"/>
          <w:left w:w="45" w:type="dxa"/>
          <w:bottom w:w="0" w:type="dxa"/>
          <w:right w:w="52" w:type="dxa"/>
        </w:tblCellMar>
        <w:tblLook w:val="04A0" w:firstRow="1" w:lastRow="0" w:firstColumn="1" w:lastColumn="0" w:noHBand="0" w:noVBand="1"/>
      </w:tblPr>
      <w:tblGrid>
        <w:gridCol w:w="9285"/>
        <w:gridCol w:w="1200"/>
      </w:tblGrid>
      <w:tr w:rsidR="008E3F15">
        <w:trPr>
          <w:trHeight w:val="570"/>
        </w:trPr>
        <w:tc>
          <w:tcPr>
            <w:tcW w:w="92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Код</w:t>
            </w:r>
          </w:p>
          <w:p w:rsidR="008E3F15" w:rsidRDefault="005F449A">
            <w:pPr>
              <w:spacing w:after="0" w:line="259" w:lineRule="auto"/>
              <w:ind w:left="6" w:right="0" w:firstLine="0"/>
            </w:pPr>
            <w:r>
              <w:rPr>
                <w:b/>
              </w:rPr>
              <w:t>МКБ-10</w:t>
            </w:r>
          </w:p>
        </w:tc>
      </w:tr>
      <w:tr w:rsidR="008E3F15">
        <w:trPr>
          <w:trHeight w:val="33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Острый коронарный синдром возможный</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I20.0</w:t>
            </w:r>
          </w:p>
        </w:tc>
      </w:tr>
      <w:tr w:rsidR="008E3F15">
        <w:trPr>
          <w:trHeight w:val="33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Нестабильная стенокардия, низкий риск</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I20.0</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 xml:space="preserve">Острый коронарный синдром без подъема </w:t>
            </w:r>
            <w:r>
              <w:rPr>
                <w:i/>
              </w:rPr>
              <w:t>ST</w:t>
            </w:r>
            <w:r>
              <w:t xml:space="preserve"> (1.03.2023, 22:40), полиморфная желудочковая тахикардия</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I21.4</w:t>
            </w:r>
          </w:p>
        </w:tc>
      </w:tr>
      <w:tr w:rsidR="008E3F15">
        <w:trPr>
          <w:trHeight w:val="33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Инфаркт мио карда на фоне БЛНПГ (тромболизис 12.06.2023, 12:10), Killip II</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I21.3</w:t>
            </w:r>
          </w:p>
        </w:tc>
      </w:tr>
      <w:tr w:rsidR="008E3F15">
        <w:trPr>
          <w:trHeight w:val="105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0" w:firstLine="0"/>
            </w:pPr>
            <w:r>
              <w:t xml:space="preserve">Инфаркт миокарда с подъемом </w:t>
            </w:r>
            <w:r>
              <w:rPr>
                <w:i/>
              </w:rPr>
              <w:t>ST</w:t>
            </w:r>
            <w:r>
              <w:t xml:space="preserve"> переднебоковой стенки левого желудочка (11.01.2023, 12:34), рецидив (13.01.2023, 6:20).</w:t>
            </w:r>
          </w:p>
          <w:p w:rsidR="008E3F15" w:rsidRDefault="005F449A">
            <w:pPr>
              <w:spacing w:after="0" w:line="259" w:lineRule="auto"/>
              <w:ind w:left="0" w:right="48" w:firstLine="0"/>
            </w:pPr>
            <w:r>
              <w:t>Killip III, фибрилляция желудочков (20:48, 13.01.2023), пароксизмальная устойчивая мономорфная желудочковая тахикардия</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I22.0</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082" w:firstLine="0"/>
            </w:pPr>
            <w:r>
              <w:t xml:space="preserve">Инфаркт миокарда с подъемом </w:t>
            </w:r>
            <w:r>
              <w:rPr>
                <w:i/>
              </w:rPr>
              <w:t>ST</w:t>
            </w:r>
            <w:r>
              <w:t xml:space="preserve"> передней стенки левого желудочка (23.02.2023). Ангиопластика передней нисходящей коронарной артерии с имплантацией голометаллического стента</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I21.0</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Инфаркт мио карда 2 типа, обусловленный пароксизмальным трепетанием предсердий (14.05.2023)</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I21.9</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 xml:space="preserve">Инфаркт мио карда без подъема </w:t>
            </w:r>
            <w:r>
              <w:rPr>
                <w:i/>
              </w:rPr>
              <w:t>ST</w:t>
            </w:r>
            <w:r>
              <w:t xml:space="preserve"> боковой стенки левого желудочка (12.04.2023). Кардиогенный шок, стадия С</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I21.4</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Инфаркт мио карда (2022, 2018, 2010), тромб левого желудочка. Сердечная недостаточность, декомпенсация</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I25.2</w:t>
            </w:r>
          </w:p>
        </w:tc>
      </w:tr>
    </w:tbl>
    <w:p w:rsidR="008E3F15" w:rsidRDefault="005F449A">
      <w:pPr>
        <w:pStyle w:val="Heading1"/>
        <w:ind w:left="2"/>
      </w:pPr>
      <w:r>
        <w:t>Часть I. Сердечно-сосудистые боле</w:t>
      </w:r>
      <w:r>
        <w:t>зни</w:t>
      </w:r>
    </w:p>
    <w:p w:rsidR="008E3F15" w:rsidRDefault="005F449A">
      <w:pPr>
        <w:spacing w:after="31"/>
        <w:ind w:left="2" w:right="15"/>
      </w:pPr>
      <w:r>
        <w:t>Догоспитальный этап</w:t>
      </w:r>
    </w:p>
    <w:p w:rsidR="008E3F15" w:rsidRDefault="005F449A">
      <w:pPr>
        <w:pStyle w:val="Heading2"/>
        <w:ind w:left="2"/>
      </w:pPr>
      <w: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simplePos x="0" y="0"/>
                <wp:positionH relativeFrom="column">
                  <wp:posOffset>209550</wp:posOffset>
                </wp:positionH>
                <wp:positionV relativeFrom="paragraph">
                  <wp:posOffset>34758</wp:posOffset>
                </wp:positionV>
                <wp:extent cx="57150" cy="666750"/>
                <wp:effectExtent l="0" t="0" r="0" b="0"/>
                <wp:wrapSquare wrapText="bothSides"/>
                <wp:docPr id="253147" name="Group 25314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702" name="Shape 702"/>
                        <wps:cNvSpPr/>
                        <wps:spPr>
                          <a:xfrm>
                            <a:off x="0" y="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6"/>
                                </a:cubicBezTo>
                                <a:cubicBezTo>
                                  <a:pt x="56425" y="21140"/>
                                  <a:pt x="57150" y="24786"/>
                                  <a:pt x="57150" y="28575"/>
                                </a:cubicBezTo>
                                <a:cubicBezTo>
                                  <a:pt x="57150" y="32364"/>
                                  <a:pt x="56425" y="36004"/>
                                  <a:pt x="54975" y="39508"/>
                                </a:cubicBezTo>
                                <a:cubicBezTo>
                                  <a:pt x="53525" y="43005"/>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3005"/>
                                  <a:pt x="2175" y="39508"/>
                                </a:cubicBezTo>
                                <a:cubicBezTo>
                                  <a:pt x="725" y="36004"/>
                                  <a:pt x="0" y="32364"/>
                                  <a:pt x="0" y="28575"/>
                                </a:cubicBezTo>
                                <a:cubicBezTo>
                                  <a:pt x="0" y="24786"/>
                                  <a:pt x="725" y="21140"/>
                                  <a:pt x="2175" y="17636"/>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4" name="Shape 704"/>
                        <wps:cNvSpPr/>
                        <wps:spPr>
                          <a:xfrm>
                            <a:off x="0" y="152400"/>
                            <a:ext cx="57150" cy="57150"/>
                          </a:xfrm>
                          <a:custGeom>
                            <a:avLst/>
                            <a:gdLst/>
                            <a:ahLst/>
                            <a:cxnLst/>
                            <a:rect l="0" t="0" r="0" b="0"/>
                            <a:pathLst>
                              <a:path w="57150" h="57150">
                                <a:moveTo>
                                  <a:pt x="28575" y="0"/>
                                </a:moveTo>
                                <a:cubicBezTo>
                                  <a:pt x="32364" y="0"/>
                                  <a:pt x="36009" y="719"/>
                                  <a:pt x="39510" y="2170"/>
                                </a:cubicBezTo>
                                <a:cubicBezTo>
                                  <a:pt x="43011" y="3621"/>
                                  <a:pt x="46101" y="5686"/>
                                  <a:pt x="48781" y="8365"/>
                                </a:cubicBezTo>
                                <a:cubicBezTo>
                                  <a:pt x="51460" y="11044"/>
                                  <a:pt x="53525" y="14132"/>
                                  <a:pt x="54975" y="17630"/>
                                </a:cubicBezTo>
                                <a:cubicBezTo>
                                  <a:pt x="56425" y="21134"/>
                                  <a:pt x="57150" y="24780"/>
                                  <a:pt x="57150" y="28575"/>
                                </a:cubicBezTo>
                                <a:cubicBezTo>
                                  <a:pt x="57150" y="32364"/>
                                  <a:pt x="56425" y="36004"/>
                                  <a:pt x="54975" y="39508"/>
                                </a:cubicBezTo>
                                <a:cubicBezTo>
                                  <a:pt x="53525" y="43005"/>
                                  <a:pt x="51460" y="46093"/>
                                  <a:pt x="48781" y="48778"/>
                                </a:cubicBezTo>
                                <a:cubicBezTo>
                                  <a:pt x="46101" y="51457"/>
                                  <a:pt x="43011" y="53522"/>
                                  <a:pt x="39510" y="54967"/>
                                </a:cubicBezTo>
                                <a:cubicBezTo>
                                  <a:pt x="36009" y="56418"/>
                                  <a:pt x="32364" y="57144"/>
                                  <a:pt x="28575" y="57150"/>
                                </a:cubicBezTo>
                                <a:cubicBezTo>
                                  <a:pt x="24786" y="57144"/>
                                  <a:pt x="21141" y="56418"/>
                                  <a:pt x="17640" y="54967"/>
                                </a:cubicBezTo>
                                <a:cubicBezTo>
                                  <a:pt x="14139" y="53522"/>
                                  <a:pt x="11049" y="51457"/>
                                  <a:pt x="8369" y="48778"/>
                                </a:cubicBezTo>
                                <a:cubicBezTo>
                                  <a:pt x="5690" y="46093"/>
                                  <a:pt x="3625" y="43005"/>
                                  <a:pt x="2175" y="39508"/>
                                </a:cubicBezTo>
                                <a:cubicBezTo>
                                  <a:pt x="725" y="36004"/>
                                  <a:pt x="0" y="32364"/>
                                  <a:pt x="0" y="28575"/>
                                </a:cubicBezTo>
                                <a:cubicBezTo>
                                  <a:pt x="0" y="24780"/>
                                  <a:pt x="725" y="21134"/>
                                  <a:pt x="2175" y="17630"/>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6" name="Shape 706"/>
                        <wps:cNvSpPr/>
                        <wps:spPr>
                          <a:xfrm>
                            <a:off x="0" y="304800"/>
                            <a:ext cx="57150" cy="57150"/>
                          </a:xfrm>
                          <a:custGeom>
                            <a:avLst/>
                            <a:gdLst/>
                            <a:ahLst/>
                            <a:cxnLst/>
                            <a:rect l="0" t="0" r="0" b="0"/>
                            <a:pathLst>
                              <a:path w="57150" h="57150">
                                <a:moveTo>
                                  <a:pt x="28575" y="0"/>
                                </a:moveTo>
                                <a:cubicBezTo>
                                  <a:pt x="32364" y="0"/>
                                  <a:pt x="36009" y="726"/>
                                  <a:pt x="39510" y="2170"/>
                                </a:cubicBezTo>
                                <a:cubicBezTo>
                                  <a:pt x="43011" y="3621"/>
                                  <a:pt x="46101" y="5680"/>
                                  <a:pt x="48781" y="8365"/>
                                </a:cubicBezTo>
                                <a:cubicBezTo>
                                  <a:pt x="51460" y="11038"/>
                                  <a:pt x="53525" y="14132"/>
                                  <a:pt x="54975" y="17630"/>
                                </a:cubicBezTo>
                                <a:cubicBezTo>
                                  <a:pt x="56425" y="21134"/>
                                  <a:pt x="57150" y="24786"/>
                                  <a:pt x="57150" y="28575"/>
                                </a:cubicBezTo>
                                <a:cubicBezTo>
                                  <a:pt x="57150" y="32358"/>
                                  <a:pt x="56425" y="35998"/>
                                  <a:pt x="54975" y="39501"/>
                                </a:cubicBezTo>
                                <a:cubicBezTo>
                                  <a:pt x="53525" y="43005"/>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3005"/>
                                  <a:pt x="2175" y="39501"/>
                                </a:cubicBezTo>
                                <a:cubicBezTo>
                                  <a:pt x="725" y="35998"/>
                                  <a:pt x="0" y="32358"/>
                                  <a:pt x="0" y="28575"/>
                                </a:cubicBezTo>
                                <a:cubicBezTo>
                                  <a:pt x="0" y="24786"/>
                                  <a:pt x="725" y="21140"/>
                                  <a:pt x="2175" y="17636"/>
                                </a:cubicBezTo>
                                <a:cubicBezTo>
                                  <a:pt x="3625" y="14132"/>
                                  <a:pt x="5690" y="11038"/>
                                  <a:pt x="8369" y="8365"/>
                                </a:cubicBezTo>
                                <a:cubicBezTo>
                                  <a:pt x="11049" y="5680"/>
                                  <a:pt x="14139" y="3615"/>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8" name="Shape 708"/>
                        <wps:cNvSpPr/>
                        <wps:spPr>
                          <a:xfrm>
                            <a:off x="0" y="45720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6"/>
                                </a:cubicBezTo>
                                <a:cubicBezTo>
                                  <a:pt x="56425" y="21140"/>
                                  <a:pt x="57150" y="24786"/>
                                  <a:pt x="57150" y="28575"/>
                                </a:cubicBezTo>
                                <a:cubicBezTo>
                                  <a:pt x="57150" y="32364"/>
                                  <a:pt x="56425" y="36004"/>
                                  <a:pt x="54975" y="39508"/>
                                </a:cubicBezTo>
                                <a:cubicBezTo>
                                  <a:pt x="53525" y="43005"/>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8"/>
                                </a:cubicBezTo>
                                <a:cubicBezTo>
                                  <a:pt x="5690" y="46093"/>
                                  <a:pt x="3625" y="43005"/>
                                  <a:pt x="2175" y="39508"/>
                                </a:cubicBezTo>
                                <a:cubicBezTo>
                                  <a:pt x="725" y="36004"/>
                                  <a:pt x="0" y="32364"/>
                                  <a:pt x="0" y="28575"/>
                                </a:cubicBezTo>
                                <a:cubicBezTo>
                                  <a:pt x="0" y="24786"/>
                                  <a:pt x="725" y="21140"/>
                                  <a:pt x="2175" y="17636"/>
                                </a:cubicBezTo>
                                <a:cubicBezTo>
                                  <a:pt x="3625" y="14132"/>
                                  <a:pt x="5690" y="11044"/>
                                  <a:pt x="8369" y="8365"/>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12" name="Shape 712"/>
                        <wps:cNvSpPr/>
                        <wps:spPr>
                          <a:xfrm>
                            <a:off x="0" y="609600"/>
                            <a:ext cx="57150" cy="57150"/>
                          </a:xfrm>
                          <a:custGeom>
                            <a:avLst/>
                            <a:gdLst/>
                            <a:ahLst/>
                            <a:cxnLst/>
                            <a:rect l="0" t="0" r="0" b="0"/>
                            <a:pathLst>
                              <a:path w="57150" h="57150">
                                <a:moveTo>
                                  <a:pt x="28575" y="0"/>
                                </a:moveTo>
                                <a:cubicBezTo>
                                  <a:pt x="32364" y="0"/>
                                  <a:pt x="36009" y="719"/>
                                  <a:pt x="39510" y="2170"/>
                                </a:cubicBezTo>
                                <a:cubicBezTo>
                                  <a:pt x="43011" y="3615"/>
                                  <a:pt x="46101" y="5680"/>
                                  <a:pt x="48781" y="8365"/>
                                </a:cubicBezTo>
                                <a:cubicBezTo>
                                  <a:pt x="51460" y="11038"/>
                                  <a:pt x="53525" y="14126"/>
                                  <a:pt x="54975" y="17630"/>
                                </a:cubicBezTo>
                                <a:cubicBezTo>
                                  <a:pt x="56425" y="21127"/>
                                  <a:pt x="57150" y="24774"/>
                                  <a:pt x="57150" y="28575"/>
                                </a:cubicBezTo>
                                <a:cubicBezTo>
                                  <a:pt x="57150" y="32358"/>
                                  <a:pt x="56425" y="35998"/>
                                  <a:pt x="54975" y="39501"/>
                                </a:cubicBezTo>
                                <a:cubicBezTo>
                                  <a:pt x="53525" y="43005"/>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3005"/>
                                  <a:pt x="2175" y="39501"/>
                                </a:cubicBezTo>
                                <a:cubicBezTo>
                                  <a:pt x="725" y="35998"/>
                                  <a:pt x="0" y="32358"/>
                                  <a:pt x="0" y="28575"/>
                                </a:cubicBezTo>
                                <a:cubicBezTo>
                                  <a:pt x="0" y="24774"/>
                                  <a:pt x="725" y="21127"/>
                                  <a:pt x="2175" y="17630"/>
                                </a:cubicBezTo>
                                <a:cubicBezTo>
                                  <a:pt x="3625" y="14126"/>
                                  <a:pt x="5690" y="11038"/>
                                  <a:pt x="8369" y="8365"/>
                                </a:cubicBezTo>
                                <a:cubicBezTo>
                                  <a:pt x="11049" y="5680"/>
                                  <a:pt x="14139" y="3615"/>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3147" style="width:4.5pt;height:52.5pt;position:absolute;mso-position-horizontal-relative:text;mso-position-horizontal:absolute;margin-left:16.5pt;mso-position-vertical-relative:text;margin-top:2.73682pt;" coordsize="571,6667">
                <v:shape id="Shape 702" style="position:absolute;width:571;height:571;left:0;top:0;" coordsize="57150,57150" path="m28575,0c32364,0,36009,726,39510,2170c43011,3621,46101,5686,48781,8365c51460,11044,53525,14132,54975,17636c56425,21140,57150,24786,57150,28575c57150,32364,56425,36004,54975,39508c53525,43005,51460,46093,48781,48772c46101,51451,43011,53516,39510,54967c36009,56418,32364,57144,28575,57150c24786,57144,21141,56418,17640,54967c14139,53516,11049,51451,8369,48772c5690,46093,3625,43005,2175,39508c725,36004,0,32364,0,28575c0,24786,725,21140,2175,17636c3625,14132,5690,11044,8369,8365c11049,5686,14139,3621,17640,2170c21141,719,24786,0,28575,0x">
                  <v:stroke weight="0pt" endcap="flat" joinstyle="miter" miterlimit="4" on="false" color="#000000" opacity="0"/>
                  <v:fill on="true" color="#333333"/>
                </v:shape>
                <v:shape id="Shape 704" style="position:absolute;width:571;height:571;left:0;top:1524;" coordsize="57150,57150" path="m28575,0c32364,0,36009,719,39510,2170c43011,3621,46101,5686,48781,8365c51460,11044,53525,14132,54975,17630c56425,21134,57150,24780,57150,28575c57150,32364,56425,36004,54975,39508c53525,43005,51460,46093,48781,48778c46101,51457,43011,53522,39510,54967c36009,56418,32364,57144,28575,57150c24786,57144,21141,56418,17640,54967c14139,53522,11049,51457,8369,48778c5690,46093,3625,43005,2175,39508c725,36004,0,32364,0,28575c0,24780,725,21134,2175,17630c3625,14132,5690,11044,8369,8365c11049,5686,14139,3621,17640,2170c21141,719,24786,0,28575,0x">
                  <v:stroke weight="0pt" endcap="flat" joinstyle="miter" miterlimit="4" on="false" color="#000000" opacity="0"/>
                  <v:fill on="true" color="#333333"/>
                </v:shape>
                <v:shape id="Shape 706" style="position:absolute;width:571;height:571;left:0;top:3048;" coordsize="57150,57150" path="m28575,0c32364,0,36009,726,39510,2170c43011,3621,46101,5680,48781,8365c51460,11038,53525,14132,54975,17630c56425,21134,57150,24786,57150,28575c57150,32358,56425,35998,54975,39501c53525,43005,51460,46093,48781,48772c46101,51451,43011,53516,39510,54967c36009,56418,32364,57144,28575,57150c24786,57144,21141,56418,17640,54967c14139,53516,11049,51451,8369,48772c5690,46093,3625,43005,2175,39501c725,35998,0,32358,0,28575c0,24786,725,21140,2175,17636c3625,14132,5690,11038,8369,8365c11049,5680,14139,3615,17640,2170c21141,719,24786,0,28575,0x">
                  <v:stroke weight="0pt" endcap="flat" joinstyle="miter" miterlimit="4" on="false" color="#000000" opacity="0"/>
                  <v:fill on="true" color="#333333"/>
                </v:shape>
                <v:shape id="Shape 708" style="position:absolute;width:571;height:571;left:0;top:4572;" coordsize="57150,57150" path="m28575,0c32364,0,36009,726,39510,2170c43011,3621,46101,5686,48781,8365c51460,11044,53525,14132,54975,17636c56425,21140,57150,24786,57150,28575c57150,32364,56425,36004,54975,39508c53525,43005,51460,46093,48781,48778c46101,51451,43011,53516,39510,54967c36009,56418,32364,57144,28575,57150c24786,57144,21141,56418,17640,54967c14139,53516,11049,51451,8369,48778c5690,46093,3625,43005,2175,39508c725,36004,0,32364,0,28575c0,24786,725,21140,2175,17636c3625,14132,5690,11044,8369,8365c11049,5686,14139,3621,17640,2170c21141,726,24786,0,28575,0x">
                  <v:stroke weight="0pt" endcap="flat" joinstyle="miter" miterlimit="4" on="false" color="#000000" opacity="0"/>
                  <v:fill on="true" color="#333333"/>
                </v:shape>
                <v:shape id="Shape 712" style="position:absolute;width:571;height:571;left:0;top:6096;" coordsize="57150,57150" path="m28575,0c32364,0,36009,719,39510,2170c43011,3615,46101,5680,48781,8365c51460,11038,53525,14126,54975,17630c56425,21127,57150,24774,57150,28575c57150,32358,56425,35998,54975,39501c53525,43005,51460,46093,48781,48772c46101,51451,43011,53516,39510,54967c36009,56418,32364,57144,28575,57150c24786,57144,21141,56418,17640,54967c14139,53516,11049,51451,8369,48772c5690,46093,3625,43005,2175,39501c725,35998,0,32358,0,28575c0,24774,725,21127,2175,17630c3625,14126,5690,11038,8369,8365c11049,5680,14139,3615,17640,2170c21141,719,24786,0,28575,0x">
                  <v:stroke weight="0pt" endcap="flat" joinstyle="miter" miterlimit="4" on="false" color="#000000" opacity="0"/>
                  <v:fill on="true" color="#333333"/>
                </v:shape>
                <w10:wrap type="square"/>
              </v:group>
            </w:pict>
          </mc:Fallback>
        </mc:AlternateContent>
      </w:r>
      <w:r>
        <w:t>Клиническая картина ОКС с указанием точного времени начала боли.</w:t>
      </w:r>
    </w:p>
    <w:p w:rsidR="008E3F15" w:rsidRDefault="005F449A">
      <w:pPr>
        <w:spacing w:after="31"/>
        <w:ind w:left="340" w:right="15"/>
      </w:pPr>
      <w:r>
        <w:t>АД и частота сердечных сокращений (ЧСС), пульсоксиметрия.</w:t>
      </w:r>
    </w:p>
    <w:p w:rsidR="008E3F15" w:rsidRDefault="005F449A">
      <w:pPr>
        <w:spacing w:after="31"/>
        <w:ind w:left="340" w:right="15"/>
      </w:pPr>
      <w:r>
        <w:t>Осложнения: отек легкого, шок, аритмии.</w:t>
      </w:r>
    </w:p>
    <w:p w:rsidR="008E3F15" w:rsidRDefault="005F449A">
      <w:pPr>
        <w:spacing w:after="31"/>
        <w:ind w:left="340" w:right="15"/>
      </w:pPr>
      <w:r>
        <w:t xml:space="preserve">ЭКГ в течение 10 мин: наличие подъема </w:t>
      </w:r>
      <w:r>
        <w:rPr>
          <w:i/>
        </w:rPr>
        <w:t>ST</w:t>
      </w:r>
      <w:r>
        <w:t>.</w:t>
      </w:r>
    </w:p>
    <w:p w:rsidR="008E3F15" w:rsidRDefault="005F449A">
      <w:pPr>
        <w:spacing w:after="165"/>
        <w:ind w:left="340" w:right="15"/>
      </w:pPr>
      <w:r>
        <w:t>Протокол диагностики острого дискомфорта/боли.</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simplePos x="0" y="0"/>
                <wp:positionH relativeFrom="column">
                  <wp:posOffset>209550</wp:posOffset>
                </wp:positionH>
                <wp:positionV relativeFrom="paragraph">
                  <wp:posOffset>34758</wp:posOffset>
                </wp:positionV>
                <wp:extent cx="57150" cy="1000125"/>
                <wp:effectExtent l="0" t="0" r="0" b="0"/>
                <wp:wrapSquare wrapText="bothSides"/>
                <wp:docPr id="253149" name="Group 253149"/>
                <wp:cNvGraphicFramePr/>
                <a:graphic xmlns:a="http://schemas.openxmlformats.org/drawingml/2006/main">
                  <a:graphicData uri="http://schemas.microsoft.com/office/word/2010/wordprocessingGroup">
                    <wpg:wgp>
                      <wpg:cNvGrpSpPr/>
                      <wpg:grpSpPr>
                        <a:xfrm>
                          <a:off x="0" y="0"/>
                          <a:ext cx="57150" cy="1000125"/>
                          <a:chOff x="0" y="0"/>
                          <a:chExt cx="57150" cy="1000125"/>
                        </a:xfrm>
                      </wpg:grpSpPr>
                      <wps:wsp>
                        <wps:cNvPr id="715" name="Shape 715"/>
                        <wps:cNvSpPr/>
                        <wps:spPr>
                          <a:xfrm>
                            <a:off x="0" y="0"/>
                            <a:ext cx="57150" cy="57150"/>
                          </a:xfrm>
                          <a:custGeom>
                            <a:avLst/>
                            <a:gdLst/>
                            <a:ahLst/>
                            <a:cxnLst/>
                            <a:rect l="0" t="0" r="0" b="0"/>
                            <a:pathLst>
                              <a:path w="57150" h="57150">
                                <a:moveTo>
                                  <a:pt x="28575" y="0"/>
                                </a:moveTo>
                                <a:cubicBezTo>
                                  <a:pt x="32364" y="0"/>
                                  <a:pt x="36009" y="719"/>
                                  <a:pt x="39510" y="2170"/>
                                </a:cubicBezTo>
                                <a:cubicBezTo>
                                  <a:pt x="43011" y="3621"/>
                                  <a:pt x="46101" y="5686"/>
                                  <a:pt x="48781" y="8365"/>
                                </a:cubicBezTo>
                                <a:cubicBezTo>
                                  <a:pt x="51460" y="11044"/>
                                  <a:pt x="53525" y="14132"/>
                                  <a:pt x="54975" y="17636"/>
                                </a:cubicBezTo>
                                <a:cubicBezTo>
                                  <a:pt x="56425" y="21140"/>
                                  <a:pt x="57150" y="24786"/>
                                  <a:pt x="57150" y="28575"/>
                                </a:cubicBezTo>
                                <a:cubicBezTo>
                                  <a:pt x="57150" y="32364"/>
                                  <a:pt x="56425" y="36004"/>
                                  <a:pt x="54975" y="39508"/>
                                </a:cubicBezTo>
                                <a:cubicBezTo>
                                  <a:pt x="53525" y="43005"/>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3005"/>
                                  <a:pt x="2175" y="39508"/>
                                </a:cubicBezTo>
                                <a:cubicBezTo>
                                  <a:pt x="725" y="36004"/>
                                  <a:pt x="0" y="32364"/>
                                  <a:pt x="0" y="28575"/>
                                </a:cubicBezTo>
                                <a:cubicBezTo>
                                  <a:pt x="0" y="24786"/>
                                  <a:pt x="725" y="21140"/>
                                  <a:pt x="2175" y="17636"/>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17" name="Shape 717"/>
                        <wps:cNvSpPr/>
                        <wps:spPr>
                          <a:xfrm>
                            <a:off x="0" y="15240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0"/>
                                </a:cubicBezTo>
                                <a:cubicBezTo>
                                  <a:pt x="56425" y="21134"/>
                                  <a:pt x="57150" y="24786"/>
                                  <a:pt x="57150" y="28575"/>
                                </a:cubicBezTo>
                                <a:cubicBezTo>
                                  <a:pt x="57150" y="32364"/>
                                  <a:pt x="56425" y="36004"/>
                                  <a:pt x="54975" y="39508"/>
                                </a:cubicBezTo>
                                <a:cubicBezTo>
                                  <a:pt x="53525" y="43005"/>
                                  <a:pt x="51460" y="46093"/>
                                  <a:pt x="48781" y="48778"/>
                                </a:cubicBezTo>
                                <a:cubicBezTo>
                                  <a:pt x="46101" y="51457"/>
                                  <a:pt x="43011" y="53522"/>
                                  <a:pt x="39510" y="54973"/>
                                </a:cubicBezTo>
                                <a:cubicBezTo>
                                  <a:pt x="36009" y="56418"/>
                                  <a:pt x="32364" y="57144"/>
                                  <a:pt x="28575" y="57150"/>
                                </a:cubicBezTo>
                                <a:cubicBezTo>
                                  <a:pt x="24786" y="57144"/>
                                  <a:pt x="21141" y="56418"/>
                                  <a:pt x="17640" y="54973"/>
                                </a:cubicBezTo>
                                <a:cubicBezTo>
                                  <a:pt x="14139" y="53522"/>
                                  <a:pt x="11049" y="51457"/>
                                  <a:pt x="8369" y="48778"/>
                                </a:cubicBezTo>
                                <a:cubicBezTo>
                                  <a:pt x="5690" y="46093"/>
                                  <a:pt x="3625" y="43005"/>
                                  <a:pt x="2175" y="39508"/>
                                </a:cubicBezTo>
                                <a:cubicBezTo>
                                  <a:pt x="725" y="36004"/>
                                  <a:pt x="0" y="32364"/>
                                  <a:pt x="0" y="28575"/>
                                </a:cubicBezTo>
                                <a:cubicBezTo>
                                  <a:pt x="0" y="24786"/>
                                  <a:pt x="725" y="21140"/>
                                  <a:pt x="2175" y="17636"/>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19" name="Shape 719"/>
                        <wps:cNvSpPr/>
                        <wps:spPr>
                          <a:xfrm>
                            <a:off x="0" y="304800"/>
                            <a:ext cx="57150" cy="57150"/>
                          </a:xfrm>
                          <a:custGeom>
                            <a:avLst/>
                            <a:gdLst/>
                            <a:ahLst/>
                            <a:cxnLst/>
                            <a:rect l="0" t="0" r="0" b="0"/>
                            <a:pathLst>
                              <a:path w="57150" h="57150">
                                <a:moveTo>
                                  <a:pt x="28575" y="0"/>
                                </a:moveTo>
                                <a:cubicBezTo>
                                  <a:pt x="32364" y="0"/>
                                  <a:pt x="36009" y="726"/>
                                  <a:pt x="39510" y="2170"/>
                                </a:cubicBezTo>
                                <a:cubicBezTo>
                                  <a:pt x="43011" y="3621"/>
                                  <a:pt x="46101" y="5680"/>
                                  <a:pt x="48781" y="8365"/>
                                </a:cubicBezTo>
                                <a:cubicBezTo>
                                  <a:pt x="51460" y="11038"/>
                                  <a:pt x="53525" y="14132"/>
                                  <a:pt x="54975" y="17630"/>
                                </a:cubicBezTo>
                                <a:cubicBezTo>
                                  <a:pt x="56425" y="21134"/>
                                  <a:pt x="57150" y="24780"/>
                                  <a:pt x="57150" y="28575"/>
                                </a:cubicBezTo>
                                <a:cubicBezTo>
                                  <a:pt x="57150" y="32358"/>
                                  <a:pt x="56425" y="35998"/>
                                  <a:pt x="54975" y="39501"/>
                                </a:cubicBezTo>
                                <a:cubicBezTo>
                                  <a:pt x="53525" y="42999"/>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2999"/>
                                  <a:pt x="2175" y="39501"/>
                                </a:cubicBezTo>
                                <a:cubicBezTo>
                                  <a:pt x="725" y="35998"/>
                                  <a:pt x="0" y="32358"/>
                                  <a:pt x="0" y="28575"/>
                                </a:cubicBezTo>
                                <a:cubicBezTo>
                                  <a:pt x="0" y="24780"/>
                                  <a:pt x="725" y="21134"/>
                                  <a:pt x="2175" y="17630"/>
                                </a:cubicBezTo>
                                <a:cubicBezTo>
                                  <a:pt x="3625" y="14132"/>
                                  <a:pt x="5690" y="11038"/>
                                  <a:pt x="8369" y="8365"/>
                                </a:cubicBezTo>
                                <a:cubicBezTo>
                                  <a:pt x="11049" y="5680"/>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1" name="Shape 721"/>
                        <wps:cNvSpPr/>
                        <wps:spPr>
                          <a:xfrm>
                            <a:off x="0" y="45720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0"/>
                                </a:cubicBezTo>
                                <a:cubicBezTo>
                                  <a:pt x="56425" y="21134"/>
                                  <a:pt x="57150" y="24786"/>
                                  <a:pt x="57150" y="28575"/>
                                </a:cubicBezTo>
                                <a:cubicBezTo>
                                  <a:pt x="57150" y="32358"/>
                                  <a:pt x="56425" y="35998"/>
                                  <a:pt x="54975" y="39501"/>
                                </a:cubicBezTo>
                                <a:cubicBezTo>
                                  <a:pt x="53525" y="43005"/>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8"/>
                                </a:cubicBezTo>
                                <a:cubicBezTo>
                                  <a:pt x="5690" y="46093"/>
                                  <a:pt x="3625" y="43005"/>
                                  <a:pt x="2175" y="39501"/>
                                </a:cubicBezTo>
                                <a:cubicBezTo>
                                  <a:pt x="725" y="35998"/>
                                  <a:pt x="0" y="32358"/>
                                  <a:pt x="0" y="28575"/>
                                </a:cubicBezTo>
                                <a:cubicBezTo>
                                  <a:pt x="0" y="24786"/>
                                  <a:pt x="725" y="21140"/>
                                  <a:pt x="2175" y="17636"/>
                                </a:cubicBezTo>
                                <a:cubicBezTo>
                                  <a:pt x="3625" y="14132"/>
                                  <a:pt x="5690" y="11044"/>
                                  <a:pt x="8369" y="8365"/>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5" name="Shape 725"/>
                        <wps:cNvSpPr/>
                        <wps:spPr>
                          <a:xfrm>
                            <a:off x="0" y="609600"/>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38"/>
                                  <a:pt x="53525" y="14126"/>
                                  <a:pt x="54975" y="17630"/>
                                </a:cubicBezTo>
                                <a:cubicBezTo>
                                  <a:pt x="56425" y="21127"/>
                                  <a:pt x="57150" y="24780"/>
                                  <a:pt x="57150" y="28575"/>
                                </a:cubicBezTo>
                                <a:cubicBezTo>
                                  <a:pt x="57150" y="32358"/>
                                  <a:pt x="56425" y="35998"/>
                                  <a:pt x="54975" y="39501"/>
                                </a:cubicBezTo>
                                <a:cubicBezTo>
                                  <a:pt x="53525" y="42999"/>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2999"/>
                                  <a:pt x="2175" y="39501"/>
                                </a:cubicBezTo>
                                <a:cubicBezTo>
                                  <a:pt x="725" y="35998"/>
                                  <a:pt x="0" y="32358"/>
                                  <a:pt x="0" y="28575"/>
                                </a:cubicBezTo>
                                <a:cubicBezTo>
                                  <a:pt x="0" y="24780"/>
                                  <a:pt x="725" y="21134"/>
                                  <a:pt x="2175" y="17630"/>
                                </a:cubicBezTo>
                                <a:cubicBezTo>
                                  <a:pt x="3625" y="14126"/>
                                  <a:pt x="5690" y="11038"/>
                                  <a:pt x="8369" y="8365"/>
                                </a:cubicBezTo>
                                <a:cubicBezTo>
                                  <a:pt x="11049" y="5686"/>
                                  <a:pt x="14139" y="3621"/>
                                  <a:pt x="17640" y="2170"/>
                                </a:cubicBezTo>
                                <a:cubicBezTo>
                                  <a:pt x="21141" y="726"/>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7" name="Shape 727"/>
                        <wps:cNvSpPr/>
                        <wps:spPr>
                          <a:xfrm>
                            <a:off x="0" y="762000"/>
                            <a:ext cx="57150" cy="57150"/>
                          </a:xfrm>
                          <a:custGeom>
                            <a:avLst/>
                            <a:gdLst/>
                            <a:ahLst/>
                            <a:cxnLst/>
                            <a:rect l="0" t="0" r="0" b="0"/>
                            <a:pathLst>
                              <a:path w="57150" h="57150">
                                <a:moveTo>
                                  <a:pt x="28575" y="0"/>
                                </a:moveTo>
                                <a:cubicBezTo>
                                  <a:pt x="32364" y="0"/>
                                  <a:pt x="36009" y="719"/>
                                  <a:pt x="39510" y="2170"/>
                                </a:cubicBezTo>
                                <a:cubicBezTo>
                                  <a:pt x="43011" y="3621"/>
                                  <a:pt x="46101" y="5686"/>
                                  <a:pt x="48781" y="8365"/>
                                </a:cubicBezTo>
                                <a:cubicBezTo>
                                  <a:pt x="51460" y="11044"/>
                                  <a:pt x="53525" y="14132"/>
                                  <a:pt x="54975" y="17630"/>
                                </a:cubicBezTo>
                                <a:cubicBezTo>
                                  <a:pt x="56425" y="21134"/>
                                  <a:pt x="57150" y="24780"/>
                                  <a:pt x="57150" y="28575"/>
                                </a:cubicBezTo>
                                <a:cubicBezTo>
                                  <a:pt x="57150" y="32364"/>
                                  <a:pt x="56425" y="36004"/>
                                  <a:pt x="54975" y="39508"/>
                                </a:cubicBezTo>
                                <a:cubicBezTo>
                                  <a:pt x="53525" y="43005"/>
                                  <a:pt x="51460" y="46093"/>
                                  <a:pt x="48781" y="48772"/>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2"/>
                                </a:cubicBezTo>
                                <a:cubicBezTo>
                                  <a:pt x="5690" y="46093"/>
                                  <a:pt x="3625" y="43005"/>
                                  <a:pt x="2175" y="39508"/>
                                </a:cubicBezTo>
                                <a:cubicBezTo>
                                  <a:pt x="725" y="36004"/>
                                  <a:pt x="0" y="32364"/>
                                  <a:pt x="0" y="28575"/>
                                </a:cubicBezTo>
                                <a:cubicBezTo>
                                  <a:pt x="0" y="24780"/>
                                  <a:pt x="725" y="21134"/>
                                  <a:pt x="2175" y="17630"/>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31" name="Shape 731"/>
                        <wps:cNvSpPr/>
                        <wps:spPr>
                          <a:xfrm>
                            <a:off x="0" y="942975"/>
                            <a:ext cx="57150" cy="57150"/>
                          </a:xfrm>
                          <a:custGeom>
                            <a:avLst/>
                            <a:gdLst/>
                            <a:ahLst/>
                            <a:cxnLst/>
                            <a:rect l="0" t="0" r="0" b="0"/>
                            <a:pathLst>
                              <a:path w="57150" h="57150">
                                <a:moveTo>
                                  <a:pt x="28575" y="0"/>
                                </a:moveTo>
                                <a:cubicBezTo>
                                  <a:pt x="32364" y="0"/>
                                  <a:pt x="36009" y="726"/>
                                  <a:pt x="39510" y="2170"/>
                                </a:cubicBezTo>
                                <a:cubicBezTo>
                                  <a:pt x="43011" y="3621"/>
                                  <a:pt x="46101" y="5686"/>
                                  <a:pt x="48781" y="8365"/>
                                </a:cubicBezTo>
                                <a:cubicBezTo>
                                  <a:pt x="51460" y="11044"/>
                                  <a:pt x="53525" y="14132"/>
                                  <a:pt x="54975" y="17636"/>
                                </a:cubicBezTo>
                                <a:cubicBezTo>
                                  <a:pt x="56425" y="21140"/>
                                  <a:pt x="57150" y="24786"/>
                                  <a:pt x="57150" y="28575"/>
                                </a:cubicBezTo>
                                <a:cubicBezTo>
                                  <a:pt x="57150" y="32364"/>
                                  <a:pt x="56425" y="36004"/>
                                  <a:pt x="54975" y="39508"/>
                                </a:cubicBezTo>
                                <a:cubicBezTo>
                                  <a:pt x="53525" y="43005"/>
                                  <a:pt x="51460" y="46093"/>
                                  <a:pt x="48781" y="48778"/>
                                </a:cubicBezTo>
                                <a:cubicBezTo>
                                  <a:pt x="46101" y="51451"/>
                                  <a:pt x="43011" y="53516"/>
                                  <a:pt x="39510" y="54967"/>
                                </a:cubicBezTo>
                                <a:cubicBezTo>
                                  <a:pt x="36009" y="56418"/>
                                  <a:pt x="32364" y="57144"/>
                                  <a:pt x="28575" y="57150"/>
                                </a:cubicBezTo>
                                <a:cubicBezTo>
                                  <a:pt x="24786" y="57144"/>
                                  <a:pt x="21141" y="56418"/>
                                  <a:pt x="17640" y="54967"/>
                                </a:cubicBezTo>
                                <a:cubicBezTo>
                                  <a:pt x="14139" y="53516"/>
                                  <a:pt x="11049" y="51451"/>
                                  <a:pt x="8369" y="48778"/>
                                </a:cubicBezTo>
                                <a:cubicBezTo>
                                  <a:pt x="5690" y="46093"/>
                                  <a:pt x="3625" y="43005"/>
                                  <a:pt x="2175" y="39508"/>
                                </a:cubicBezTo>
                                <a:cubicBezTo>
                                  <a:pt x="725" y="36004"/>
                                  <a:pt x="0" y="32364"/>
                                  <a:pt x="0" y="28575"/>
                                </a:cubicBezTo>
                                <a:cubicBezTo>
                                  <a:pt x="0" y="24786"/>
                                  <a:pt x="725" y="21140"/>
                                  <a:pt x="2175" y="17636"/>
                                </a:cubicBezTo>
                                <a:cubicBezTo>
                                  <a:pt x="3625" y="14132"/>
                                  <a:pt x="5690" y="11044"/>
                                  <a:pt x="8369" y="8365"/>
                                </a:cubicBezTo>
                                <a:cubicBezTo>
                                  <a:pt x="11049" y="5686"/>
                                  <a:pt x="14139" y="3621"/>
                                  <a:pt x="17640" y="2170"/>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3149" style="width:4.5pt;height:78.75pt;position:absolute;mso-position-horizontal-relative:text;mso-position-horizontal:absolute;margin-left:16.5pt;mso-position-vertical-relative:text;margin-top:2.73682pt;" coordsize="571,10001">
                <v:shape id="Shape 715" style="position:absolute;width:571;height:571;left:0;top:0;" coordsize="57150,57150" path="m28575,0c32364,0,36009,719,39510,2170c43011,3621,46101,5686,48781,8365c51460,11044,53525,14132,54975,17636c56425,21140,57150,24786,57150,28575c57150,32364,56425,36004,54975,39508c53525,43005,51460,46093,48781,48772c46101,51451,43011,53516,39510,54967c36009,56418,32364,57144,28575,57150c24786,57144,21141,56418,17640,54967c14139,53516,11049,51451,8369,48772c5690,46093,3625,43005,2175,39508c725,36004,0,32364,0,28575c0,24786,725,21140,2175,17636c3625,14132,5690,11044,8369,8365c11049,5686,14139,3621,17640,2170c21141,719,24786,0,28575,0x">
                  <v:stroke weight="0pt" endcap="flat" joinstyle="miter" miterlimit="4" on="false" color="#000000" opacity="0"/>
                  <v:fill on="true" color="#333333"/>
                </v:shape>
                <v:shape id="Shape 717" style="position:absolute;width:571;height:571;left:0;top:1524;" coordsize="57150,57150" path="m28575,0c32364,0,36009,726,39510,2170c43011,3621,46101,5686,48781,8365c51460,11044,53525,14132,54975,17630c56425,21134,57150,24786,57150,28575c57150,32364,56425,36004,54975,39508c53525,43005,51460,46093,48781,48778c46101,51457,43011,53522,39510,54973c36009,56418,32364,57144,28575,57150c24786,57144,21141,56418,17640,54973c14139,53522,11049,51457,8369,48778c5690,46093,3625,43005,2175,39508c725,36004,0,32364,0,28575c0,24786,725,21140,2175,17636c3625,14132,5690,11044,8369,8365c11049,5686,14139,3621,17640,2170c21141,719,24786,0,28575,0x">
                  <v:stroke weight="0pt" endcap="flat" joinstyle="miter" miterlimit="4" on="false" color="#000000" opacity="0"/>
                  <v:fill on="true" color="#333333"/>
                </v:shape>
                <v:shape id="Shape 719" style="position:absolute;width:571;height:571;left:0;top:3048;" coordsize="57150,57150" path="m28575,0c32364,0,36009,726,39510,2170c43011,3621,46101,5680,48781,8365c51460,11038,53525,14132,54975,17630c56425,21134,57150,24780,57150,28575c57150,32358,56425,35998,54975,39501c53525,42999,51460,46093,48781,48772c46101,51451,43011,53516,39510,54967c36009,56418,32364,57144,28575,57150c24786,57144,21141,56418,17640,54967c14139,53516,11049,51451,8369,48772c5690,46093,3625,42999,2175,39501c725,35998,0,32358,0,28575c0,24780,725,21134,2175,17630c3625,14132,5690,11038,8369,8365c11049,5680,14139,3621,17640,2170c21141,726,24786,0,28575,0x">
                  <v:stroke weight="0pt" endcap="flat" joinstyle="miter" miterlimit="4" on="false" color="#000000" opacity="0"/>
                  <v:fill on="true" color="#333333"/>
                </v:shape>
                <v:shape id="Shape 721" style="position:absolute;width:571;height:571;left:0;top:4572;" coordsize="57150,57150" path="m28575,0c32364,0,36009,726,39510,2170c43011,3621,46101,5686,48781,8365c51460,11044,53525,14132,54975,17630c56425,21134,57150,24786,57150,28575c57150,32358,56425,35998,54975,39501c53525,43005,51460,46093,48781,48778c46101,51451,43011,53516,39510,54967c36009,56418,32364,57144,28575,57150c24786,57144,21141,56418,17640,54967c14139,53516,11049,51451,8369,48778c5690,46093,3625,43005,2175,39501c725,35998,0,32358,0,28575c0,24786,725,21140,2175,17636c3625,14132,5690,11044,8369,8365c11049,5686,14139,3621,17640,2170c21141,726,24786,0,28575,0x">
                  <v:stroke weight="0pt" endcap="flat" joinstyle="miter" miterlimit="4" on="false" color="#000000" opacity="0"/>
                  <v:fill on="true" color="#333333"/>
                </v:shape>
                <v:shape id="Shape 725" style="position:absolute;width:571;height:571;left:0;top:6096;" coordsize="57150,57150" path="m28575,0c32364,0,36009,726,39510,2170c43011,3621,46101,5686,48781,8365c51460,11038,53525,14126,54975,17630c56425,21127,57150,24780,57150,28575c57150,32358,56425,35998,54975,39501c53525,42999,51460,46093,48781,48772c46101,51451,43011,53516,39510,54967c36009,56418,32364,57144,28575,57150c24786,57144,21141,56418,17640,54967c14139,53516,11049,51451,8369,48772c5690,46093,3625,42999,2175,39501c725,35998,0,32358,0,28575c0,24780,725,21134,2175,17630c3625,14126,5690,11038,8369,8365c11049,5686,14139,3621,17640,2170c21141,726,24786,0,28575,0x">
                  <v:stroke weight="0pt" endcap="flat" joinstyle="miter" miterlimit="4" on="false" color="#000000" opacity="0"/>
                  <v:fill on="true" color="#333333"/>
                </v:shape>
                <v:shape id="Shape 727" style="position:absolute;width:571;height:571;left:0;top:7620;" coordsize="57150,57150" path="m28575,0c32364,0,36009,719,39510,2170c43011,3621,46101,5686,48781,8365c51460,11044,53525,14132,54975,17630c56425,21134,57150,24780,57150,28575c57150,32364,56425,36004,54975,39508c53525,43005,51460,46093,48781,48772c46101,51451,43011,53516,39510,54967c36009,56418,32364,57144,28575,57150c24786,57144,21141,56418,17640,54967c14139,53516,11049,51451,8369,48772c5690,46093,3625,43005,2175,39508c725,36004,0,32364,0,28575c0,24780,725,21134,2175,17630c3625,14132,5690,11044,8369,8365c11049,5686,14139,3621,17640,2170c21141,719,24786,0,28575,0x">
                  <v:stroke weight="0pt" endcap="flat" joinstyle="miter" miterlimit="4" on="false" color="#000000" opacity="0"/>
                  <v:fill on="true" color="#333333"/>
                </v:shape>
                <v:shape id="Shape 731" style="position:absolute;width:571;height:571;left:0;top:9429;" coordsize="57150,57150" path="m28575,0c32364,0,36009,726,39510,2170c43011,3621,46101,5686,48781,8365c51460,11044,53525,14132,54975,17636c56425,21140,57150,24786,57150,28575c57150,32364,56425,36004,54975,39508c53525,43005,51460,46093,48781,48778c46101,51451,43011,53516,39510,54967c36009,56418,32364,57144,28575,57150c24786,57144,21141,56418,17640,54967c14139,53516,11049,51451,8369,48778c5690,46093,3625,43005,2175,39508c725,36004,0,32364,0,28575c0,24786,725,21140,2175,17636c3625,14132,5690,11044,8369,8365c11049,5686,14139,3621,17640,2170c21141,719,24786,0,28575,0x">
                  <v:stroke weight="0pt" endcap="flat" joinstyle="miter" miterlimit="4" on="false" color="#000000" opacity="0"/>
                  <v:fill on="true" color="#333333"/>
                </v:shape>
                <w10:wrap type="square"/>
              </v:group>
            </w:pict>
          </mc:Fallback>
        </mc:AlternateContent>
      </w:r>
      <w:r>
        <w:t>Решение о госпитализации за 10 мин.</w:t>
      </w:r>
    </w:p>
    <w:p w:rsidR="008E3F15" w:rsidRDefault="005F449A">
      <w:pPr>
        <w:spacing w:after="31"/>
        <w:ind w:left="340" w:right="15"/>
      </w:pPr>
      <w:r>
        <w:t>Обезболить: морфин.</w:t>
      </w:r>
    </w:p>
    <w:p w:rsidR="008E3F15" w:rsidRDefault="005F449A">
      <w:pPr>
        <w:spacing w:after="31"/>
        <w:ind w:left="340" w:right="15"/>
      </w:pPr>
      <w:r>
        <w:t>Ацетилсалициловая кислота (АСК) 150–300 мг.</w:t>
      </w:r>
    </w:p>
    <w:p w:rsidR="008E3F15" w:rsidRDefault="005F449A">
      <w:pPr>
        <w:spacing w:after="31"/>
        <w:ind w:left="340" w:right="15"/>
      </w:pPr>
      <w:r>
        <w:t>Тромболизис при ИМп</w:t>
      </w:r>
      <w:r>
        <w:rPr>
          <w:i/>
        </w:rPr>
        <w:t>ST</w:t>
      </w:r>
      <w:r>
        <w:t xml:space="preserve"> по показаниям.</w:t>
      </w:r>
    </w:p>
    <w:p w:rsidR="008E3F15" w:rsidRDefault="005F449A">
      <w:pPr>
        <w:ind w:left="340" w:right="3287"/>
      </w:pPr>
      <w:r>
        <w:t>Инфузия нитроглицерина (боли, СН, гипертензия). Кислород (СН, S</w:t>
      </w:r>
      <w:r>
        <w:t>pO</w:t>
      </w:r>
      <w:r>
        <w:rPr>
          <w:sz w:val="31"/>
          <w:vertAlign w:val="subscript"/>
        </w:rPr>
        <w:t>2</w:t>
      </w:r>
      <w:r>
        <w:t xml:space="preserve"> &lt;90%).</w:t>
      </w:r>
    </w:p>
    <w:p w:rsidR="008E3F15" w:rsidRDefault="005F449A">
      <w:pPr>
        <w:ind w:left="340" w:right="15"/>
      </w:pPr>
      <w:r>
        <w:t>Быстрейшая доставка в отделение интенсивной терапии и реанимации или для реваскуляризации.</w:t>
      </w:r>
    </w:p>
    <w:p w:rsidR="008E3F15" w:rsidRDefault="005F449A">
      <w:pPr>
        <w:ind w:left="2" w:right="185"/>
      </w:pPr>
      <w:r>
        <w:t>Быстрое формирование зоны некроза (в течение 20 мин–6 ч), риск остановки сердца в первые часы и тесная связь смертности со временем госпитализации требуют</w:t>
      </w:r>
      <w:r>
        <w:t xml:space="preserve"> быстрейшей доставки пациента в специализированное учреждение. Среди пациентов с внегоспитальной остановкой сердца и отсутствием очевидной несердечной причины смерти значительный коронарный стеноз выявляли у 60–70% пациентов, в большинстве случаев с ангиог</w:t>
      </w:r>
      <w:r>
        <w:t>рафическими признаками ОКС (Larsen J. et al., 2012).</w:t>
      </w:r>
    </w:p>
    <w:p w:rsidR="008E3F15" w:rsidRDefault="005F449A">
      <w:pPr>
        <w:ind w:left="2" w:right="203"/>
      </w:pPr>
      <w:r>
        <w:t>Серьезной проблемой является недостаточная информированность населения о необходимости скорейшего вызова бригады скорой медицинской помощи при появлении признаков ОКС.</w:t>
      </w:r>
    </w:p>
    <w:p w:rsidR="008E3F15" w:rsidRDefault="005F449A">
      <w:pPr>
        <w:ind w:left="2" w:right="94"/>
      </w:pPr>
      <w:r>
        <w:t xml:space="preserve">Диспетчеры, принимающие телефонные </w:t>
      </w:r>
      <w:r>
        <w:t>вызовы, должны проинструктировать пациента по доврачебным мероприятиям в случаях боли в грудной клетке и определить бригаду скорой помощи, способную оказать наиболее быструю и эффективную помощь, включая догоспитальный тромболизис, если невозможно своеврем</w:t>
      </w:r>
      <w:r>
        <w:t>енно провести реваскуляризацию. Важно сократить время госпитализации до оптимальных 30 мин с момента первого контакта с медицинским работником (</w:t>
      </w:r>
      <w:r>
        <w:rPr>
          <w:b/>
        </w:rPr>
        <w:t>рис. 1.3</w:t>
      </w:r>
      <w:r>
        <w:t>). Существенный резерв имеется в уменьшении времени обследования.</w:t>
      </w:r>
    </w:p>
    <w:p w:rsidR="008E3F15" w:rsidRDefault="005F449A">
      <w:pPr>
        <w:spacing w:after="65" w:line="259" w:lineRule="auto"/>
        <w:ind w:left="0" w:right="0" w:firstLine="0"/>
      </w:pPr>
      <w:r>
        <w:rPr>
          <w:noProof/>
        </w:rPr>
        <w:drawing>
          <wp:inline distT="0" distB="0" distL="0" distR="0">
            <wp:extent cx="5057775" cy="3771900"/>
            <wp:effectExtent l="0" t="0" r="0" b="0"/>
            <wp:docPr id="766" name="Picture 766"/>
            <wp:cNvGraphicFramePr/>
            <a:graphic xmlns:a="http://schemas.openxmlformats.org/drawingml/2006/main">
              <a:graphicData uri="http://schemas.openxmlformats.org/drawingml/2006/picture">
                <pic:pic xmlns:pic="http://schemas.openxmlformats.org/drawingml/2006/picture">
                  <pic:nvPicPr>
                    <pic:cNvPr id="766" name="Picture 766"/>
                    <pic:cNvPicPr/>
                  </pic:nvPicPr>
                  <pic:blipFill>
                    <a:blip r:embed="rId9"/>
                    <a:stretch>
                      <a:fillRect/>
                    </a:stretch>
                  </pic:blipFill>
                  <pic:spPr>
                    <a:xfrm>
                      <a:off x="0" y="0"/>
                      <a:ext cx="5057775" cy="3771900"/>
                    </a:xfrm>
                    <a:prstGeom prst="rect">
                      <a:avLst/>
                    </a:prstGeom>
                  </pic:spPr>
                </pic:pic>
              </a:graphicData>
            </a:graphic>
          </wp:inline>
        </w:drawing>
      </w:r>
    </w:p>
    <w:p w:rsidR="008E3F15" w:rsidRDefault="005F449A">
      <w:pPr>
        <w:ind w:left="2" w:right="15"/>
      </w:pPr>
      <w:r>
        <w:rPr>
          <w:b/>
        </w:rPr>
        <w:t xml:space="preserve">Рис. 1.3. </w:t>
      </w:r>
      <w:r>
        <w:t xml:space="preserve">Схема оказания помощи пациентам с острым коронарным синдромом с подъемом </w:t>
      </w:r>
      <w:r>
        <w:rPr>
          <w:i/>
        </w:rPr>
        <w:t>ST</w:t>
      </w:r>
      <w:r>
        <w:t xml:space="preserve"> (ESC)</w:t>
      </w:r>
    </w:p>
    <w:p w:rsidR="008E3F15" w:rsidRDefault="005F449A">
      <w:pPr>
        <w:ind w:left="2" w:right="200"/>
      </w:pPr>
      <w:r>
        <w:t>В талоне скорой помощи целесообразно отражать время начала последнего болевого приступа, послужившего основанием для вызова, если приступов было несколько. Необходимо осущест</w:t>
      </w:r>
      <w:r>
        <w:t>вить быстрейшую доставку пациента в специализированный блок реанимации и интенсивной терапии. Если госпитализировать пациента в приемлемые сроки бригадой скорой помощи невозможно, следует самостоятельно доставить пациента в стационар (таким путем поступает</w:t>
      </w:r>
      <w:r>
        <w:t xml:space="preserve"> почти половина пациентов в Европе и США). Вместе с тем бригада скорой помощи также выполняет важную функцию сортировки пациентов, подлежащих госпитализации, и способна оказать помощь при развитии жизнеопасных состояний во время транспортировки пациента.</w:t>
      </w:r>
    </w:p>
    <w:p w:rsidR="008E3F15" w:rsidRDefault="005F449A">
      <w:pPr>
        <w:ind w:left="2" w:right="15"/>
      </w:pPr>
      <w:r>
        <w:t>О</w:t>
      </w:r>
      <w:r>
        <w:t>КС является жизнеопасным состоянием и не требует наличия полиса и паспорта для госпитализации. Нередко поиск документов родственниками существенно замедляет транспортировку пациента.</w:t>
      </w:r>
    </w:p>
    <w:p w:rsidR="008E3F15" w:rsidRDefault="005F449A">
      <w:pPr>
        <w:ind w:left="2" w:right="15"/>
      </w:pPr>
      <w:r>
        <w:t>Важно добиваться незамедлительного приема больных с ОКС в приемных отделе</w:t>
      </w:r>
      <w:r>
        <w:t>ниях с предварительным оповещением о госпитализации бригадами скорой медицинской помощи по рации или телефону.</w:t>
      </w:r>
    </w:p>
    <w:p w:rsidR="008E3F15" w:rsidRDefault="005F449A">
      <w:pPr>
        <w:spacing w:after="31"/>
        <w:ind w:left="2" w:right="15"/>
      </w:pPr>
      <w:r>
        <w:rPr>
          <w:b/>
        </w:rPr>
        <w:t>Диагностика.</w:t>
      </w:r>
      <w:r>
        <w:t xml:space="preserve"> При наличии дискомфорта в груди более 20 мин без эффекта</w:t>
      </w:r>
    </w:p>
    <w:p w:rsidR="008E3F15" w:rsidRDefault="005F449A">
      <w:pPr>
        <w:ind w:left="2" w:right="131"/>
      </w:pPr>
      <w:r>
        <w:t>от нитроглицерина и отсутствии типичных признаков ИМ на ЭКГ рекомендуют уст</w:t>
      </w:r>
      <w:r>
        <w:t>анавливать диагноз «острый коронарный синдром». Следует отметить, что эффект от нитроглицерина не исключает ИМ (Henrikson C. et al., 2003).</w:t>
      </w:r>
    </w:p>
    <w:p w:rsidR="008E3F15" w:rsidRDefault="005F449A">
      <w:pPr>
        <w:ind w:left="2" w:right="338"/>
      </w:pPr>
      <w:r>
        <w:t xml:space="preserve">Использование термина ОКС правомерно при первом контакте с больным, пока диагноз не уточнен. При описании состояния </w:t>
      </w:r>
      <w:r>
        <w:t>важно указать точное время начала дискомфорта для выбора оптимальной тактики ведения.</w:t>
      </w:r>
    </w:p>
    <w:p w:rsidR="008E3F15" w:rsidRDefault="005F449A">
      <w:pPr>
        <w:spacing w:after="31"/>
        <w:ind w:left="2" w:right="15"/>
      </w:pPr>
      <w:r>
        <w:t>В трети случаев регистрируется атипичная или даже бессимптомная клиническая картина</w:t>
      </w:r>
    </w:p>
    <w:p w:rsidR="008E3F15" w:rsidRDefault="005F449A">
      <w:pPr>
        <w:spacing w:after="179"/>
        <w:ind w:left="2" w:right="15"/>
      </w:pPr>
      <w:r>
        <w:t>ИМ. Особенно часто нетипичные проявления встречаются у пожилых, при сахарном диабете (</w:t>
      </w:r>
      <w:r>
        <w:t>СД) или других тяжелых заболеваниях. Атипичная клиническая картина может проявляться по-разному:</w:t>
      </w:r>
    </w:p>
    <w:p w:rsidR="008E3F15" w:rsidRDefault="005F449A">
      <w:pPr>
        <w:ind w:left="340" w:right="2920"/>
      </w:pP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simplePos x="0" y="0"/>
                <wp:positionH relativeFrom="column">
                  <wp:posOffset>209550</wp:posOffset>
                </wp:positionH>
                <wp:positionV relativeFrom="paragraph">
                  <wp:posOffset>34764</wp:posOffset>
                </wp:positionV>
                <wp:extent cx="57150" cy="819150"/>
                <wp:effectExtent l="0" t="0" r="0" b="0"/>
                <wp:wrapSquare wrapText="bothSides"/>
                <wp:docPr id="255354" name="Group 255354"/>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808" name="Shape 808"/>
                        <wps:cNvSpPr/>
                        <wps:spPr>
                          <a:xfrm>
                            <a:off x="0" y="0"/>
                            <a:ext cx="57150" cy="57150"/>
                          </a:xfrm>
                          <a:custGeom>
                            <a:avLst/>
                            <a:gdLst/>
                            <a:ahLst/>
                            <a:cxnLst/>
                            <a:rect l="0" t="0" r="0" b="0"/>
                            <a:pathLst>
                              <a:path w="57150" h="57150">
                                <a:moveTo>
                                  <a:pt x="28575" y="0"/>
                                </a:moveTo>
                                <a:cubicBezTo>
                                  <a:pt x="32364" y="0"/>
                                  <a:pt x="36009" y="726"/>
                                  <a:pt x="39510" y="2164"/>
                                </a:cubicBezTo>
                                <a:cubicBezTo>
                                  <a:pt x="43011" y="3615"/>
                                  <a:pt x="46101" y="5680"/>
                                  <a:pt x="48781" y="8359"/>
                                </a:cubicBezTo>
                                <a:cubicBezTo>
                                  <a:pt x="51460" y="11032"/>
                                  <a:pt x="53525" y="14120"/>
                                  <a:pt x="54975" y="17624"/>
                                </a:cubicBezTo>
                                <a:cubicBezTo>
                                  <a:pt x="56425" y="21134"/>
                                  <a:pt x="57150" y="24780"/>
                                  <a:pt x="57150" y="28575"/>
                                </a:cubicBezTo>
                                <a:cubicBezTo>
                                  <a:pt x="57150" y="32358"/>
                                  <a:pt x="56425" y="35998"/>
                                  <a:pt x="54975" y="39501"/>
                                </a:cubicBezTo>
                                <a:cubicBezTo>
                                  <a:pt x="53525" y="42999"/>
                                  <a:pt x="51460" y="46087"/>
                                  <a:pt x="48781" y="48778"/>
                                </a:cubicBezTo>
                                <a:cubicBezTo>
                                  <a:pt x="46101" y="51445"/>
                                  <a:pt x="43011" y="53510"/>
                                  <a:pt x="39510" y="54961"/>
                                </a:cubicBezTo>
                                <a:cubicBezTo>
                                  <a:pt x="36009" y="56412"/>
                                  <a:pt x="32364" y="57138"/>
                                  <a:pt x="28575" y="57150"/>
                                </a:cubicBezTo>
                                <a:cubicBezTo>
                                  <a:pt x="24786" y="57138"/>
                                  <a:pt x="21141" y="56412"/>
                                  <a:pt x="17640" y="54961"/>
                                </a:cubicBezTo>
                                <a:cubicBezTo>
                                  <a:pt x="14139" y="53510"/>
                                  <a:pt x="11049" y="51445"/>
                                  <a:pt x="8369" y="48778"/>
                                </a:cubicBezTo>
                                <a:cubicBezTo>
                                  <a:pt x="5690" y="46087"/>
                                  <a:pt x="3625" y="42999"/>
                                  <a:pt x="2175" y="39501"/>
                                </a:cubicBezTo>
                                <a:cubicBezTo>
                                  <a:pt x="725" y="35998"/>
                                  <a:pt x="0" y="32358"/>
                                  <a:pt x="0" y="28575"/>
                                </a:cubicBezTo>
                                <a:cubicBezTo>
                                  <a:pt x="0" y="24780"/>
                                  <a:pt x="725" y="21134"/>
                                  <a:pt x="2175" y="17624"/>
                                </a:cubicBezTo>
                                <a:cubicBezTo>
                                  <a:pt x="3625" y="14120"/>
                                  <a:pt x="5690" y="11032"/>
                                  <a:pt x="8369" y="8359"/>
                                </a:cubicBezTo>
                                <a:cubicBezTo>
                                  <a:pt x="11049" y="5680"/>
                                  <a:pt x="14139" y="3615"/>
                                  <a:pt x="17640" y="2164"/>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0" name="Shape 810"/>
                        <wps:cNvSpPr/>
                        <wps:spPr>
                          <a:xfrm>
                            <a:off x="0" y="152400"/>
                            <a:ext cx="57150" cy="57150"/>
                          </a:xfrm>
                          <a:custGeom>
                            <a:avLst/>
                            <a:gdLst/>
                            <a:ahLst/>
                            <a:cxnLst/>
                            <a:rect l="0" t="0" r="0" b="0"/>
                            <a:pathLst>
                              <a:path w="57150" h="57150">
                                <a:moveTo>
                                  <a:pt x="28575" y="0"/>
                                </a:moveTo>
                                <a:cubicBezTo>
                                  <a:pt x="32364" y="0"/>
                                  <a:pt x="36009" y="726"/>
                                  <a:pt x="39510" y="2164"/>
                                </a:cubicBezTo>
                                <a:cubicBezTo>
                                  <a:pt x="43011" y="3615"/>
                                  <a:pt x="46101" y="5680"/>
                                  <a:pt x="48781" y="8359"/>
                                </a:cubicBezTo>
                                <a:cubicBezTo>
                                  <a:pt x="51460" y="11038"/>
                                  <a:pt x="53525" y="14126"/>
                                  <a:pt x="54975" y="17624"/>
                                </a:cubicBezTo>
                                <a:cubicBezTo>
                                  <a:pt x="56425" y="21134"/>
                                  <a:pt x="57150" y="24780"/>
                                  <a:pt x="57150" y="28575"/>
                                </a:cubicBezTo>
                                <a:cubicBezTo>
                                  <a:pt x="57150" y="32358"/>
                                  <a:pt x="56425" y="35998"/>
                                  <a:pt x="54975" y="39501"/>
                                </a:cubicBezTo>
                                <a:cubicBezTo>
                                  <a:pt x="53525" y="42993"/>
                                  <a:pt x="51460" y="46081"/>
                                  <a:pt x="48781" y="48766"/>
                                </a:cubicBezTo>
                                <a:cubicBezTo>
                                  <a:pt x="46101" y="51445"/>
                                  <a:pt x="43011" y="53510"/>
                                  <a:pt x="39510" y="54961"/>
                                </a:cubicBezTo>
                                <a:cubicBezTo>
                                  <a:pt x="36009" y="56412"/>
                                  <a:pt x="32364" y="57138"/>
                                  <a:pt x="28575" y="57150"/>
                                </a:cubicBezTo>
                                <a:cubicBezTo>
                                  <a:pt x="24786" y="57138"/>
                                  <a:pt x="21141" y="56412"/>
                                  <a:pt x="17640" y="54961"/>
                                </a:cubicBezTo>
                                <a:cubicBezTo>
                                  <a:pt x="14139" y="53510"/>
                                  <a:pt x="11049" y="51445"/>
                                  <a:pt x="8369" y="48766"/>
                                </a:cubicBezTo>
                                <a:cubicBezTo>
                                  <a:pt x="5690" y="46081"/>
                                  <a:pt x="3625" y="42993"/>
                                  <a:pt x="2175" y="39495"/>
                                </a:cubicBezTo>
                                <a:cubicBezTo>
                                  <a:pt x="725" y="35998"/>
                                  <a:pt x="0" y="32358"/>
                                  <a:pt x="0" y="28575"/>
                                </a:cubicBezTo>
                                <a:cubicBezTo>
                                  <a:pt x="0" y="24780"/>
                                  <a:pt x="725" y="21134"/>
                                  <a:pt x="2175" y="17624"/>
                                </a:cubicBezTo>
                                <a:cubicBezTo>
                                  <a:pt x="3625" y="14126"/>
                                  <a:pt x="5690" y="11038"/>
                                  <a:pt x="8369" y="8359"/>
                                </a:cubicBezTo>
                                <a:cubicBezTo>
                                  <a:pt x="11049" y="5680"/>
                                  <a:pt x="14139" y="3615"/>
                                  <a:pt x="17640" y="2164"/>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2" name="Shape 812"/>
                        <wps:cNvSpPr/>
                        <wps:spPr>
                          <a:xfrm>
                            <a:off x="0" y="304800"/>
                            <a:ext cx="57150" cy="57150"/>
                          </a:xfrm>
                          <a:custGeom>
                            <a:avLst/>
                            <a:gdLst/>
                            <a:ahLst/>
                            <a:cxnLst/>
                            <a:rect l="0" t="0" r="0" b="0"/>
                            <a:pathLst>
                              <a:path w="57150" h="57150">
                                <a:moveTo>
                                  <a:pt x="28575" y="0"/>
                                </a:moveTo>
                                <a:cubicBezTo>
                                  <a:pt x="32364" y="0"/>
                                  <a:pt x="36009" y="726"/>
                                  <a:pt x="39510" y="2164"/>
                                </a:cubicBezTo>
                                <a:cubicBezTo>
                                  <a:pt x="43011" y="3615"/>
                                  <a:pt x="46101" y="5680"/>
                                  <a:pt x="48781" y="8359"/>
                                </a:cubicBezTo>
                                <a:cubicBezTo>
                                  <a:pt x="51460" y="11038"/>
                                  <a:pt x="53525" y="14126"/>
                                  <a:pt x="54975" y="17636"/>
                                </a:cubicBezTo>
                                <a:cubicBezTo>
                                  <a:pt x="56425" y="21134"/>
                                  <a:pt x="57150" y="24780"/>
                                  <a:pt x="57150" y="28575"/>
                                </a:cubicBezTo>
                                <a:cubicBezTo>
                                  <a:pt x="57150" y="32358"/>
                                  <a:pt x="56425" y="35998"/>
                                  <a:pt x="54975" y="39501"/>
                                </a:cubicBezTo>
                                <a:cubicBezTo>
                                  <a:pt x="53525" y="42999"/>
                                  <a:pt x="51460" y="46087"/>
                                  <a:pt x="48781" y="48778"/>
                                </a:cubicBezTo>
                                <a:cubicBezTo>
                                  <a:pt x="46101" y="51445"/>
                                  <a:pt x="43011" y="53510"/>
                                  <a:pt x="39510" y="54961"/>
                                </a:cubicBezTo>
                                <a:cubicBezTo>
                                  <a:pt x="36009" y="56412"/>
                                  <a:pt x="32364" y="57138"/>
                                  <a:pt x="28575" y="57150"/>
                                </a:cubicBezTo>
                                <a:cubicBezTo>
                                  <a:pt x="24786" y="57138"/>
                                  <a:pt x="21141" y="56412"/>
                                  <a:pt x="17640" y="54961"/>
                                </a:cubicBezTo>
                                <a:cubicBezTo>
                                  <a:pt x="14139" y="53510"/>
                                  <a:pt x="11049" y="51445"/>
                                  <a:pt x="8369" y="48778"/>
                                </a:cubicBezTo>
                                <a:cubicBezTo>
                                  <a:pt x="5690" y="46087"/>
                                  <a:pt x="3625" y="42999"/>
                                  <a:pt x="2175" y="39501"/>
                                </a:cubicBezTo>
                                <a:cubicBezTo>
                                  <a:pt x="725" y="35998"/>
                                  <a:pt x="0" y="32358"/>
                                  <a:pt x="0" y="28575"/>
                                </a:cubicBezTo>
                                <a:cubicBezTo>
                                  <a:pt x="0" y="24780"/>
                                  <a:pt x="725" y="21134"/>
                                  <a:pt x="2175" y="17636"/>
                                </a:cubicBezTo>
                                <a:cubicBezTo>
                                  <a:pt x="3625" y="14126"/>
                                  <a:pt x="5690" y="11038"/>
                                  <a:pt x="8369" y="8359"/>
                                </a:cubicBezTo>
                                <a:cubicBezTo>
                                  <a:pt x="11049" y="5680"/>
                                  <a:pt x="14139" y="3615"/>
                                  <a:pt x="17640" y="2164"/>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4" name="Shape 814"/>
                        <wps:cNvSpPr/>
                        <wps:spPr>
                          <a:xfrm>
                            <a:off x="0" y="457200"/>
                            <a:ext cx="57150" cy="57150"/>
                          </a:xfrm>
                          <a:custGeom>
                            <a:avLst/>
                            <a:gdLst/>
                            <a:ahLst/>
                            <a:cxnLst/>
                            <a:rect l="0" t="0" r="0" b="0"/>
                            <a:pathLst>
                              <a:path w="57150" h="57150">
                                <a:moveTo>
                                  <a:pt x="28575" y="0"/>
                                </a:moveTo>
                                <a:cubicBezTo>
                                  <a:pt x="32364" y="0"/>
                                  <a:pt x="36009" y="726"/>
                                  <a:pt x="39510" y="2164"/>
                                </a:cubicBezTo>
                                <a:cubicBezTo>
                                  <a:pt x="43011" y="3615"/>
                                  <a:pt x="46101" y="5680"/>
                                  <a:pt x="48781" y="8359"/>
                                </a:cubicBezTo>
                                <a:cubicBezTo>
                                  <a:pt x="51460" y="11038"/>
                                  <a:pt x="53525" y="14126"/>
                                  <a:pt x="54975" y="17624"/>
                                </a:cubicBezTo>
                                <a:cubicBezTo>
                                  <a:pt x="56425" y="21134"/>
                                  <a:pt x="57150" y="24780"/>
                                  <a:pt x="57150" y="28575"/>
                                </a:cubicBezTo>
                                <a:cubicBezTo>
                                  <a:pt x="57150" y="32358"/>
                                  <a:pt x="56425" y="35998"/>
                                  <a:pt x="54975" y="39501"/>
                                </a:cubicBezTo>
                                <a:cubicBezTo>
                                  <a:pt x="53525" y="42999"/>
                                  <a:pt x="51460" y="46087"/>
                                  <a:pt x="48781" y="48778"/>
                                </a:cubicBezTo>
                                <a:cubicBezTo>
                                  <a:pt x="46101" y="51445"/>
                                  <a:pt x="43011" y="53510"/>
                                  <a:pt x="39510" y="54961"/>
                                </a:cubicBezTo>
                                <a:cubicBezTo>
                                  <a:pt x="36009" y="56412"/>
                                  <a:pt x="32364" y="57138"/>
                                  <a:pt x="28575" y="57150"/>
                                </a:cubicBezTo>
                                <a:cubicBezTo>
                                  <a:pt x="24786" y="57138"/>
                                  <a:pt x="21141" y="56412"/>
                                  <a:pt x="17640" y="54961"/>
                                </a:cubicBezTo>
                                <a:cubicBezTo>
                                  <a:pt x="14139" y="53510"/>
                                  <a:pt x="11049" y="51445"/>
                                  <a:pt x="8369" y="48778"/>
                                </a:cubicBezTo>
                                <a:cubicBezTo>
                                  <a:pt x="5690" y="46087"/>
                                  <a:pt x="3625" y="42999"/>
                                  <a:pt x="2175" y="39501"/>
                                </a:cubicBezTo>
                                <a:cubicBezTo>
                                  <a:pt x="725" y="35998"/>
                                  <a:pt x="0" y="32358"/>
                                  <a:pt x="0" y="28575"/>
                                </a:cubicBezTo>
                                <a:cubicBezTo>
                                  <a:pt x="0" y="24780"/>
                                  <a:pt x="725" y="21134"/>
                                  <a:pt x="2175" y="17624"/>
                                </a:cubicBezTo>
                                <a:cubicBezTo>
                                  <a:pt x="3625" y="14126"/>
                                  <a:pt x="5690" y="11038"/>
                                  <a:pt x="8369" y="8359"/>
                                </a:cubicBezTo>
                                <a:cubicBezTo>
                                  <a:pt x="11049" y="5680"/>
                                  <a:pt x="14139" y="3615"/>
                                  <a:pt x="17640" y="2164"/>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6" name="Shape 816"/>
                        <wps:cNvSpPr/>
                        <wps:spPr>
                          <a:xfrm>
                            <a:off x="0" y="609600"/>
                            <a:ext cx="57150" cy="57150"/>
                          </a:xfrm>
                          <a:custGeom>
                            <a:avLst/>
                            <a:gdLst/>
                            <a:ahLst/>
                            <a:cxnLst/>
                            <a:rect l="0" t="0" r="0" b="0"/>
                            <a:pathLst>
                              <a:path w="57150" h="57150">
                                <a:moveTo>
                                  <a:pt x="28575" y="0"/>
                                </a:moveTo>
                                <a:cubicBezTo>
                                  <a:pt x="32364" y="0"/>
                                  <a:pt x="36009" y="726"/>
                                  <a:pt x="39510" y="2177"/>
                                </a:cubicBezTo>
                                <a:cubicBezTo>
                                  <a:pt x="43011" y="3615"/>
                                  <a:pt x="46101" y="5674"/>
                                  <a:pt x="48781" y="8359"/>
                                </a:cubicBezTo>
                                <a:cubicBezTo>
                                  <a:pt x="51460" y="11032"/>
                                  <a:pt x="53525" y="14120"/>
                                  <a:pt x="54975" y="17624"/>
                                </a:cubicBezTo>
                                <a:cubicBezTo>
                                  <a:pt x="56425" y="21134"/>
                                  <a:pt x="57150" y="24780"/>
                                  <a:pt x="57150" y="28575"/>
                                </a:cubicBezTo>
                                <a:cubicBezTo>
                                  <a:pt x="57150" y="32358"/>
                                  <a:pt x="56425" y="36004"/>
                                  <a:pt x="54975" y="39495"/>
                                </a:cubicBezTo>
                                <a:cubicBezTo>
                                  <a:pt x="53525" y="42999"/>
                                  <a:pt x="51460" y="46087"/>
                                  <a:pt x="48781" y="48766"/>
                                </a:cubicBezTo>
                                <a:cubicBezTo>
                                  <a:pt x="46101" y="51445"/>
                                  <a:pt x="43011" y="53510"/>
                                  <a:pt x="39510" y="54961"/>
                                </a:cubicBezTo>
                                <a:cubicBezTo>
                                  <a:pt x="36009" y="56406"/>
                                  <a:pt x="32364" y="57138"/>
                                  <a:pt x="28575" y="57150"/>
                                </a:cubicBezTo>
                                <a:cubicBezTo>
                                  <a:pt x="24786" y="57138"/>
                                  <a:pt x="21141" y="56406"/>
                                  <a:pt x="17640" y="54961"/>
                                </a:cubicBezTo>
                                <a:cubicBezTo>
                                  <a:pt x="14139" y="53510"/>
                                  <a:pt x="11049" y="51445"/>
                                  <a:pt x="8369" y="48766"/>
                                </a:cubicBezTo>
                                <a:cubicBezTo>
                                  <a:pt x="5690" y="46087"/>
                                  <a:pt x="3625" y="42999"/>
                                  <a:pt x="2175" y="39495"/>
                                </a:cubicBezTo>
                                <a:cubicBezTo>
                                  <a:pt x="725" y="36004"/>
                                  <a:pt x="0" y="32358"/>
                                  <a:pt x="0" y="28575"/>
                                </a:cubicBezTo>
                                <a:cubicBezTo>
                                  <a:pt x="0" y="24780"/>
                                  <a:pt x="725" y="21134"/>
                                  <a:pt x="2175" y="17636"/>
                                </a:cubicBezTo>
                                <a:cubicBezTo>
                                  <a:pt x="3625" y="14126"/>
                                  <a:pt x="5690" y="11032"/>
                                  <a:pt x="8369" y="8359"/>
                                </a:cubicBezTo>
                                <a:cubicBezTo>
                                  <a:pt x="11049" y="5674"/>
                                  <a:pt x="14139" y="3615"/>
                                  <a:pt x="17640" y="2177"/>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8" name="Shape 818"/>
                        <wps:cNvSpPr/>
                        <wps:spPr>
                          <a:xfrm>
                            <a:off x="0" y="762000"/>
                            <a:ext cx="57150" cy="57150"/>
                          </a:xfrm>
                          <a:custGeom>
                            <a:avLst/>
                            <a:gdLst/>
                            <a:ahLst/>
                            <a:cxnLst/>
                            <a:rect l="0" t="0" r="0" b="0"/>
                            <a:pathLst>
                              <a:path w="57150" h="57150">
                                <a:moveTo>
                                  <a:pt x="28575" y="0"/>
                                </a:moveTo>
                                <a:cubicBezTo>
                                  <a:pt x="32364" y="0"/>
                                  <a:pt x="36009" y="726"/>
                                  <a:pt x="39510" y="2164"/>
                                </a:cubicBezTo>
                                <a:cubicBezTo>
                                  <a:pt x="43011" y="3615"/>
                                  <a:pt x="46101" y="5680"/>
                                  <a:pt x="48781" y="8359"/>
                                </a:cubicBezTo>
                                <a:cubicBezTo>
                                  <a:pt x="51460" y="11038"/>
                                  <a:pt x="53525" y="14126"/>
                                  <a:pt x="54975" y="17624"/>
                                </a:cubicBezTo>
                                <a:cubicBezTo>
                                  <a:pt x="56425" y="21134"/>
                                  <a:pt x="57150" y="24780"/>
                                  <a:pt x="57150" y="28575"/>
                                </a:cubicBezTo>
                                <a:cubicBezTo>
                                  <a:pt x="57150" y="32358"/>
                                  <a:pt x="56425" y="35998"/>
                                  <a:pt x="54975" y="39501"/>
                                </a:cubicBezTo>
                                <a:cubicBezTo>
                                  <a:pt x="53525" y="42999"/>
                                  <a:pt x="51460" y="46087"/>
                                  <a:pt x="48781" y="48778"/>
                                </a:cubicBezTo>
                                <a:cubicBezTo>
                                  <a:pt x="46101" y="51445"/>
                                  <a:pt x="43011" y="53510"/>
                                  <a:pt x="39510" y="54961"/>
                                </a:cubicBezTo>
                                <a:cubicBezTo>
                                  <a:pt x="36009" y="56412"/>
                                  <a:pt x="32364" y="57138"/>
                                  <a:pt x="28575" y="57150"/>
                                </a:cubicBezTo>
                                <a:cubicBezTo>
                                  <a:pt x="24786" y="57138"/>
                                  <a:pt x="21141" y="56412"/>
                                  <a:pt x="17640" y="54961"/>
                                </a:cubicBezTo>
                                <a:cubicBezTo>
                                  <a:pt x="14139" y="53510"/>
                                  <a:pt x="11049" y="51445"/>
                                  <a:pt x="8369" y="48778"/>
                                </a:cubicBezTo>
                                <a:cubicBezTo>
                                  <a:pt x="5690" y="46087"/>
                                  <a:pt x="3625" y="42999"/>
                                  <a:pt x="2175" y="39501"/>
                                </a:cubicBezTo>
                                <a:cubicBezTo>
                                  <a:pt x="725" y="35998"/>
                                  <a:pt x="0" y="32358"/>
                                  <a:pt x="0" y="28575"/>
                                </a:cubicBezTo>
                                <a:cubicBezTo>
                                  <a:pt x="0" y="24780"/>
                                  <a:pt x="725" y="21134"/>
                                  <a:pt x="2175" y="17624"/>
                                </a:cubicBezTo>
                                <a:cubicBezTo>
                                  <a:pt x="3625" y="14126"/>
                                  <a:pt x="5690" y="11038"/>
                                  <a:pt x="8369" y="8359"/>
                                </a:cubicBezTo>
                                <a:cubicBezTo>
                                  <a:pt x="11049" y="5680"/>
                                  <a:pt x="14139" y="3615"/>
                                  <a:pt x="17640" y="2164"/>
                                </a:cubicBezTo>
                                <a:cubicBezTo>
                                  <a:pt x="21141" y="726"/>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5354" style="width:4.5pt;height:64.5pt;position:absolute;mso-position-horizontal-relative:text;mso-position-horizontal:absolute;margin-left:16.5pt;mso-position-vertical-relative:text;margin-top:2.7373pt;" coordsize="571,8191">
                <v:shape id="Shape 808" style="position:absolute;width:571;height:571;left:0;top:0;" coordsize="57150,57150" path="m28575,0c32364,0,36009,726,39510,2164c43011,3615,46101,5680,48781,8359c51460,11032,53525,14120,54975,17624c56425,21134,57150,24780,57150,28575c57150,32358,56425,35998,54975,39501c53525,42999,51460,46087,48781,48778c46101,51445,43011,53510,39510,54961c36009,56412,32364,57138,28575,57150c24786,57138,21141,56412,17640,54961c14139,53510,11049,51445,8369,48778c5690,46087,3625,42999,2175,39501c725,35998,0,32358,0,28575c0,24780,725,21134,2175,17624c3625,14120,5690,11032,8369,8359c11049,5680,14139,3615,17640,2164c21141,726,24786,0,28575,0x">
                  <v:stroke weight="0pt" endcap="flat" joinstyle="miter" miterlimit="10" on="false" color="#000000" opacity="0"/>
                  <v:fill on="true" color="#333333"/>
                </v:shape>
                <v:shape id="Shape 810" style="position:absolute;width:571;height:571;left:0;top:1524;" coordsize="57150,57150" path="m28575,0c32364,0,36009,726,39510,2164c43011,3615,46101,5680,48781,8359c51460,11038,53525,14126,54975,17624c56425,21134,57150,24780,57150,28575c57150,32358,56425,35998,54975,39501c53525,42993,51460,46081,48781,48766c46101,51445,43011,53510,39510,54961c36009,56412,32364,57138,28575,57150c24786,57138,21141,56412,17640,54961c14139,53510,11049,51445,8369,48766c5690,46081,3625,42993,2175,39495c725,35998,0,32358,0,28575c0,24780,725,21134,2175,17624c3625,14126,5690,11038,8369,8359c11049,5680,14139,3615,17640,2164c21141,726,24786,0,28575,0x">
                  <v:stroke weight="0pt" endcap="flat" joinstyle="miter" miterlimit="10" on="false" color="#000000" opacity="0"/>
                  <v:fill on="true" color="#333333"/>
                </v:shape>
                <v:shape id="Shape 812" style="position:absolute;width:571;height:571;left:0;top:3048;" coordsize="57150,57150" path="m28575,0c32364,0,36009,726,39510,2164c43011,3615,46101,5680,48781,8359c51460,11038,53525,14126,54975,17636c56425,21134,57150,24780,57150,28575c57150,32358,56425,35998,54975,39501c53525,42999,51460,46087,48781,48778c46101,51445,43011,53510,39510,54961c36009,56412,32364,57138,28575,57150c24786,57138,21141,56412,17640,54961c14139,53510,11049,51445,8369,48778c5690,46087,3625,42999,2175,39501c725,35998,0,32358,0,28575c0,24780,725,21134,2175,17636c3625,14126,5690,11038,8369,8359c11049,5680,14139,3615,17640,2164c21141,726,24786,0,28575,0x">
                  <v:stroke weight="0pt" endcap="flat" joinstyle="miter" miterlimit="10" on="false" color="#000000" opacity="0"/>
                  <v:fill on="true" color="#333333"/>
                </v:shape>
                <v:shape id="Shape 814" style="position:absolute;width:571;height:571;left:0;top:4572;" coordsize="57150,57150" path="m28575,0c32364,0,36009,726,39510,2164c43011,3615,46101,5680,48781,8359c51460,11038,53525,14126,54975,17624c56425,21134,57150,24780,57150,28575c57150,32358,56425,35998,54975,39501c53525,42999,51460,46087,48781,48778c46101,51445,43011,53510,39510,54961c36009,56412,32364,57138,28575,57150c24786,57138,21141,56412,17640,54961c14139,53510,11049,51445,8369,48778c5690,46087,3625,42999,2175,39501c725,35998,0,32358,0,28575c0,24780,725,21134,2175,17624c3625,14126,5690,11038,8369,8359c11049,5680,14139,3615,17640,2164c21141,726,24786,0,28575,0x">
                  <v:stroke weight="0pt" endcap="flat" joinstyle="miter" miterlimit="10" on="false" color="#000000" opacity="0"/>
                  <v:fill on="true" color="#333333"/>
                </v:shape>
                <v:shape id="Shape 816" style="position:absolute;width:571;height:571;left:0;top:6096;" coordsize="57150,57150" path="m28575,0c32364,0,36009,726,39510,2177c43011,3615,46101,5674,48781,8359c51460,11032,53525,14120,54975,17624c56425,21134,57150,24780,57150,28575c57150,32358,56425,36004,54975,39495c53525,42999,51460,46087,48781,48766c46101,51445,43011,53510,39510,54961c36009,56406,32364,57138,28575,57150c24786,57138,21141,56406,17640,54961c14139,53510,11049,51445,8369,48766c5690,46087,3625,42999,2175,39495c725,36004,0,32358,0,28575c0,24780,725,21134,2175,17636c3625,14126,5690,11032,8369,8359c11049,5674,14139,3615,17640,2177c21141,726,24786,0,28575,0x">
                  <v:stroke weight="0pt" endcap="flat" joinstyle="miter" miterlimit="10" on="false" color="#000000" opacity="0"/>
                  <v:fill on="true" color="#333333"/>
                </v:shape>
                <v:shape id="Shape 818" style="position:absolute;width:571;height:571;left:0;top:7620;" coordsize="57150,57150" path="m28575,0c32364,0,36009,726,39510,2164c43011,3615,46101,5680,48781,8359c51460,11038,53525,14126,54975,17624c56425,21134,57150,24780,57150,28575c57150,32358,56425,35998,54975,39501c53525,42999,51460,46087,48781,48778c46101,51445,43011,53510,39510,54961c36009,56412,32364,57138,28575,57150c24786,57138,21141,56412,17640,54961c14139,53510,11049,51445,8369,48778c5690,46087,3625,42999,2175,39501c725,35998,0,32358,0,28575c0,24780,725,21134,2175,17624c3625,14126,5690,11038,8369,8359c11049,5680,14139,3615,17640,2164c21141,726,24786,0,28575,0x">
                  <v:stroke weight="0pt" endcap="flat" joinstyle="miter" miterlimit="10" on="false" color="#000000" opacity="0"/>
                  <v:fill on="true" color="#333333"/>
                </v:shape>
                <w10:wrap type="square"/>
              </v:group>
            </w:pict>
          </mc:Fallback>
        </mc:AlternateContent>
      </w:r>
      <w:r>
        <w:t>дискомфорт в эпигастрии, шее, челюсти, руках, между лопаток; одышка; общая слабость; обморок;</w:t>
      </w:r>
    </w:p>
    <w:p w:rsidR="008E3F15" w:rsidRDefault="005F449A">
      <w:pPr>
        <w:spacing w:after="179"/>
        <w:ind w:left="340" w:right="3634"/>
      </w:pPr>
      <w:r>
        <w:t>острое нарушение мозгового кровообращения; тошнота.</w:t>
      </w:r>
    </w:p>
    <w:p w:rsidR="008E3F15" w:rsidRDefault="005F449A">
      <w:pPr>
        <w:ind w:left="2" w:right="15"/>
      </w:pPr>
      <w:r>
        <w:t>Причин диско</w:t>
      </w:r>
      <w:r>
        <w:t>мфорта в груди достаточно много: миофасциальные боли, заболевания пищевода, психические расстройства и т.д. Вероятность ишемической природы симптома значительно повышается у пациентов старше 50 лет с имеющейся коронарной болезнью, другими сосудистыми пораж</w:t>
      </w:r>
      <w:r>
        <w:t>ениями (перемежающаяся хромота, ишемический инсульт), гипертензией, гиперхолестеринемией, СД, ожирением, семейным анамнезом ранней коронарной болезни, у курящих.</w:t>
      </w:r>
    </w:p>
    <w:p w:rsidR="008E3F15" w:rsidRDefault="005F449A">
      <w:pPr>
        <w:ind w:left="2" w:right="158"/>
      </w:pPr>
      <w:r>
        <w:t>В ряде международных инструкций по догоспитальному этапу рекомендовано при типичной клинике пр</w:t>
      </w:r>
      <w:r>
        <w:t>едположить ОКС у пациентов после 30 лет, а при атипичных симптомах — у пациентов старше 50 лет.</w:t>
      </w:r>
    </w:p>
    <w:p w:rsidR="008E3F15" w:rsidRDefault="005F449A">
      <w:pPr>
        <w:ind w:left="2" w:right="15"/>
      </w:pPr>
      <w:r>
        <w:t>ЭКГ необходимо оценить (возможно дистанционно) для выбора правильной тактики лечения и оценки прогноза заболевания, желательно при сравнении с предшествующей.</w:t>
      </w:r>
    </w:p>
    <w:p w:rsidR="008E3F15" w:rsidRDefault="005F449A">
      <w:pPr>
        <w:ind w:left="2" w:right="497"/>
      </w:pPr>
      <w:r>
        <w:t>И</w:t>
      </w:r>
      <w:r>
        <w:t xml:space="preserve">спользование догоспитальной ЭКГ снижает 30-суточную смертность, в основном за счет ИМпST (Quinn T. et al., 2014). На основании изменений на ЭКГ уточняют форму ОКС/ИМ: с подъемом </w:t>
      </w:r>
      <w:r>
        <w:rPr>
          <w:i/>
        </w:rPr>
        <w:t>ST</w:t>
      </w:r>
      <w:r>
        <w:t xml:space="preserve"> или без подъема </w:t>
      </w:r>
      <w:r>
        <w:rPr>
          <w:i/>
        </w:rPr>
        <w:t>ST</w:t>
      </w:r>
      <w:r>
        <w:t xml:space="preserve"> (</w:t>
      </w:r>
      <w:r>
        <w:rPr>
          <w:b/>
        </w:rPr>
        <w:t>рис. 1.4</w:t>
      </w:r>
      <w:r>
        <w:t>).</w:t>
      </w:r>
    </w:p>
    <w:p w:rsidR="008E3F15" w:rsidRDefault="005F449A">
      <w:pPr>
        <w:spacing w:after="65" w:line="259" w:lineRule="auto"/>
        <w:ind w:left="0" w:right="0" w:firstLine="0"/>
      </w:pPr>
      <w:r>
        <w:rPr>
          <w:noProof/>
        </w:rPr>
        <w:drawing>
          <wp:inline distT="0" distB="0" distL="0" distR="0">
            <wp:extent cx="5057775" cy="2667000"/>
            <wp:effectExtent l="0" t="0" r="0" b="0"/>
            <wp:docPr id="841" name="Picture 841"/>
            <wp:cNvGraphicFramePr/>
            <a:graphic xmlns:a="http://schemas.openxmlformats.org/drawingml/2006/main">
              <a:graphicData uri="http://schemas.openxmlformats.org/drawingml/2006/picture">
                <pic:pic xmlns:pic="http://schemas.openxmlformats.org/drawingml/2006/picture">
                  <pic:nvPicPr>
                    <pic:cNvPr id="841" name="Picture 841"/>
                    <pic:cNvPicPr/>
                  </pic:nvPicPr>
                  <pic:blipFill>
                    <a:blip r:embed="rId10"/>
                    <a:stretch>
                      <a:fillRect/>
                    </a:stretch>
                  </pic:blipFill>
                  <pic:spPr>
                    <a:xfrm>
                      <a:off x="0" y="0"/>
                      <a:ext cx="5057775" cy="2667000"/>
                    </a:xfrm>
                    <a:prstGeom prst="rect">
                      <a:avLst/>
                    </a:prstGeom>
                  </pic:spPr>
                </pic:pic>
              </a:graphicData>
            </a:graphic>
          </wp:inline>
        </w:drawing>
      </w:r>
    </w:p>
    <w:p w:rsidR="008E3F15" w:rsidRDefault="005F449A">
      <w:pPr>
        <w:spacing w:after="345"/>
        <w:ind w:left="2" w:right="15"/>
      </w:pPr>
      <w:r>
        <w:rPr>
          <w:b/>
        </w:rPr>
        <w:t xml:space="preserve">Рис. 1.4. </w:t>
      </w:r>
      <w:r>
        <w:t>Классификация и динамика форм острой ишемии мио карда</w:t>
      </w:r>
    </w:p>
    <w:p w:rsidR="008E3F15" w:rsidRDefault="005F449A">
      <w:pPr>
        <w:pStyle w:val="Heading1"/>
        <w:ind w:left="2"/>
      </w:pPr>
      <w:r>
        <w:t>Часть I. Сердечно-сосудистые болезни</w:t>
      </w:r>
    </w:p>
    <w:p w:rsidR="008E3F15" w:rsidRDefault="005F449A">
      <w:pPr>
        <w:ind w:left="2" w:right="15"/>
      </w:pPr>
      <w:r>
        <w:t xml:space="preserve">Важное значение имеет определение стойкого (&gt;20 мин) подъема </w:t>
      </w:r>
      <w:r>
        <w:rPr>
          <w:i/>
        </w:rPr>
        <w:t>ST</w:t>
      </w:r>
      <w:r>
        <w:t>, так как в этом случае чаще встречается полная окклюзия коронарной артерии и необходимо реперфузионно</w:t>
      </w:r>
      <w:r>
        <w:t xml:space="preserve">е лечение. Критерием подъема сегмента </w:t>
      </w:r>
      <w:r>
        <w:rPr>
          <w:i/>
        </w:rPr>
        <w:t>ST</w:t>
      </w:r>
      <w:r>
        <w:t xml:space="preserve"> целесообразно считать повышение в точке J (начало сегмента </w:t>
      </w:r>
      <w:r>
        <w:rPr>
          <w:i/>
        </w:rPr>
        <w:t>ST</w:t>
      </w:r>
      <w:r>
        <w:t xml:space="preserve">) ≥1 мм. Вместе с тем нельзя полагаться только на формальные критерии. Например, нередко встречается подъем </w:t>
      </w:r>
      <w:r>
        <w:rPr>
          <w:i/>
        </w:rPr>
        <w:t>ST</w:t>
      </w:r>
      <w:r>
        <w:t xml:space="preserve"> в грудных отведениях, описываемый как рання</w:t>
      </w:r>
      <w:r>
        <w:t>я реполяризация.</w:t>
      </w:r>
    </w:p>
    <w:p w:rsidR="008E3F15" w:rsidRDefault="005F449A">
      <w:pPr>
        <w:ind w:left="2" w:right="15"/>
      </w:pPr>
      <w:r>
        <w:t xml:space="preserve">Величина подъема </w:t>
      </w:r>
      <w:r>
        <w:rPr>
          <w:i/>
        </w:rPr>
        <w:t>ST</w:t>
      </w:r>
      <w:r>
        <w:t xml:space="preserve"> и наличие болей в груди не коррелируют с частотой окклюзии коронарной артерии и прогнозом ИМ (Park J. et al., 2014; Martí D. et al., 2014). Почти у каждого пятого пациента с коронарной окклюзией подъем </w:t>
      </w:r>
      <w:r>
        <w:rPr>
          <w:i/>
        </w:rPr>
        <w:t>ST</w:t>
      </w:r>
      <w:r>
        <w:t xml:space="preserve"> не превышал 1 </w:t>
      </w:r>
      <w:r>
        <w:t>мм.</w:t>
      </w:r>
    </w:p>
    <w:p w:rsidR="008E3F15" w:rsidRDefault="005F449A">
      <w:pPr>
        <w:ind w:left="2" w:right="15"/>
      </w:pPr>
      <w:r>
        <w:t xml:space="preserve">Закрытие коронарной артерии тромбом в ряде случаев (ранний период, огибающая артерия, ствол, венозный шунт) может не проявляться подъемом </w:t>
      </w:r>
      <w:r>
        <w:rPr>
          <w:i/>
        </w:rPr>
        <w:t>ST</w:t>
      </w:r>
      <w:r>
        <w:t>.</w:t>
      </w:r>
    </w:p>
    <w:p w:rsidR="008E3F15" w:rsidRDefault="005F449A">
      <w:pPr>
        <w:ind w:left="2" w:right="15"/>
      </w:pPr>
      <w:r>
        <w:t xml:space="preserve">При окклюзии ствола левой коронарной артерии обычно выявляют подъем </w:t>
      </w:r>
      <w:r>
        <w:rPr>
          <w:i/>
        </w:rPr>
        <w:t>ST</w:t>
      </w:r>
      <w:r>
        <w:t xml:space="preserve"> в aVR больше, чем в V</w:t>
      </w:r>
      <w:r>
        <w:rPr>
          <w:sz w:val="31"/>
          <w:vertAlign w:val="subscript"/>
        </w:rPr>
        <w:t>1</w:t>
      </w:r>
      <w:r>
        <w:t>, и выраженную де</w:t>
      </w:r>
      <w:r>
        <w:t xml:space="preserve">прессию </w:t>
      </w:r>
      <w:r>
        <w:rPr>
          <w:i/>
        </w:rPr>
        <w:t>ST</w:t>
      </w:r>
      <w:r>
        <w:t xml:space="preserve"> в отведениях I, II и V</w:t>
      </w:r>
      <w:r>
        <w:rPr>
          <w:sz w:val="31"/>
          <w:vertAlign w:val="subscript"/>
        </w:rPr>
        <w:t>4</w:t>
      </w:r>
      <w:r>
        <w:t>–V</w:t>
      </w:r>
      <w:r>
        <w:rPr>
          <w:sz w:val="31"/>
          <w:vertAlign w:val="subscript"/>
        </w:rPr>
        <w:t>6</w:t>
      </w:r>
      <w:r>
        <w:t>.</w:t>
      </w:r>
    </w:p>
    <w:p w:rsidR="008E3F15" w:rsidRDefault="005F449A">
      <w:pPr>
        <w:ind w:left="2" w:right="15"/>
      </w:pPr>
      <w:r>
        <w:t xml:space="preserve">Наличие зубца </w:t>
      </w:r>
      <w:r>
        <w:rPr>
          <w:i/>
        </w:rPr>
        <w:t>Q</w:t>
      </w:r>
      <w:r>
        <w:t>, даже не соответствующее критериям (одно отведение, &lt;30 мс, &lt;1 мм), ассоциируется с повышением смертности (Polcwiartek C. et al., 2020).</w:t>
      </w:r>
    </w:p>
    <w:p w:rsidR="008E3F15" w:rsidRDefault="005F449A">
      <w:pPr>
        <w:ind w:left="2" w:right="15"/>
      </w:pPr>
      <w:r>
        <w:t>У пациентов c симптомами и новой блокадой левой ножки пучка Гиса</w:t>
      </w:r>
      <w:r>
        <w:t xml:space="preserve"> окончательный диагноз ИМ подтвердился только у 39% пациентов, госпитализированных в клинику Мейо (Jain S. et al., 2011). Следует отметить сложность верификации новой блокады левой ножки пучка Гиса, так как редко доступна недавняя ЭКГ. Предположительно нов</w:t>
      </w:r>
      <w:r>
        <w:t xml:space="preserve">ая блокада левой ножки пучка Гиса как эквивалент ИМ может быть подтверждена конкордантным смещением </w:t>
      </w:r>
      <w:r>
        <w:rPr>
          <w:i/>
        </w:rPr>
        <w:t>ST</w:t>
      </w:r>
      <w:r>
        <w:t xml:space="preserve"> ≥1 мм: ↑</w:t>
      </w:r>
      <w:r>
        <w:rPr>
          <w:i/>
        </w:rPr>
        <w:t>ST</w:t>
      </w:r>
      <w:r>
        <w:t xml:space="preserve"> в отведениях +</w:t>
      </w:r>
      <w:r>
        <w:rPr>
          <w:i/>
        </w:rPr>
        <w:t>QRS</w:t>
      </w:r>
      <w:r>
        <w:t>, ↓</w:t>
      </w:r>
      <w:r>
        <w:rPr>
          <w:i/>
        </w:rPr>
        <w:t>ST</w:t>
      </w:r>
      <w:r>
        <w:t xml:space="preserve"> в отведениях V</w:t>
      </w:r>
      <w:r>
        <w:rPr>
          <w:sz w:val="31"/>
          <w:vertAlign w:val="subscript"/>
        </w:rPr>
        <w:t>1</w:t>
      </w:r>
      <w:r>
        <w:t>–V</w:t>
      </w:r>
      <w:r>
        <w:rPr>
          <w:sz w:val="31"/>
          <w:vertAlign w:val="subscript"/>
        </w:rPr>
        <w:t>3</w:t>
      </w:r>
      <w:r>
        <w:t>, однако чувствительность последних критериев очень низкая. Более детально признаки острой ишемии и И</w:t>
      </w:r>
      <w:r>
        <w:t xml:space="preserve">М представлены в </w:t>
      </w:r>
      <w:r>
        <w:rPr>
          <w:b/>
        </w:rPr>
        <w:t>табл. 1.5</w:t>
      </w:r>
      <w:r>
        <w:t>.</w:t>
      </w:r>
    </w:p>
    <w:p w:rsidR="008E3F15" w:rsidRDefault="005F449A">
      <w:pPr>
        <w:spacing w:after="31"/>
        <w:ind w:left="2" w:right="15"/>
      </w:pPr>
      <w:r>
        <w:rPr>
          <w:b/>
        </w:rPr>
        <w:t xml:space="preserve">Таблица 1.5. </w:t>
      </w:r>
      <w:r>
        <w:t>Электрокардиографические критерии острой ишемии/инфаркта мио карда</w:t>
      </w:r>
    </w:p>
    <w:p w:rsidR="008E3F15" w:rsidRDefault="005F449A">
      <w:pPr>
        <w:spacing w:after="31"/>
        <w:ind w:left="2" w:right="15"/>
      </w:pPr>
      <w:r>
        <w:t>(ESC/ACCF/AHA/WHF, AHA/ACCF/HRS)</w:t>
      </w:r>
    </w:p>
    <w:tbl>
      <w:tblPr>
        <w:tblStyle w:val="TableGrid"/>
        <w:tblW w:w="10485" w:type="dxa"/>
        <w:tblInd w:w="30" w:type="dxa"/>
        <w:tblCellMar>
          <w:top w:w="80" w:type="dxa"/>
          <w:left w:w="45" w:type="dxa"/>
          <w:bottom w:w="11" w:type="dxa"/>
          <w:right w:w="77" w:type="dxa"/>
        </w:tblCellMar>
        <w:tblLook w:val="04A0" w:firstRow="1" w:lastRow="0" w:firstColumn="1" w:lastColumn="0" w:noHBand="0" w:noVBand="1"/>
      </w:tblPr>
      <w:tblGrid>
        <w:gridCol w:w="2760"/>
        <w:gridCol w:w="7725"/>
      </w:tblGrid>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Признак</w:t>
            </w:r>
          </w:p>
        </w:tc>
        <w:tc>
          <w:tcPr>
            <w:tcW w:w="7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Критерии ишемии/инфаркт миокарда</w:t>
            </w:r>
          </w:p>
        </w:tc>
      </w:tr>
      <w:tr w:rsidR="008E3F15">
        <w:trPr>
          <w:trHeight w:val="330"/>
        </w:trPr>
        <w:tc>
          <w:tcPr>
            <w:tcW w:w="1048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Острая ишемия</w:t>
            </w:r>
          </w:p>
        </w:tc>
      </w:tr>
      <w:tr w:rsidR="008E3F15">
        <w:trPr>
          <w:trHeight w:val="1500"/>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i/>
              </w:rPr>
              <w:t>↑S</w:t>
            </w:r>
            <w:r>
              <w:t>T</w:t>
            </w:r>
          </w:p>
        </w:tc>
        <w:tc>
          <w:tcPr>
            <w:tcW w:w="7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 мм в двух смежных отведениях*, исключая V</w:t>
            </w:r>
            <w:r>
              <w:rPr>
                <w:sz w:val="31"/>
                <w:vertAlign w:val="subscript"/>
              </w:rPr>
              <w:t>2</w:t>
            </w:r>
            <w:r>
              <w:rPr>
                <w:sz w:val="20"/>
              </w:rPr>
              <w:t>–3;</w:t>
            </w:r>
          </w:p>
          <w:p w:rsidR="008E3F15" w:rsidRDefault="005F449A">
            <w:pPr>
              <w:spacing w:after="0" w:line="259" w:lineRule="auto"/>
              <w:ind w:left="6" w:right="0" w:firstLine="0"/>
              <w:jc w:val="both"/>
            </w:pPr>
            <w:r>
              <w:t>в V</w:t>
            </w:r>
            <w:r>
              <w:rPr>
                <w:sz w:val="31"/>
                <w:vertAlign w:val="subscript"/>
              </w:rPr>
              <w:t>2</w:t>
            </w:r>
            <w:r>
              <w:rPr>
                <w:sz w:val="20"/>
              </w:rPr>
              <w:t>–3</w:t>
            </w:r>
            <w:r>
              <w:t xml:space="preserve"> ≥2 мм у мужчин 40 лет и старше; ≥2,5 мм у мужчин до 40 лет;</w:t>
            </w:r>
          </w:p>
          <w:p w:rsidR="008E3F15" w:rsidRDefault="005F449A">
            <w:pPr>
              <w:spacing w:after="0" w:line="259" w:lineRule="auto"/>
              <w:ind w:left="6" w:right="2739" w:firstLine="0"/>
            </w:pPr>
            <w:r>
              <w:t>≥1,5 мм у женщин в V</w:t>
            </w:r>
            <w:r>
              <w:rPr>
                <w:sz w:val="31"/>
                <w:vertAlign w:val="subscript"/>
              </w:rPr>
              <w:t>3</w:t>
            </w:r>
            <w:r>
              <w:rPr>
                <w:sz w:val="20"/>
              </w:rPr>
              <w:t>R–4R</w:t>
            </w:r>
            <w:r>
              <w:t xml:space="preserve"> ≥0,5 мм; ≥1 мм у мужчин до 30 лет в V</w:t>
            </w:r>
            <w:r>
              <w:rPr>
                <w:sz w:val="31"/>
                <w:vertAlign w:val="subscript"/>
              </w:rPr>
              <w:t>7</w:t>
            </w:r>
            <w:r>
              <w:rPr>
                <w:sz w:val="20"/>
              </w:rPr>
              <w:t>–9</w:t>
            </w:r>
            <w:r>
              <w:t xml:space="preserve"> ≥0,5 мм; ≥1 мм у мужчин до 40 лет</w:t>
            </w:r>
          </w:p>
        </w:tc>
      </w:tr>
      <w:tr w:rsidR="008E3F15">
        <w:trPr>
          <w:trHeight w:val="630"/>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r>
              <w:rPr>
                <w:i/>
              </w:rPr>
              <w:t>ST</w:t>
            </w:r>
          </w:p>
        </w:tc>
        <w:tc>
          <w:tcPr>
            <w:tcW w:w="7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 0,5 мм горизонтальная или косонисходящая в двух смежных отведениях</w:t>
            </w:r>
            <w:r>
              <w:rPr>
                <w:sz w:val="31"/>
                <w:vertAlign w:val="superscript"/>
              </w:rPr>
              <w:t>*</w:t>
            </w:r>
          </w:p>
        </w:tc>
      </w:tr>
      <w:tr w:rsidR="008E3F15">
        <w:trPr>
          <w:trHeight w:val="390"/>
        </w:trPr>
        <w:tc>
          <w:tcPr>
            <w:tcW w:w="276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 xml:space="preserve">Инверсия </w:t>
            </w:r>
            <w:r>
              <w:rPr>
                <w:i/>
              </w:rPr>
              <w:t>T</w:t>
            </w:r>
          </w:p>
        </w:tc>
        <w:tc>
          <w:tcPr>
            <w:tcW w:w="7725" w:type="dxa"/>
            <w:tcBorders>
              <w:top w:val="single" w:sz="6" w:space="0" w:color="000000"/>
              <w:left w:val="nil"/>
              <w:bottom w:val="single" w:sz="6" w:space="0" w:color="000000"/>
              <w:right w:val="single" w:sz="6" w:space="0" w:color="000000"/>
            </w:tcBorders>
            <w:vAlign w:val="bottom"/>
          </w:tcPr>
          <w:p w:rsidR="008E3F15" w:rsidRDefault="005F449A">
            <w:pPr>
              <w:spacing w:after="0" w:line="259" w:lineRule="auto"/>
              <w:ind w:left="6" w:right="0" w:firstLine="0"/>
            </w:pPr>
            <w:r>
              <w:rPr>
                <w:bdr w:val="single" w:sz="12" w:space="0" w:color="000000"/>
              </w:rPr>
              <w:t xml:space="preserve">≥ 1 мм в двух смежных отведениях* с доминирующим </w:t>
            </w:r>
            <w:r>
              <w:rPr>
                <w:i/>
                <w:bdr w:val="single" w:sz="12" w:space="0" w:color="000000"/>
              </w:rPr>
              <w:t>R</w:t>
            </w:r>
            <w:r>
              <w:rPr>
                <w:bdr w:val="single" w:sz="12" w:space="0" w:color="000000"/>
              </w:rPr>
              <w:t xml:space="preserve"> или </w:t>
            </w:r>
            <w:r>
              <w:rPr>
                <w:i/>
                <w:bdr w:val="single" w:sz="12" w:space="0" w:color="000000"/>
              </w:rPr>
              <w:t>R/S</w:t>
            </w:r>
            <w:r>
              <w:rPr>
                <w:bdr w:val="single" w:sz="12" w:space="0" w:color="000000"/>
              </w:rPr>
              <w:t xml:space="preserve"> &gt;</w:t>
            </w:r>
            <w:r>
              <w:rPr>
                <w:sz w:val="31"/>
                <w:bdr w:val="single" w:sz="12" w:space="0" w:color="000000"/>
                <w:vertAlign w:val="superscript"/>
              </w:rPr>
              <w:t>1</w:t>
            </w:r>
          </w:p>
        </w:tc>
      </w:tr>
      <w:tr w:rsidR="008E3F15">
        <w:trPr>
          <w:trHeight w:val="57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Блокада левой ножки пучка Гиса</w:t>
            </w:r>
          </w:p>
        </w:tc>
        <w:tc>
          <w:tcPr>
            <w:tcW w:w="772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w:t>
            </w:r>
            <w:r>
              <w:rPr>
                <w:i/>
              </w:rPr>
              <w:t>ST</w:t>
            </w:r>
            <w:r>
              <w:t xml:space="preserve"> ≥1 мм в отведениях с положительны</w:t>
            </w:r>
            <w:r>
              <w:rPr>
                <w:i/>
              </w:rPr>
              <w:t>м Q</w:t>
            </w:r>
            <w:r>
              <w:t>RS</w:t>
            </w:r>
          </w:p>
        </w:tc>
      </w:tr>
      <w:tr w:rsidR="008E3F15">
        <w:trPr>
          <w:trHeight w:val="330"/>
        </w:trPr>
        <w:tc>
          <w:tcPr>
            <w:tcW w:w="1048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Инфаркт миокарда</w:t>
            </w:r>
          </w:p>
        </w:tc>
      </w:tr>
      <w:tr w:rsidR="008E3F15">
        <w:trPr>
          <w:trHeight w:val="630"/>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i/>
              </w:rPr>
              <w:t>Q</w:t>
            </w:r>
          </w:p>
        </w:tc>
        <w:tc>
          <w:tcPr>
            <w:tcW w:w="7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264" w:firstLine="0"/>
            </w:pPr>
            <w:r>
              <w:rPr>
                <w:i/>
              </w:rPr>
              <w:t>Q</w:t>
            </w:r>
            <w:r>
              <w:t xml:space="preserve"> ≥30 мс и глубиной ≥1 мм или </w:t>
            </w:r>
            <w:r>
              <w:rPr>
                <w:i/>
              </w:rPr>
              <w:t>QS</w:t>
            </w:r>
            <w:r>
              <w:t xml:space="preserve"> в двух смежных отведениях* </w:t>
            </w:r>
            <w:r>
              <w:rPr>
                <w:i/>
              </w:rPr>
              <w:t>Q</w:t>
            </w:r>
            <w:r>
              <w:t xml:space="preserve"> ≥20 мс или </w:t>
            </w:r>
            <w:r>
              <w:rPr>
                <w:i/>
              </w:rPr>
              <w:t>QS</w:t>
            </w:r>
            <w:r>
              <w:t xml:space="preserve"> </w:t>
            </w:r>
            <w:r>
              <w:rPr>
                <w:sz w:val="31"/>
                <w:vertAlign w:val="subscript"/>
              </w:rPr>
              <w:t xml:space="preserve">в </w:t>
            </w:r>
            <w:r>
              <w:t>V2–3</w:t>
            </w:r>
          </w:p>
        </w:tc>
      </w:tr>
      <w:tr w:rsidR="008E3F15">
        <w:trPr>
          <w:trHeight w:val="615"/>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r>
              <w:rPr>
                <w:i/>
              </w:rPr>
              <w:t>R</w:t>
            </w:r>
            <w:r>
              <w:t xml:space="preserve"> V</w:t>
            </w:r>
            <w:r>
              <w:rPr>
                <w:sz w:val="31"/>
                <w:vertAlign w:val="subscript"/>
              </w:rPr>
              <w:t>1</w:t>
            </w:r>
            <w:r>
              <w:rPr>
                <w:sz w:val="20"/>
              </w:rPr>
              <w:t>–2</w:t>
            </w:r>
          </w:p>
        </w:tc>
        <w:tc>
          <w:tcPr>
            <w:tcW w:w="7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i/>
              </w:rPr>
              <w:t>R</w:t>
            </w:r>
            <w:r>
              <w:t xml:space="preserve"> ≥40 мс в отведениях V</w:t>
            </w:r>
            <w:r>
              <w:rPr>
                <w:sz w:val="31"/>
                <w:vertAlign w:val="subscript"/>
              </w:rPr>
              <w:t>1</w:t>
            </w:r>
            <w:r>
              <w:rPr>
                <w:sz w:val="20"/>
              </w:rPr>
              <w:t xml:space="preserve">–2 </w:t>
            </w:r>
            <w:r>
              <w:t xml:space="preserve">и </w:t>
            </w:r>
            <w:r>
              <w:rPr>
                <w:i/>
              </w:rPr>
              <w:t>R/S</w:t>
            </w:r>
            <w:r>
              <w:t xml:space="preserve"> ≥1 в сочетании с конкордантным +Т без нарушения проведения</w:t>
            </w:r>
          </w:p>
        </w:tc>
      </w:tr>
    </w:tbl>
    <w:p w:rsidR="008E3F15" w:rsidRDefault="005F449A">
      <w:pPr>
        <w:spacing w:after="31"/>
        <w:ind w:left="2" w:right="15"/>
      </w:pPr>
      <w:r>
        <w:rPr>
          <w:b/>
        </w:rPr>
        <w:t>Примечание.</w:t>
      </w:r>
      <w:r>
        <w:t xml:space="preserve"> * — смежные отведения: V</w:t>
      </w:r>
      <w:r>
        <w:rPr>
          <w:sz w:val="20"/>
        </w:rPr>
        <w:t>1–6</w:t>
      </w:r>
      <w:r>
        <w:t xml:space="preserve"> или I, aVL или II, III, aVF или V</w:t>
      </w:r>
      <w:r>
        <w:rPr>
          <w:sz w:val="20"/>
        </w:rPr>
        <w:t>3R–4R</w:t>
      </w:r>
      <w:r>
        <w:t>.</w:t>
      </w:r>
    </w:p>
    <w:p w:rsidR="008E3F15" w:rsidRDefault="005F449A">
      <w:pPr>
        <w:ind w:left="2" w:right="15"/>
      </w:pPr>
      <w:r>
        <w:t xml:space="preserve">При остром коронарном синдроме без подъема сегмента </w:t>
      </w:r>
      <w:r>
        <w:rPr>
          <w:i/>
        </w:rPr>
        <w:t>ST</w:t>
      </w:r>
      <w:r>
        <w:t xml:space="preserve"> (ОКСбп</w:t>
      </w:r>
      <w:r>
        <w:rPr>
          <w:i/>
        </w:rPr>
        <w:t>ST</w:t>
      </w:r>
      <w:r>
        <w:t xml:space="preserve">) на ЭКГ регистрируют горизонтальные или нисходящие депрессии </w:t>
      </w:r>
      <w:r>
        <w:rPr>
          <w:i/>
        </w:rPr>
        <w:t>ST</w:t>
      </w:r>
      <w:r>
        <w:t xml:space="preserve"> ≥0,5 мм или инверсию зубца </w:t>
      </w:r>
      <w:r>
        <w:rPr>
          <w:i/>
        </w:rPr>
        <w:t>Т</w:t>
      </w:r>
      <w:r>
        <w:t xml:space="preserve"> ≥1 мм в двух смежных отведениях с доминирующим зубцом </w:t>
      </w:r>
      <w:r>
        <w:rPr>
          <w:i/>
        </w:rPr>
        <w:t>R</w:t>
      </w:r>
      <w:r>
        <w:t xml:space="preserve"> или соотношением </w:t>
      </w:r>
      <w:r>
        <w:rPr>
          <w:i/>
        </w:rPr>
        <w:t>R/S</w:t>
      </w:r>
      <w:r>
        <w:t xml:space="preserve"> &gt;1. Целесообразно сравнить настоящую ЭКГ с предыдущими.</w:t>
      </w:r>
    </w:p>
    <w:p w:rsidR="008E3F15" w:rsidRDefault="005F449A">
      <w:pPr>
        <w:ind w:left="2" w:right="15"/>
      </w:pPr>
      <w:r>
        <w:t>Следует знать, что отсутствие</w:t>
      </w:r>
      <w:r>
        <w:t xml:space="preserve"> новых изменений на ЭКГ не исключает наличия ОКС, в том числе высокого риска.</w:t>
      </w:r>
    </w:p>
    <w:p w:rsidR="008E3F15" w:rsidRDefault="005F449A">
      <w:pPr>
        <w:ind w:left="2" w:right="15"/>
      </w:pPr>
      <w:r>
        <w:t>Качественные тесты на сердечные биомаркеры хуже количественных выявляют повреждение мио карда и не могут использоваться для исключения ИМ и выбора тактики ведения у пациентов выс</w:t>
      </w:r>
      <w:r>
        <w:t xml:space="preserve">окого риска. В то же время у пациентов низкого риска применение экспресстеста на тропонин (point-of-care test) позволяет значительно снизить затраты без увеличения сердечно-сосудистых рисков (ARTICA). При стойком остром подъеме </w:t>
      </w:r>
      <w:r>
        <w:rPr>
          <w:i/>
        </w:rPr>
        <w:t>ST</w:t>
      </w:r>
      <w:r>
        <w:t xml:space="preserve"> оценка сердечных биомарке</w:t>
      </w:r>
      <w:r>
        <w:t>ров не влияет на диагноз и тактику ведения.</w:t>
      </w:r>
    </w:p>
    <w:p w:rsidR="008E3F15" w:rsidRDefault="005F449A">
      <w:pPr>
        <w:ind w:left="2" w:right="398"/>
      </w:pPr>
      <w:r>
        <w:t>В случаях недостаточно ясного диагноза в первые дни предлагают пользоваться термином «острый коронарный синдром возможный» (ACCF/AHA). Полагаем, что при оформлении первоначальных и промежуточных диагнозов у пацие</w:t>
      </w:r>
      <w:r>
        <w:t>нтов с острыми состояниями рекомендуют использовать общепринятые аббревиатуры, особенно включенные в национальные рекомендации, а в выписках для пациентов предпочтительнее формулировать полные названия заболеваний.</w:t>
      </w:r>
    </w:p>
    <w:p w:rsidR="008E3F15" w:rsidRDefault="005F449A">
      <w:pPr>
        <w:spacing w:after="359"/>
        <w:ind w:left="2" w:right="15"/>
      </w:pPr>
      <w:r>
        <w:rPr>
          <w:b/>
        </w:rPr>
        <w:t>Лечение.</w:t>
      </w:r>
      <w:r>
        <w:t xml:space="preserve"> Первоочередные мероприятия при п</w:t>
      </w:r>
      <w:r>
        <w:t>оявлении ишемического дискомфорта в груди включают неотложный прием одной дозы нитроглицерина (сублингвально таблетка или спрей). При отсутствии артериальной гипотензии можно повторить прием нитроглицерина до 3 раз с интервалом 5–10 мин, вызвать бригаду ск</w:t>
      </w:r>
      <w:r>
        <w:t>орой помощи. Кроме того, необходимо разжевать и проглотить 150–300 мг АСК без кишечнорастворимой оболочки, которая может снизить эффект препарата (Grosser T. et al., 2013; Bhatt D. et al., 2017).</w:t>
      </w:r>
    </w:p>
    <w:p w:rsidR="008E3F15" w:rsidRDefault="005F449A">
      <w:pPr>
        <w:pStyle w:val="Heading1"/>
        <w:ind w:left="2"/>
      </w:pPr>
      <w:r>
        <w:t>Часть I. Сердечно-сосудистые болезни</w:t>
      </w:r>
    </w:p>
    <w:p w:rsidR="008E3F15" w:rsidRDefault="005F449A">
      <w:pPr>
        <w:ind w:left="2" w:right="15"/>
      </w:pPr>
      <w:r>
        <w:t>Назначение второго анти</w:t>
      </w:r>
      <w:r>
        <w:t>агреганта в нагрузочной дозе у пациентов с ИМп</w:t>
      </w:r>
      <w:r>
        <w:rPr>
          <w:i/>
        </w:rPr>
        <w:t>ST</w:t>
      </w:r>
      <w:r>
        <w:t xml:space="preserve"> перед планируемым ЧКВ на догоспитальном этапе не принесло пользы (ATLANTIC; COMPARE CRUSH).</w:t>
      </w:r>
    </w:p>
    <w:p w:rsidR="008E3F15" w:rsidRDefault="005F449A">
      <w:pPr>
        <w:ind w:left="2" w:right="291"/>
      </w:pPr>
      <w:r>
        <w:t>Если диагноз ОКС вызывает сомнения, то от приема антиагрегантов можно воздержаться до уточнения состояния, особенно</w:t>
      </w:r>
      <w:r>
        <w:t xml:space="preserve"> при риске кровоизлияния или кровотечения.</w:t>
      </w:r>
    </w:p>
    <w:p w:rsidR="008E3F15" w:rsidRDefault="005F449A">
      <w:pPr>
        <w:ind w:left="2" w:right="94"/>
      </w:pPr>
      <w:r>
        <w:t>Бригада скорой помощи обезболивает морфином (развести 10 мг в 10–20 мл изотонического раствора натрия хлорида, 2–4 мг внутривенно медленно, при необходимости по 2 мг повторно через 5–15 мин) и доставляет в госпита</w:t>
      </w:r>
      <w:r>
        <w:t>ль, имеющий блок интенсивной терапии и реанимации. Нежелательно применять нестероидные противовоспалительные препараты (НПВП) ввиду возможного протромботического эффекта.</w:t>
      </w:r>
    </w:p>
    <w:p w:rsidR="008E3F15" w:rsidRDefault="005F449A">
      <w:pPr>
        <w:ind w:left="2" w:right="15"/>
      </w:pPr>
      <w:r>
        <w:t>Догоспитальный тромболизис, по данным метаанализа рандомизированных исследований, пов</w:t>
      </w:r>
      <w:r>
        <w:t>ысил выживаемость по сравнению с госпитальным тромболизисом.</w:t>
      </w:r>
    </w:p>
    <w:p w:rsidR="008E3F15" w:rsidRDefault="005F449A">
      <w:pPr>
        <w:ind w:left="2" w:right="15"/>
      </w:pPr>
      <w:r>
        <w:t>Следует отметить, что ближайшие и отдаленные результаты тромболизиса в первые 2–3 ч при неосложненных ИМпST не отличаются существенно от первичного ЧКВ (CAPTIM; WEST). Бригадам скорой помощи и ре</w:t>
      </w:r>
      <w:r>
        <w:t>анимационных отделений целесообразно иметь лист абсолютных и относительных противопоказаний к тромболизису, который заполняется и прикрепляется к талону или истории болезни.</w:t>
      </w:r>
    </w:p>
    <w:p w:rsidR="008E3F15" w:rsidRDefault="005F449A">
      <w:pPr>
        <w:ind w:left="2" w:right="15"/>
      </w:pPr>
      <w:r>
        <w:t>В случаях ИМп</w:t>
      </w:r>
      <w:r>
        <w:rPr>
          <w:i/>
        </w:rPr>
        <w:t>ST</w:t>
      </w:r>
      <w:r>
        <w:t>, когда предполагается существенная задержка инвазивного лечения (&gt;</w:t>
      </w:r>
      <w:r>
        <w:t>120 мин от момента диагностики до введения проводника в окклюзированную коронарную артерию, &gt;90 мин для первых 2 ч от появления симптомов, особенно при большом поражении), что нередко встречается в практике, или вмешательство невозможно, проводят догоспита</w:t>
      </w:r>
      <w:r>
        <w:t>льный тромболизис.</w:t>
      </w:r>
    </w:p>
    <w:p w:rsidR="008E3F15" w:rsidRDefault="005F449A">
      <w:pPr>
        <w:spacing w:after="359"/>
        <w:ind w:left="2" w:right="718"/>
      </w:pPr>
      <w:r>
        <w:t>После тромболизиса пациентов целесообразно госпитализировать в центр коронарных вмешательств для проведения ангиографии и восстановления коронарного кровотока в случае сохранения обструкции (фармакоинвазивный подход).</w:t>
      </w:r>
    </w:p>
    <w:p w:rsidR="008E3F15" w:rsidRDefault="005F449A">
      <w:pPr>
        <w:pStyle w:val="Heading1"/>
        <w:ind w:left="2"/>
      </w:pPr>
      <w:r>
        <w:t>Часть I. Сердечно-с</w:t>
      </w:r>
      <w:r>
        <w:t>осудистые болезни</w:t>
      </w:r>
    </w:p>
    <w:p w:rsidR="008E3F15" w:rsidRDefault="005F449A">
      <w:pPr>
        <w:spacing w:after="31"/>
        <w:ind w:left="2" w:right="15"/>
      </w:pPr>
      <w:r>
        <w:t>Отделение неотложной помощи</w:t>
      </w:r>
    </w:p>
    <w:p w:rsidR="008E3F15" w:rsidRDefault="005F449A">
      <w:pPr>
        <w:ind w:left="2" w:right="15"/>
      </w:pPr>
      <w:r>
        <w:t>В современных клиниках имеются отделения неотложной помощи (приемные отделения), в которых выполняются уточнение диагноза и сортировка пациентов с дискомфортом в груди и нетяжелом состоянии при отсутствии подъе</w:t>
      </w:r>
      <w:r>
        <w:t xml:space="preserve">ма </w:t>
      </w:r>
      <w:r>
        <w:rPr>
          <w:i/>
        </w:rPr>
        <w:t>ST</w:t>
      </w:r>
      <w:r>
        <w:t>, если существуют сомнения в наличии острой коронарной болезни сердца и необходимости стационарного лечения.</w:t>
      </w:r>
    </w:p>
    <w:p w:rsidR="008E3F15" w:rsidRDefault="005F449A">
      <w:pPr>
        <w:ind w:left="2" w:right="15"/>
      </w:pPr>
      <w:r>
        <w:rPr>
          <w:b/>
        </w:rPr>
        <w:t>Диагностика.</w:t>
      </w:r>
      <w:r>
        <w:t xml:space="preserve"> Известно, что в отделениях неотложной помощи среди пациентов с острым дискомфортом/болью в груди ИМп</w:t>
      </w:r>
      <w:r>
        <w:rPr>
          <w:i/>
        </w:rPr>
        <w:t>ST</w:t>
      </w:r>
      <w:r>
        <w:t xml:space="preserve"> определяется в 5–10%, ИМ б</w:t>
      </w:r>
      <w:r>
        <w:t xml:space="preserve">ез подъема </w:t>
      </w:r>
      <w:r>
        <w:rPr>
          <w:i/>
        </w:rPr>
        <w:t>ST</w:t>
      </w:r>
      <w:r>
        <w:t xml:space="preserve"> — в 10–20%, нестабильная СК — в 10%, а у 50% пациентов — несердечная причина болей (</w:t>
      </w:r>
      <w:r>
        <w:rPr>
          <w:b/>
        </w:rPr>
        <w:t>рис. 1.5</w:t>
      </w:r>
      <w:r>
        <w:t>).</w:t>
      </w:r>
    </w:p>
    <w:p w:rsidR="008E3F15" w:rsidRDefault="005F449A">
      <w:pPr>
        <w:spacing w:after="65" w:line="259" w:lineRule="auto"/>
        <w:ind w:left="0" w:right="0" w:firstLine="0"/>
      </w:pPr>
      <w:r>
        <w:rPr>
          <w:noProof/>
        </w:rPr>
        <w:drawing>
          <wp:inline distT="0" distB="0" distL="0" distR="0">
            <wp:extent cx="5057775" cy="2752725"/>
            <wp:effectExtent l="0" t="0" r="0" b="0"/>
            <wp:docPr id="1132" name="Picture 1132"/>
            <wp:cNvGraphicFramePr/>
            <a:graphic xmlns:a="http://schemas.openxmlformats.org/drawingml/2006/main">
              <a:graphicData uri="http://schemas.openxmlformats.org/drawingml/2006/picture">
                <pic:pic xmlns:pic="http://schemas.openxmlformats.org/drawingml/2006/picture">
                  <pic:nvPicPr>
                    <pic:cNvPr id="1132" name="Picture 1132"/>
                    <pic:cNvPicPr/>
                  </pic:nvPicPr>
                  <pic:blipFill>
                    <a:blip r:embed="rId11"/>
                    <a:stretch>
                      <a:fillRect/>
                    </a:stretch>
                  </pic:blipFill>
                  <pic:spPr>
                    <a:xfrm>
                      <a:off x="0" y="0"/>
                      <a:ext cx="5057775" cy="2752725"/>
                    </a:xfrm>
                    <a:prstGeom prst="rect">
                      <a:avLst/>
                    </a:prstGeom>
                  </pic:spPr>
                </pic:pic>
              </a:graphicData>
            </a:graphic>
          </wp:inline>
        </w:drawing>
      </w:r>
    </w:p>
    <w:p w:rsidR="008E3F15" w:rsidRDefault="005F449A">
      <w:pPr>
        <w:ind w:left="2" w:right="15"/>
      </w:pPr>
      <w:r>
        <w:rPr>
          <w:b/>
        </w:rPr>
        <w:t xml:space="preserve">Рис. 1.5. </w:t>
      </w:r>
      <w:r>
        <w:t>Причины болей в груди в отделении неотложной помощи у пациентов в возрасте 65–79 лет (Hsia R. et al., 2016)</w:t>
      </w:r>
    </w:p>
    <w:p w:rsidR="008E3F15" w:rsidRDefault="005F449A">
      <w:pPr>
        <w:ind w:left="2" w:right="15"/>
      </w:pPr>
      <w:r>
        <w:t>Поэтому промежуточный этап позволяет не переполнять госпиталь и реанимационное отделение пациентами низкого риска и во многих случаях направлять пациентов для амбулаторного лечения.</w:t>
      </w:r>
    </w:p>
    <w:p w:rsidR="008E3F15" w:rsidRDefault="005F449A">
      <w:pPr>
        <w:ind w:left="2" w:right="15"/>
      </w:pPr>
      <w:r>
        <w:t>При отсутствии возможности уточнить диагноз до госпитализации врачи нередк</w:t>
      </w:r>
      <w:r>
        <w:t>о оформляют диагноз «нестабильная стенокардия» без достаточных оснований, избегая отказа страховых компаний от оплаты случаев с «непрофильным» диагнозом. Такой подход нередко влечет активное лечение пациента, не имеющего острого коронарного заболевания. От</w:t>
      </w:r>
      <w:r>
        <w:t>деления неотложной помощи должны иметь возможность длительного наблюдения за пациентом, необходимую оперативную лабораторную поддержку.</w:t>
      </w:r>
    </w:p>
    <w:p w:rsidR="008E3F15" w:rsidRDefault="005F449A">
      <w:pPr>
        <w:ind w:left="2" w:right="15"/>
      </w:pPr>
      <w:r>
        <w:rPr>
          <w:i/>
        </w:rPr>
        <w:t>ЭКГ.</w:t>
      </w:r>
      <w:r>
        <w:t xml:space="preserve"> Только 35% пациентов с окончательным диагнозом ИМп</w:t>
      </w:r>
      <w:r>
        <w:rPr>
          <w:i/>
        </w:rPr>
        <w:t>ST</w:t>
      </w:r>
      <w:r>
        <w:t xml:space="preserve"> были правильно классифицированы на основании ЭКГ-критериев в о</w:t>
      </w:r>
      <w:r>
        <w:t xml:space="preserve">тделении неотложной помощи, что связано с ранним или поздним подъемом </w:t>
      </w:r>
      <w:r>
        <w:rPr>
          <w:i/>
        </w:rPr>
        <w:t>ST</w:t>
      </w:r>
      <w:r>
        <w:t xml:space="preserve">, некорректным измерением, пограничным повышением </w:t>
      </w:r>
      <w:r>
        <w:rPr>
          <w:i/>
        </w:rPr>
        <w:t>ST</w:t>
      </w:r>
      <w:r>
        <w:t xml:space="preserve"> или задне базальной локализацией (Hillinger P. et al., 2019). Например, у 11% пациентов с ИМп</w:t>
      </w:r>
      <w:r>
        <w:rPr>
          <w:i/>
        </w:rPr>
        <w:t>ST</w:t>
      </w:r>
      <w:r>
        <w:t xml:space="preserve"> первоначальная ЭКГ была недиагности</w:t>
      </w:r>
      <w:r>
        <w:t xml:space="preserve">ческой, а через 90 мин в 72% появились типичные изменения (Riley R. et al., 2013). Поэтому в первые часы при неясном диагнозе целесообразны повторные регистрации ЭКГ с интервалом 30–60 мин. В случаях стойкого дискомфорта в груди и отсутствия подъема </w:t>
      </w:r>
      <w:r>
        <w:rPr>
          <w:i/>
        </w:rPr>
        <w:t>ST</w:t>
      </w:r>
      <w:r>
        <w:t xml:space="preserve"> на </w:t>
      </w:r>
      <w:r>
        <w:t>ЭКГ (и даже без существенных изменений) важнейшее значение для выявления ИМ имеет повышение и последующее снижение уровня биомаркеров сердца в крови.</w:t>
      </w:r>
    </w:p>
    <w:p w:rsidR="008E3F15" w:rsidRDefault="005F449A">
      <w:pPr>
        <w:ind w:left="2" w:right="549"/>
      </w:pPr>
      <w:r>
        <w:rPr>
          <w:i/>
        </w:rPr>
        <w:t>Сердечные биомаркеры.</w:t>
      </w:r>
      <w:r>
        <w:t xml:space="preserve"> При нормальном уровне креатинкиназы МВ в трети случаев определяется повышение тропон</w:t>
      </w:r>
      <w:r>
        <w:t xml:space="preserve">ина, позволяя диагностировать ИМ как состояние с повышенным краткосрочным и долгосрочным риском смерти. Частота ССЗ в течение ближайших двух лет у пациентов с ИМ без подъема </w:t>
      </w:r>
      <w:r>
        <w:rPr>
          <w:i/>
        </w:rPr>
        <w:t>ST</w:t>
      </w:r>
      <w:r>
        <w:t xml:space="preserve"> была в 2 раза выше по сравнению с имевшими нестабильную СК (EPICOR Asia).</w:t>
      </w:r>
    </w:p>
    <w:p w:rsidR="008E3F15" w:rsidRDefault="005F449A">
      <w:pPr>
        <w:ind w:left="2" w:right="15"/>
      </w:pPr>
      <w:r>
        <w:t>Креат</w:t>
      </w:r>
      <w:r>
        <w:t>инкиназа МВ, которая снижается в крови быстрее тропонина, может быть полезна для диагностики раннего рецидива ИМ.</w:t>
      </w:r>
    </w:p>
    <w:p w:rsidR="008E3F15" w:rsidRDefault="005F449A">
      <w:pPr>
        <w:ind w:left="2" w:right="15"/>
      </w:pPr>
      <w:r>
        <w:t xml:space="preserve">Сердечные биомаркеры, определяемые невысокочувствительными тестами, в первые часы повышаются нечасто. Например, тропонин Т выявляется при ИМ в первые 4 ч только в 50% случаев. Оптимальным считают время взятия анализа на тропонин невысокой чувствительности </w:t>
      </w:r>
      <w:r>
        <w:t>через 6–9 ч после начала последних симптомов, предположительно связанных с ишемией мио карда.</w:t>
      </w:r>
    </w:p>
    <w:p w:rsidR="008E3F15" w:rsidRDefault="005F449A">
      <w:pPr>
        <w:ind w:left="2" w:right="15"/>
      </w:pPr>
      <w:r>
        <w:t>В случае использования аппаратов для экспресс-анализа тропонина следует учитывать сниженную чувствительность тестов и значительную вариабельность с частотой ложно</w:t>
      </w:r>
      <w:r>
        <w:t>отрицательных результатов от 32 до 74% (Palamalai V. et al., 2013).</w:t>
      </w:r>
    </w:p>
    <w:p w:rsidR="008E3F15" w:rsidRDefault="005F449A">
      <w:pPr>
        <w:ind w:left="2" w:right="15"/>
      </w:pPr>
      <w:r>
        <w:t>Важную роль в ранней диагностике ИМ без типичной клиники, изменений на ЭКГ играет высокочувствительный тропонин, определяемый в центральной лаборатории (</w:t>
      </w:r>
      <w:r>
        <w:rPr>
          <w:b/>
        </w:rPr>
        <w:t>табл. 1.6</w:t>
      </w:r>
      <w:r>
        <w:t>). Необходимо стремиться к</w:t>
      </w:r>
      <w:r>
        <w:t xml:space="preserve"> получению результатов теста до 60 мин от забора крови (AACC).</w:t>
      </w:r>
    </w:p>
    <w:p w:rsidR="008E3F15" w:rsidRDefault="005F449A">
      <w:pPr>
        <w:spacing w:after="31"/>
        <w:ind w:left="2" w:right="15"/>
      </w:pPr>
      <w:r>
        <w:rPr>
          <w:b/>
        </w:rPr>
        <w:t xml:space="preserve">Таблица 1.6. </w:t>
      </w:r>
      <w:r>
        <w:t>Время повышения уровня маркеров некроза при ИМ (AACC; van Beek D. et al., 2016)</w:t>
      </w:r>
    </w:p>
    <w:tbl>
      <w:tblPr>
        <w:tblStyle w:val="TableGrid"/>
        <w:tblW w:w="8325" w:type="dxa"/>
        <w:tblInd w:w="30" w:type="dxa"/>
        <w:tblCellMar>
          <w:top w:w="80" w:type="dxa"/>
          <w:left w:w="38" w:type="dxa"/>
          <w:bottom w:w="0" w:type="dxa"/>
          <w:right w:w="44" w:type="dxa"/>
        </w:tblCellMar>
        <w:tblLook w:val="04A0" w:firstRow="1" w:lastRow="0" w:firstColumn="1" w:lastColumn="0" w:noHBand="0" w:noVBand="1"/>
      </w:tblPr>
      <w:tblGrid>
        <w:gridCol w:w="4020"/>
        <w:gridCol w:w="1245"/>
        <w:gridCol w:w="840"/>
        <w:gridCol w:w="2220"/>
      </w:tblGrid>
      <w:tr w:rsidR="008E3F15">
        <w:trPr>
          <w:trHeight w:val="330"/>
        </w:trPr>
        <w:tc>
          <w:tcPr>
            <w:tcW w:w="4020"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7" w:right="0" w:firstLine="0"/>
            </w:pPr>
            <w:r>
              <w:rPr>
                <w:b/>
              </w:rPr>
              <w:t>Маркер</w:t>
            </w:r>
          </w:p>
        </w:tc>
        <w:tc>
          <w:tcPr>
            <w:tcW w:w="4305" w:type="dxa"/>
            <w:gridSpan w:val="3"/>
            <w:tcBorders>
              <w:top w:val="single" w:sz="6" w:space="0" w:color="000000"/>
              <w:left w:val="nil"/>
              <w:bottom w:val="single" w:sz="6" w:space="0" w:color="000000"/>
              <w:right w:val="single" w:sz="6" w:space="0" w:color="000000"/>
            </w:tcBorders>
          </w:tcPr>
          <w:p w:rsidR="008E3F15" w:rsidRDefault="005F449A">
            <w:pPr>
              <w:spacing w:after="0" w:line="259" w:lineRule="auto"/>
              <w:ind w:left="4" w:right="0" w:firstLine="0"/>
              <w:jc w:val="both"/>
            </w:pPr>
            <w:r>
              <w:rPr>
                <w:b/>
                <w:bdr w:val="single" w:sz="12" w:space="0" w:color="000000"/>
              </w:rPr>
              <w:t>Начало, ч Пик, ч Длительность, сут</w:t>
            </w:r>
          </w:p>
        </w:tc>
      </w:tr>
      <w:tr w:rsidR="008E3F15">
        <w:trPr>
          <w:trHeight w:val="330"/>
        </w:trPr>
        <w:tc>
          <w:tcPr>
            <w:tcW w:w="4020"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7" w:right="0" w:firstLine="0"/>
              <w:jc w:val="both"/>
            </w:pPr>
            <w:r>
              <w:rPr>
                <w:bdr w:val="single" w:sz="12" w:space="0" w:color="000000"/>
              </w:rPr>
              <w:t>Высокочувствительный тропонин T</w:t>
            </w:r>
          </w:p>
          <w:p w:rsidR="008E3F15" w:rsidRDefault="005F449A">
            <w:pPr>
              <w:spacing w:after="0" w:line="259" w:lineRule="auto"/>
              <w:ind w:left="7" w:right="0" w:firstLine="0"/>
              <w:jc w:val="both"/>
            </w:pPr>
            <w:r>
              <w:rPr>
                <w:bdr w:val="single" w:sz="12" w:space="0" w:color="000000"/>
              </w:rPr>
              <w:t>Высокочувствительный тропонин I</w:t>
            </w:r>
          </w:p>
        </w:tc>
        <w:tc>
          <w:tcPr>
            <w:tcW w:w="124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4" w:right="0" w:firstLine="0"/>
            </w:pPr>
            <w:r>
              <w:t>1</w:t>
            </w:r>
          </w:p>
        </w:tc>
        <w:tc>
          <w:tcPr>
            <w:tcW w:w="8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c>
          <w:tcPr>
            <w:tcW w:w="22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10–14</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12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4" w:right="0" w:firstLine="0"/>
            </w:pPr>
            <w:r>
              <w:t>1</w:t>
            </w:r>
          </w:p>
        </w:tc>
        <w:tc>
          <w:tcPr>
            <w:tcW w:w="8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4–7</w:t>
            </w:r>
          </w:p>
        </w:tc>
      </w:tr>
      <w:tr w:rsidR="008E3F15">
        <w:trPr>
          <w:trHeight w:val="330"/>
        </w:trPr>
        <w:tc>
          <w:tcPr>
            <w:tcW w:w="40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Креатинкиназа МВ</w:t>
            </w:r>
          </w:p>
        </w:tc>
        <w:tc>
          <w:tcPr>
            <w:tcW w:w="12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4</w:t>
            </w:r>
          </w:p>
        </w:tc>
        <w:tc>
          <w:tcPr>
            <w:tcW w:w="8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24</w:t>
            </w:r>
          </w:p>
        </w:tc>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1–3</w:t>
            </w:r>
          </w:p>
        </w:tc>
      </w:tr>
    </w:tbl>
    <w:p w:rsidR="008E3F15" w:rsidRDefault="005F449A">
      <w:pPr>
        <w:ind w:left="2" w:right="15"/>
      </w:pPr>
      <w:r>
        <w:t>Диагностический уровень тропонинов (99 перцентиль контрольной группы), определенный мнением экспертов на основании наблюдательных исследований, соответствует уровню, выше которого заметно повышается смертность.</w:t>
      </w:r>
    </w:p>
    <w:p w:rsidR="008E3F15" w:rsidRDefault="005F449A">
      <w:pPr>
        <w:ind w:left="2" w:right="15"/>
      </w:pPr>
      <w:r>
        <w:t>Тесты на высокочувствительный тропонин реагируют раньше и позволяют выявить большее число пациентов с повышенным риском по сравнению с менее чувствительными тестами</w:t>
      </w:r>
    </w:p>
    <w:p w:rsidR="008E3F15" w:rsidRDefault="005F449A">
      <w:pPr>
        <w:spacing w:after="0" w:line="259" w:lineRule="auto"/>
        <w:ind w:left="2" w:right="0"/>
      </w:pPr>
      <w:r>
        <w:t>(</w:t>
      </w:r>
      <w:r>
        <w:rPr>
          <w:b/>
        </w:rPr>
        <w:t>рис. 1.6</w:t>
      </w:r>
      <w:r>
        <w:t>).</w:t>
      </w:r>
    </w:p>
    <w:p w:rsidR="008E3F15" w:rsidRDefault="005F449A">
      <w:pPr>
        <w:spacing w:after="65" w:line="259" w:lineRule="auto"/>
        <w:ind w:left="0" w:right="0" w:firstLine="0"/>
      </w:pPr>
      <w:r>
        <w:rPr>
          <w:noProof/>
        </w:rPr>
        <w:drawing>
          <wp:inline distT="0" distB="0" distL="0" distR="0">
            <wp:extent cx="5057775" cy="2857500"/>
            <wp:effectExtent l="0" t="0" r="0" b="0"/>
            <wp:docPr id="1249" name="Picture 1249"/>
            <wp:cNvGraphicFramePr/>
            <a:graphic xmlns:a="http://schemas.openxmlformats.org/drawingml/2006/main">
              <a:graphicData uri="http://schemas.openxmlformats.org/drawingml/2006/picture">
                <pic:pic xmlns:pic="http://schemas.openxmlformats.org/drawingml/2006/picture">
                  <pic:nvPicPr>
                    <pic:cNvPr id="1249" name="Picture 1249"/>
                    <pic:cNvPicPr/>
                  </pic:nvPicPr>
                  <pic:blipFill>
                    <a:blip r:embed="rId12"/>
                    <a:stretch>
                      <a:fillRect/>
                    </a:stretch>
                  </pic:blipFill>
                  <pic:spPr>
                    <a:xfrm>
                      <a:off x="0" y="0"/>
                      <a:ext cx="5057775" cy="2857500"/>
                    </a:xfrm>
                    <a:prstGeom prst="rect">
                      <a:avLst/>
                    </a:prstGeom>
                  </pic:spPr>
                </pic:pic>
              </a:graphicData>
            </a:graphic>
          </wp:inline>
        </w:drawing>
      </w:r>
    </w:p>
    <w:p w:rsidR="008E3F15" w:rsidRDefault="005F449A">
      <w:pPr>
        <w:ind w:left="2" w:right="15"/>
      </w:pPr>
      <w:r>
        <w:rPr>
          <w:b/>
        </w:rPr>
        <w:t xml:space="preserve">Рис. 1.6. </w:t>
      </w:r>
      <w:r>
        <w:t>Нижний порог оценки уровня тропонина Т в различных тестах. Линией о</w:t>
      </w:r>
      <w:r>
        <w:t>тмечено референтное (99%) значение теста 5-го поколения hs-TnT Elecsys</w:t>
      </w:r>
    </w:p>
    <w:p w:rsidR="008E3F15" w:rsidRDefault="005F449A">
      <w:pPr>
        <w:ind w:left="2" w:right="713"/>
      </w:pPr>
      <w:r>
        <w:t>В отличие от тропонина Т диагностический уровень тропонина I существенно зависит от производителя тест-системы.</w:t>
      </w:r>
    </w:p>
    <w:p w:rsidR="008E3F15" w:rsidRDefault="005F449A">
      <w:pPr>
        <w:spacing w:after="359"/>
        <w:ind w:left="2" w:right="648"/>
      </w:pPr>
      <w:r>
        <w:t>Использование разных тест-систем на высокочувствительные тропонины у паци</w:t>
      </w:r>
      <w:r>
        <w:t>ентов с промежуточной вероятностью ОКС показало существенные различия в ранжировании пациентов, что привело к совпадению рекомендаций по ведению только в 75% случаев (ROMICAT-II).</w:t>
      </w:r>
    </w:p>
    <w:p w:rsidR="008E3F15" w:rsidRDefault="005F449A">
      <w:pPr>
        <w:pStyle w:val="Heading1"/>
        <w:ind w:left="2"/>
      </w:pPr>
      <w:r>
        <w:t>Часть I. Сердечно-сосудистые болезни</w:t>
      </w:r>
    </w:p>
    <w:p w:rsidR="008E3F15" w:rsidRDefault="005F449A">
      <w:pPr>
        <w:ind w:left="2" w:right="15"/>
      </w:pPr>
      <w:r>
        <w:t>В исследованиях показано, что пороговый</w:t>
      </w:r>
      <w:r>
        <w:t xml:space="preserve"> уровень высокочувствительного тропонина выше у мужчин в 1,2–2,4 раза и увеличивается с возрастом. (Krintus M. et al., 2015; de Bakker M. et al., 2023). Однако использование пороговых оценок, зависящих от пола, не улучшило прогноз ИМ (High-STEACS; Lowry M.</w:t>
      </w:r>
      <w:r>
        <w:t xml:space="preserve"> et al., 2023).</w:t>
      </w:r>
    </w:p>
    <w:p w:rsidR="008E3F15" w:rsidRDefault="005F449A">
      <w:pPr>
        <w:ind w:left="2" w:right="15"/>
      </w:pPr>
      <w:r>
        <w:t>В рандомизированном исследовании High-STEACS применение высокочувствительного тропонина позволило у 17% пациентов переклассифицировать ИМ или повреждение мио карда по сравнению с обычным тестом, но не изменило годовую частоту ИМ и сердечнос</w:t>
      </w:r>
      <w:r>
        <w:t>осудистой смерти. В другом исследовании внедрение в отделения неотложной помощи теста на высокочувствительный тропонин Т уменьшило время пребывания в отделении в среднем на 4,4 ч, при этом частота ИМ и смерти также не изменилась (Khan E. et al., 2022). Чем</w:t>
      </w:r>
      <w:r>
        <w:t xml:space="preserve"> выше уровень тропонина, тем больше вероятен ИМ по сравнению с другими заболеваниями. Например, при уровне тропонина Т &gt;80 нг/л очень высока вероятность ИМ (Mueller-Hennessen M. et al., 2017).</w:t>
      </w:r>
    </w:p>
    <w:p w:rsidR="008E3F15" w:rsidRDefault="005F449A">
      <w:pPr>
        <w:ind w:left="2" w:right="84"/>
      </w:pPr>
      <w:r>
        <w:t>В случае отрицательного результата или исходно повышенного уров</w:t>
      </w:r>
      <w:r>
        <w:t>ня (например, при дисфункции почек) тест на тропонин повторяют через 1–3 ч. Используют как абсолютные величины (чем выше уровень, тем выше риск), так и относительные изменения уровня высокочувствительного тропонина. Оценка высокочувствительного тропонина T</w:t>
      </w:r>
      <w:r>
        <w:t>/I в течение 1 ч у пациентов с продолжительностью дискомфорта в груди &gt;3 ч показала, что вероятность больших сердечно-сосудистых событий у 62% пациентов с исключенным ИМ в течение месяца составила всего 0,2% (</w:t>
      </w:r>
      <w:r>
        <w:rPr>
          <w:b/>
        </w:rPr>
        <w:t>рис. 1.7</w:t>
      </w:r>
      <w:r>
        <w:t>, Twerenbold R. et al., 2019).</w:t>
      </w:r>
    </w:p>
    <w:p w:rsidR="008E3F15" w:rsidRDefault="005F449A">
      <w:pPr>
        <w:spacing w:after="65" w:line="259" w:lineRule="auto"/>
        <w:ind w:left="0" w:right="0" w:firstLine="0"/>
      </w:pPr>
      <w:r>
        <w:rPr>
          <w:noProof/>
        </w:rPr>
        <w:drawing>
          <wp:inline distT="0" distB="0" distL="0" distR="0">
            <wp:extent cx="5057775" cy="3686175"/>
            <wp:effectExtent l="0" t="0" r="0" b="0"/>
            <wp:docPr id="1301" name="Picture 1301"/>
            <wp:cNvGraphicFramePr/>
            <a:graphic xmlns:a="http://schemas.openxmlformats.org/drawingml/2006/main">
              <a:graphicData uri="http://schemas.openxmlformats.org/drawingml/2006/picture">
                <pic:pic xmlns:pic="http://schemas.openxmlformats.org/drawingml/2006/picture">
                  <pic:nvPicPr>
                    <pic:cNvPr id="1301" name="Picture 1301"/>
                    <pic:cNvPicPr/>
                  </pic:nvPicPr>
                  <pic:blipFill>
                    <a:blip r:embed="rId13"/>
                    <a:stretch>
                      <a:fillRect/>
                    </a:stretch>
                  </pic:blipFill>
                  <pic:spPr>
                    <a:xfrm>
                      <a:off x="0" y="0"/>
                      <a:ext cx="5057775" cy="3686175"/>
                    </a:xfrm>
                    <a:prstGeom prst="rect">
                      <a:avLst/>
                    </a:prstGeom>
                  </pic:spPr>
                </pic:pic>
              </a:graphicData>
            </a:graphic>
          </wp:inline>
        </w:drawing>
      </w:r>
    </w:p>
    <w:p w:rsidR="008E3F15" w:rsidRDefault="005F449A">
      <w:pPr>
        <w:ind w:left="2" w:right="15"/>
      </w:pPr>
      <w:r>
        <w:rPr>
          <w:b/>
        </w:rPr>
        <w:t>Рис. 1</w:t>
      </w:r>
      <w:r>
        <w:rPr>
          <w:b/>
        </w:rPr>
        <w:t xml:space="preserve">.7. </w:t>
      </w:r>
      <w:r>
        <w:t xml:space="preserve">Европейский алгоритм «0/1 час» госпитальной диагностики инфаркта мио карда без подъема </w:t>
      </w:r>
      <w:r>
        <w:rPr>
          <w:i/>
        </w:rPr>
        <w:t>ST</w:t>
      </w:r>
      <w:r>
        <w:t xml:space="preserve"> с помощью высокочувствительного тропонина (ESC). * — hs-cTnI-Architect Эффективность и безопасность протокола ESC 0/1 ч была подтверждена</w:t>
      </w:r>
    </w:p>
    <w:p w:rsidR="008E3F15" w:rsidRDefault="005F449A">
      <w:pPr>
        <w:ind w:left="2" w:right="89"/>
      </w:pPr>
      <w:r>
        <w:t>в рандомизированных иссл</w:t>
      </w:r>
      <w:r>
        <w:t>едованиях RAPID-TnT и HiSTORIC. Исключение ИМ в случае исходных очень низких значений высокочувствительного тропонина I (&lt;5 нг/л) позволило увеличить долю выписанных пациентов с 50 до 71% при сохранении краткосрочной и годовой безопасности (HiSTORIC). Испо</w:t>
      </w:r>
      <w:r>
        <w:t>льзовании однократного теста с уровнем тропонина I ниже порога определения (2 нг/л) более надежно исключает ИМ, чем порог 5 нг/л у пациентов до 3 ч от начала симптомов (Lowry M. et al., 2023).</w:t>
      </w:r>
    </w:p>
    <w:p w:rsidR="008E3F15" w:rsidRDefault="005F449A">
      <w:pPr>
        <w:spacing w:after="200"/>
        <w:ind w:left="2" w:right="15"/>
      </w:pPr>
      <w:r>
        <w:t>В случае невозможности определения тропонина через 1 ч использу</w:t>
      </w:r>
      <w:r>
        <w:t>ют протокол ESC 0/2 ч с иными критериями (тропонин Т &lt;5 нг/л или &lt;14 нг/л + прирост &lt;4 нг/л). Важно применять тропониновый алгоритм в контексте общей клинической картины и разных вариантов течения ОКС (ESC; APACE):</w:t>
      </w:r>
    </w:p>
    <w:p w:rsidR="008E3F15" w:rsidRDefault="005F449A">
      <w:pPr>
        <w:spacing w:after="31"/>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261892" name="Group 26189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18" name="Shape 1318"/>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68"/>
                                  <a:pt x="48781" y="8359"/>
                                </a:cubicBezTo>
                                <a:cubicBezTo>
                                  <a:pt x="51460" y="11026"/>
                                  <a:pt x="53525" y="14114"/>
                                  <a:pt x="54975" y="17624"/>
                                </a:cubicBezTo>
                                <a:cubicBezTo>
                                  <a:pt x="56425" y="21121"/>
                                  <a:pt x="57150" y="24767"/>
                                  <a:pt x="57150" y="28575"/>
                                </a:cubicBezTo>
                                <a:cubicBezTo>
                                  <a:pt x="57150" y="32358"/>
                                  <a:pt x="56425" y="36004"/>
                                  <a:pt x="54975" y="39501"/>
                                </a:cubicBezTo>
                                <a:cubicBezTo>
                                  <a:pt x="53525" y="42999"/>
                                  <a:pt x="51460" y="46087"/>
                                  <a:pt x="48781" y="48766"/>
                                </a:cubicBezTo>
                                <a:cubicBezTo>
                                  <a:pt x="46101" y="51445"/>
                                  <a:pt x="43011" y="53504"/>
                                  <a:pt x="39510" y="54942"/>
                                </a:cubicBezTo>
                                <a:cubicBezTo>
                                  <a:pt x="36009" y="56393"/>
                                  <a:pt x="32364" y="57138"/>
                                  <a:pt x="28575" y="57150"/>
                                </a:cubicBezTo>
                                <a:cubicBezTo>
                                  <a:pt x="24786" y="57138"/>
                                  <a:pt x="21141" y="56393"/>
                                  <a:pt x="17640" y="54942"/>
                                </a:cubicBezTo>
                                <a:cubicBezTo>
                                  <a:pt x="14139" y="53504"/>
                                  <a:pt x="11049" y="51445"/>
                                  <a:pt x="8369" y="48766"/>
                                </a:cubicBezTo>
                                <a:cubicBezTo>
                                  <a:pt x="5690" y="46087"/>
                                  <a:pt x="3625" y="42999"/>
                                  <a:pt x="2175" y="39489"/>
                                </a:cubicBezTo>
                                <a:cubicBezTo>
                                  <a:pt x="725" y="36004"/>
                                  <a:pt x="0" y="32358"/>
                                  <a:pt x="0" y="28575"/>
                                </a:cubicBezTo>
                                <a:cubicBezTo>
                                  <a:pt x="0" y="24767"/>
                                  <a:pt x="725" y="21121"/>
                                  <a:pt x="2175" y="17624"/>
                                </a:cubicBezTo>
                                <a:cubicBezTo>
                                  <a:pt x="3625" y="14114"/>
                                  <a:pt x="5690" y="11026"/>
                                  <a:pt x="8369" y="8359"/>
                                </a:cubicBezTo>
                                <a:cubicBezTo>
                                  <a:pt x="11049" y="5668"/>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61892" style="width:4.5pt;height:4.5pt;mso-position-horizontal-relative:char;mso-position-vertical-relative:line" coordsize="571,571">
                <v:shape id="Shape 1318" style="position:absolute;width:571;height:571;left:0;top:0;" coordsize="57150,57150" path="m28575,0c32364,0,36009,719,39510,2158c43011,3597,46101,5668,48781,8359c51460,11026,53525,14114,54975,17624c56425,21121,57150,24767,57150,28575c57150,32358,56425,36004,54975,39501c53525,42999,51460,46087,48781,48766c46101,51445,43011,53504,39510,54942c36009,56393,32364,57138,28575,57150c24786,57138,21141,56393,17640,54942c14139,53504,11049,51445,8369,48766c5690,46087,3625,42999,2175,39489c725,36004,0,32358,0,28575c0,24767,725,21121,2175,17624c3625,14114,5690,11026,8369,8359c11049,5668,14139,3597,17640,2158c21141,719,24786,0,28575,0x">
                  <v:stroke weight="0pt" endcap="flat" joinstyle="miter" miterlimit="10" on="false" color="#000000" opacity="0"/>
                  <v:fill on="true" color="#333333"/>
                </v:shape>
              </v:group>
            </w:pict>
          </mc:Fallback>
        </mc:AlternateContent>
      </w:r>
      <w:r>
        <w:t xml:space="preserve"> учет детальной характеристики боли/дискомфорта, ЭКГ, эхокардио графия;</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simplePos x="0" y="0"/>
                <wp:positionH relativeFrom="column">
                  <wp:posOffset>209550</wp:posOffset>
                </wp:positionH>
                <wp:positionV relativeFrom="paragraph">
                  <wp:posOffset>34764</wp:posOffset>
                </wp:positionV>
                <wp:extent cx="57150" cy="361950"/>
                <wp:effectExtent l="0" t="0" r="0" b="0"/>
                <wp:wrapSquare wrapText="bothSides"/>
                <wp:docPr id="252755" name="Group 25275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35" name="Shape 1335"/>
                        <wps:cNvSpPr/>
                        <wps:spPr>
                          <a:xfrm>
                            <a:off x="0" y="0"/>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34"/>
                                  <a:pt x="57150" y="24780"/>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38" name="Shape 1338"/>
                        <wps:cNvSpPr/>
                        <wps:spPr>
                          <a:xfrm>
                            <a:off x="0" y="304800"/>
                            <a:ext cx="57150" cy="57150"/>
                          </a:xfrm>
                          <a:custGeom>
                            <a:avLst/>
                            <a:gdLst/>
                            <a:ahLst/>
                            <a:cxnLst/>
                            <a:rect l="0" t="0" r="0" b="0"/>
                            <a:pathLst>
                              <a:path w="57150" h="57150">
                                <a:moveTo>
                                  <a:pt x="28575" y="0"/>
                                </a:moveTo>
                                <a:cubicBezTo>
                                  <a:pt x="32364" y="0"/>
                                  <a:pt x="36009" y="732"/>
                                  <a:pt x="39510" y="2170"/>
                                </a:cubicBezTo>
                                <a:cubicBezTo>
                                  <a:pt x="43011" y="3621"/>
                                  <a:pt x="46101" y="5680"/>
                                  <a:pt x="48781" y="8359"/>
                                </a:cubicBezTo>
                                <a:cubicBezTo>
                                  <a:pt x="51460" y="11038"/>
                                  <a:pt x="53525" y="14126"/>
                                  <a:pt x="54975" y="17624"/>
                                </a:cubicBezTo>
                                <a:cubicBezTo>
                                  <a:pt x="56425" y="21121"/>
                                  <a:pt x="57150" y="24767"/>
                                  <a:pt x="57150" y="28575"/>
                                </a:cubicBezTo>
                                <a:cubicBezTo>
                                  <a:pt x="57150" y="32358"/>
                                  <a:pt x="56425" y="35992"/>
                                  <a:pt x="54975" y="39501"/>
                                </a:cubicBezTo>
                                <a:cubicBezTo>
                                  <a:pt x="53525" y="42999"/>
                                  <a:pt x="51460" y="46087"/>
                                  <a:pt x="48781" y="48766"/>
                                </a:cubicBezTo>
                                <a:cubicBezTo>
                                  <a:pt x="46101" y="51445"/>
                                  <a:pt x="43011" y="53491"/>
                                  <a:pt x="39510" y="54955"/>
                                </a:cubicBezTo>
                                <a:cubicBezTo>
                                  <a:pt x="36009" y="56406"/>
                                  <a:pt x="32364" y="57138"/>
                                  <a:pt x="28575" y="57150"/>
                                </a:cubicBezTo>
                                <a:cubicBezTo>
                                  <a:pt x="24786" y="57138"/>
                                  <a:pt x="21141" y="56406"/>
                                  <a:pt x="17640" y="54955"/>
                                </a:cubicBezTo>
                                <a:cubicBezTo>
                                  <a:pt x="14139" y="53491"/>
                                  <a:pt x="11049" y="51445"/>
                                  <a:pt x="8369" y="48766"/>
                                </a:cubicBezTo>
                                <a:cubicBezTo>
                                  <a:pt x="5690" y="46087"/>
                                  <a:pt x="3625" y="42999"/>
                                  <a:pt x="2175" y="39501"/>
                                </a:cubicBezTo>
                                <a:cubicBezTo>
                                  <a:pt x="725" y="35992"/>
                                  <a:pt x="0" y="32358"/>
                                  <a:pt x="0" y="28575"/>
                                </a:cubicBezTo>
                                <a:cubicBezTo>
                                  <a:pt x="0" y="24767"/>
                                  <a:pt x="725" y="21121"/>
                                  <a:pt x="2175" y="17624"/>
                                </a:cubicBezTo>
                                <a:cubicBezTo>
                                  <a:pt x="3625" y="14126"/>
                                  <a:pt x="5690" y="11038"/>
                                  <a:pt x="8369" y="8359"/>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2755" style="width:4.5pt;height:28.5pt;position:absolute;mso-position-horizontal-relative:text;mso-position-horizontal:absolute;margin-left:16.5pt;mso-position-vertical-relative:text;margin-top:2.7373pt;" coordsize="571,3619">
                <v:shape id="Shape 1335" style="position:absolute;width:571;height:571;left:0;top:0;" coordsize="57150,57150" path="m28575,0c32364,0,36009,732,39510,2170c43011,3609,46101,5680,48781,8359c51460,11038,53525,14126,54975,17624c56425,21134,57150,24780,57150,28575c57150,32358,56425,35992,54975,39501c53525,42987,51460,46087,48781,48766c46101,51445,43011,53504,39510,54955c36009,56406,32364,57138,28575,57150c24786,57138,21141,56406,17640,54955c14139,53504,11049,51445,8369,48766c5690,46087,3625,42987,2175,39501c725,35992,0,32358,0,28575c0,24780,725,21134,2175,17624c3625,14126,5690,11038,8369,8359c11049,5680,14139,3609,17640,2170c21141,732,24786,0,28575,0x">
                  <v:stroke weight="0pt" endcap="flat" joinstyle="miter" miterlimit="10" on="false" color="#000000" opacity="0"/>
                  <v:fill on="true" color="#333333"/>
                </v:shape>
                <v:shape id="Shape 1338" style="position:absolute;width:571;height:571;left:0;top:3048;" coordsize="57150,57150" path="m28575,0c32364,0,36009,732,39510,2170c43011,3621,46101,5680,48781,8359c51460,11038,53525,14126,54975,17624c56425,21121,57150,24767,57150,28575c57150,32358,56425,35992,54975,39501c53525,42999,51460,46087,48781,48766c46101,51445,43011,53491,39510,54955c36009,56406,32364,57138,28575,57150c24786,57138,21141,56406,17640,54955c14139,53491,11049,51445,8369,48766c5690,46087,3625,42999,2175,39501c725,35992,0,32358,0,28575c0,24767,725,21121,2175,17624c3625,14126,5690,11038,8369,8359c11049,5680,14139,3621,17640,2170c21141,732,24786,0,28575,0x">
                  <v:stroke weight="0pt" endcap="flat" joinstyle="miter" miterlimit="10" on="false" color="#000000" opacity="0"/>
                  <v:fill on="true" color="#333333"/>
                </v:shape>
                <w10:wrap type="square"/>
              </v:group>
            </w:pict>
          </mc:Fallback>
        </mc:AlternateContent>
      </w:r>
      <w:r>
        <w:t>использование независимо от длительности боли. В случае ранних болей (&lt;1 ч) может быть целесообразным повторный тест через 3 ч;</w:t>
      </w:r>
    </w:p>
    <w:p w:rsidR="008E3F15" w:rsidRDefault="005F449A">
      <w:pPr>
        <w:ind w:left="340" w:right="15"/>
      </w:pPr>
      <w:r>
        <w:t>в редких случаях (~1%) возможно позднее повышение тропонина, поэтому при высокой вероятности ОКС или рецидиве болей повторяют тестирование.</w:t>
      </w:r>
    </w:p>
    <w:p w:rsidR="008E3F15" w:rsidRDefault="005F449A">
      <w:pPr>
        <w:ind w:left="2" w:right="15"/>
      </w:pPr>
      <w:r>
        <w:t>Краткость наблюдения, небольшое изменение уровня тропонина (например, до 3–5 нг/л), наличие выраженной коморбидности</w:t>
      </w:r>
      <w:r>
        <w:t xml:space="preserve"> могут снизить точность диагностики (Crea F. et al., 2016). Увеличение диагностического прироста увеличивает специфичность, но снижает чувствительность.</w:t>
      </w:r>
    </w:p>
    <w:p w:rsidR="008E3F15" w:rsidRDefault="005F449A">
      <w:pPr>
        <w:ind w:left="2" w:right="667"/>
      </w:pPr>
      <w:r>
        <w:t>Следует отметить, что динамика тропонина существенно отличается в разных ситуациях: пиковый уровень тро</w:t>
      </w:r>
      <w:r>
        <w:t>понина после успешной реперфузии регистрируется после 6 ч (со вторым пиком к 24 ч), при ИМ 1-го типа без реперфузии — после 12 ч и при ИМ 5го типа — после 72 ч (van Beek D. et al., 2016).</w:t>
      </w:r>
    </w:p>
    <w:p w:rsidR="008E3F15" w:rsidRDefault="005F449A">
      <w:pPr>
        <w:ind w:left="2" w:right="15"/>
      </w:pPr>
      <w:r>
        <w:t>При ИМ 2-го типа уровень тропонина в среднем ниже, чем при ИМ 1-го т</w:t>
      </w:r>
      <w:r>
        <w:t>ипа (Nestelberger T. et al., 2021).</w:t>
      </w:r>
    </w:p>
    <w:p w:rsidR="008E3F15" w:rsidRDefault="005F449A">
      <w:pPr>
        <w:spacing w:after="31"/>
        <w:ind w:left="2" w:right="15"/>
      </w:pPr>
      <w:r>
        <w:t>Уровень тропонина повышается при многих состояниях, не связанных</w:t>
      </w:r>
    </w:p>
    <w:p w:rsidR="008E3F15" w:rsidRDefault="005F449A">
      <w:pPr>
        <w:ind w:left="2" w:right="15"/>
      </w:pPr>
      <w:r>
        <w:t>с атеротромботическим ОКС, например при выраженной СН (острой и хронической), ЛЭ, гипертоническом кризе, расслоении аорты, тахи- и брадиаритмиях, дисфункци</w:t>
      </w:r>
      <w:r>
        <w:t>и почек, мио кардите, гипотиреозе и т.д.</w:t>
      </w:r>
    </w:p>
    <w:p w:rsidR="008E3F15" w:rsidRDefault="005F449A">
      <w:pPr>
        <w:ind w:left="2" w:right="260"/>
      </w:pPr>
      <w:r>
        <w:t>У пациентов с мышечными заболеваниями часто имеется персистирующее повышение в крови тропонина Т и креатинкиназы МВ при отсутствии других признаков ИМ и без увеличения кардиоспецифичного тропонина I (Rittoo D. et al</w:t>
      </w:r>
      <w:r>
        <w:t>., 2014; du Fay de Lavallaz J. et al., 2022).</w:t>
      </w:r>
    </w:p>
    <w:p w:rsidR="008E3F15" w:rsidRDefault="005F449A">
      <w:pPr>
        <w:ind w:left="2" w:right="15"/>
      </w:pPr>
      <w:r>
        <w:t xml:space="preserve">Повышение концентрации сердечного тропонина в отделении неотложной помощи зарегистрировано у 12,4% пациентов, поступивших без подозрения на ОКС, которые были расценены как ИМ 1-го типа (0,2%), 2-го типа (0,3%) </w:t>
      </w:r>
      <w:r>
        <w:t>и повреждение мио карда (11,9%) (Lee K. et al., 2019).</w:t>
      </w:r>
    </w:p>
    <w:p w:rsidR="008E3F15" w:rsidRDefault="005F449A">
      <w:pPr>
        <w:ind w:left="2" w:right="151"/>
      </w:pPr>
      <w:r>
        <w:rPr>
          <w:i/>
        </w:rPr>
        <w:t>Прогноз.</w:t>
      </w:r>
      <w:r>
        <w:t xml:space="preserve"> Диагностические протоколы и шкалы, включающие, наряду с тропонином, и другие предикторы (HEART, EDACS-ADP), могут улучшить прогнозирование ССЗ по сравнению с изолированной оценкой тропонинов (</w:t>
      </w:r>
      <w:r>
        <w:t>Wildi K. et al., 2017; Allen B. et al., 2021).</w:t>
      </w:r>
    </w:p>
    <w:p w:rsidR="008E3F15" w:rsidRDefault="005F449A">
      <w:pPr>
        <w:ind w:left="2" w:right="15"/>
      </w:pPr>
      <w:r>
        <w:t>Важно отметить, что у пациентов с неишемическим повреждением мио карда прогноз может быть таким же неблагоприятным, как и в случае ИМ.</w:t>
      </w:r>
    </w:p>
    <w:p w:rsidR="008E3F15" w:rsidRDefault="005F449A">
      <w:pPr>
        <w:spacing w:after="359"/>
        <w:ind w:left="2" w:right="15"/>
      </w:pPr>
      <w:r>
        <w:t>Некоторым пациентам низкого риска может потребоваться стресс-тест или комп</w:t>
      </w:r>
      <w:r>
        <w:t>ьютерная томографическая (КТ) ангиография (Kawatkar A. et al., 2020).</w:t>
      </w:r>
    </w:p>
    <w:p w:rsidR="008E3F15" w:rsidRDefault="005F449A">
      <w:pPr>
        <w:pStyle w:val="Heading1"/>
        <w:ind w:left="2"/>
      </w:pPr>
      <w:r>
        <w:t>Часть I. Сердечно-сосудистые болезни</w:t>
      </w:r>
    </w:p>
    <w:p w:rsidR="008E3F15" w:rsidRDefault="005F449A">
      <w:pPr>
        <w:spacing w:after="179"/>
        <w:ind w:left="2" w:right="5384"/>
      </w:pPr>
      <w:r>
        <w:t xml:space="preserve">Отделение интенсивной терапии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simplePos x="0" y="0"/>
                <wp:positionH relativeFrom="column">
                  <wp:posOffset>209550</wp:posOffset>
                </wp:positionH>
                <wp:positionV relativeFrom="paragraph">
                  <wp:posOffset>34764</wp:posOffset>
                </wp:positionV>
                <wp:extent cx="57150" cy="1304925"/>
                <wp:effectExtent l="0" t="0" r="0" b="0"/>
                <wp:wrapSquare wrapText="bothSides"/>
                <wp:docPr id="252756" name="Group 252756"/>
                <wp:cNvGraphicFramePr/>
                <a:graphic xmlns:a="http://schemas.openxmlformats.org/drawingml/2006/main">
                  <a:graphicData uri="http://schemas.microsoft.com/office/word/2010/wordprocessingGroup">
                    <wpg:wgp>
                      <wpg:cNvGrpSpPr/>
                      <wpg:grpSpPr>
                        <a:xfrm>
                          <a:off x="0" y="0"/>
                          <a:ext cx="57150" cy="1304925"/>
                          <a:chOff x="0" y="0"/>
                          <a:chExt cx="57150" cy="1304925"/>
                        </a:xfrm>
                      </wpg:grpSpPr>
                      <wps:wsp>
                        <wps:cNvPr id="1375" name="Shape 1375"/>
                        <wps:cNvSpPr/>
                        <wps:spPr>
                          <a:xfrm>
                            <a:off x="0" y="0"/>
                            <a:ext cx="57150" cy="57150"/>
                          </a:xfrm>
                          <a:custGeom>
                            <a:avLst/>
                            <a:gdLst/>
                            <a:ahLst/>
                            <a:cxnLst/>
                            <a:rect l="0" t="0" r="0" b="0"/>
                            <a:pathLst>
                              <a:path w="57150" h="57150">
                                <a:moveTo>
                                  <a:pt x="28575" y="0"/>
                                </a:moveTo>
                                <a:cubicBezTo>
                                  <a:pt x="32364" y="0"/>
                                  <a:pt x="36009" y="732"/>
                                  <a:pt x="39510" y="2170"/>
                                </a:cubicBezTo>
                                <a:cubicBezTo>
                                  <a:pt x="43011" y="3621"/>
                                  <a:pt x="46101" y="5680"/>
                                  <a:pt x="48781" y="8359"/>
                                </a:cubicBezTo>
                                <a:cubicBezTo>
                                  <a:pt x="51460" y="11038"/>
                                  <a:pt x="53525" y="14126"/>
                                  <a:pt x="54975" y="17624"/>
                                </a:cubicBezTo>
                                <a:cubicBezTo>
                                  <a:pt x="56425" y="21134"/>
                                  <a:pt x="57150" y="24780"/>
                                  <a:pt x="57150" y="28575"/>
                                </a:cubicBezTo>
                                <a:cubicBezTo>
                                  <a:pt x="57150" y="32358"/>
                                  <a:pt x="56425" y="35992"/>
                                  <a:pt x="54975" y="39501"/>
                                </a:cubicBezTo>
                                <a:cubicBezTo>
                                  <a:pt x="53525" y="42999"/>
                                  <a:pt x="51460" y="46087"/>
                                  <a:pt x="48781" y="48766"/>
                                </a:cubicBezTo>
                                <a:cubicBezTo>
                                  <a:pt x="46101" y="51445"/>
                                  <a:pt x="43011" y="53504"/>
                                  <a:pt x="39510" y="54955"/>
                                </a:cubicBezTo>
                                <a:cubicBezTo>
                                  <a:pt x="36009" y="56418"/>
                                  <a:pt x="32364" y="57138"/>
                                  <a:pt x="28575" y="57150"/>
                                </a:cubicBezTo>
                                <a:cubicBezTo>
                                  <a:pt x="24786" y="57138"/>
                                  <a:pt x="21141" y="56418"/>
                                  <a:pt x="17640" y="54967"/>
                                </a:cubicBezTo>
                                <a:cubicBezTo>
                                  <a:pt x="14139" y="53504"/>
                                  <a:pt x="11049" y="51445"/>
                                  <a:pt x="8369" y="48766"/>
                                </a:cubicBezTo>
                                <a:cubicBezTo>
                                  <a:pt x="5690" y="46087"/>
                                  <a:pt x="3625" y="42999"/>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7" name="Shape 1377"/>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597"/>
                                  <a:pt x="46101" y="5668"/>
                                  <a:pt x="48781" y="8359"/>
                                </a:cubicBezTo>
                                <a:cubicBezTo>
                                  <a:pt x="51460" y="11026"/>
                                  <a:pt x="53525" y="14126"/>
                                  <a:pt x="54975" y="17624"/>
                                </a:cubicBezTo>
                                <a:cubicBezTo>
                                  <a:pt x="56425" y="21121"/>
                                  <a:pt x="57150" y="24767"/>
                                  <a:pt x="57150" y="28575"/>
                                </a:cubicBezTo>
                                <a:cubicBezTo>
                                  <a:pt x="57150" y="32358"/>
                                  <a:pt x="56425" y="35992"/>
                                  <a:pt x="54975" y="39489"/>
                                </a:cubicBezTo>
                                <a:cubicBezTo>
                                  <a:pt x="53525" y="42999"/>
                                  <a:pt x="51460" y="46087"/>
                                  <a:pt x="48781" y="48766"/>
                                </a:cubicBezTo>
                                <a:cubicBezTo>
                                  <a:pt x="46101" y="51445"/>
                                  <a:pt x="43011" y="53504"/>
                                  <a:pt x="39510" y="54955"/>
                                </a:cubicBezTo>
                                <a:cubicBezTo>
                                  <a:pt x="36009" y="56418"/>
                                  <a:pt x="32364" y="57138"/>
                                  <a:pt x="28575" y="57150"/>
                                </a:cubicBezTo>
                                <a:cubicBezTo>
                                  <a:pt x="24786" y="57138"/>
                                  <a:pt x="21141" y="56418"/>
                                  <a:pt x="17640" y="54967"/>
                                </a:cubicBezTo>
                                <a:cubicBezTo>
                                  <a:pt x="14139" y="53504"/>
                                  <a:pt x="11049" y="51445"/>
                                  <a:pt x="8369" y="48766"/>
                                </a:cubicBezTo>
                                <a:cubicBezTo>
                                  <a:pt x="5690" y="46087"/>
                                  <a:pt x="3625" y="42999"/>
                                  <a:pt x="2175" y="39489"/>
                                </a:cubicBezTo>
                                <a:cubicBezTo>
                                  <a:pt x="725" y="35992"/>
                                  <a:pt x="0" y="32358"/>
                                  <a:pt x="0" y="28575"/>
                                </a:cubicBezTo>
                                <a:cubicBezTo>
                                  <a:pt x="0" y="24767"/>
                                  <a:pt x="725" y="21121"/>
                                  <a:pt x="2175" y="17624"/>
                                </a:cubicBezTo>
                                <a:cubicBezTo>
                                  <a:pt x="3625" y="14126"/>
                                  <a:pt x="5690" y="11026"/>
                                  <a:pt x="8369" y="8359"/>
                                </a:cubicBezTo>
                                <a:cubicBezTo>
                                  <a:pt x="11049" y="5668"/>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3" name="Shape 1383"/>
                        <wps:cNvSpPr/>
                        <wps:spPr>
                          <a:xfrm>
                            <a:off x="0" y="333375"/>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5992"/>
                                  <a:pt x="54975" y="39501"/>
                                </a:cubicBezTo>
                                <a:cubicBezTo>
                                  <a:pt x="53525" y="42999"/>
                                  <a:pt x="51460" y="46087"/>
                                  <a:pt x="48781" y="48778"/>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78"/>
                                </a:cubicBezTo>
                                <a:cubicBezTo>
                                  <a:pt x="5690" y="46087"/>
                                  <a:pt x="3625" y="42999"/>
                                  <a:pt x="2175" y="39501"/>
                                </a:cubicBezTo>
                                <a:cubicBezTo>
                                  <a:pt x="725" y="36004"/>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7" name="Shape 1387"/>
                        <wps:cNvSpPr/>
                        <wps:spPr>
                          <a:xfrm>
                            <a:off x="0" y="485775"/>
                            <a:ext cx="57150" cy="57150"/>
                          </a:xfrm>
                          <a:custGeom>
                            <a:avLst/>
                            <a:gdLst/>
                            <a:ahLst/>
                            <a:cxnLst/>
                            <a:rect l="0" t="0" r="0" b="0"/>
                            <a:pathLst>
                              <a:path w="57150" h="57150">
                                <a:moveTo>
                                  <a:pt x="28575" y="0"/>
                                </a:moveTo>
                                <a:cubicBezTo>
                                  <a:pt x="32364" y="0"/>
                                  <a:pt x="36009" y="732"/>
                                  <a:pt x="39510" y="2170"/>
                                </a:cubicBezTo>
                                <a:cubicBezTo>
                                  <a:pt x="43011" y="3621"/>
                                  <a:pt x="46101" y="5680"/>
                                  <a:pt x="48781" y="8359"/>
                                </a:cubicBezTo>
                                <a:cubicBezTo>
                                  <a:pt x="51460" y="11038"/>
                                  <a:pt x="53525" y="14126"/>
                                  <a:pt x="54975" y="17624"/>
                                </a:cubicBezTo>
                                <a:cubicBezTo>
                                  <a:pt x="56425" y="21121"/>
                                  <a:pt x="57150" y="24767"/>
                                  <a:pt x="57150" y="28575"/>
                                </a:cubicBezTo>
                                <a:cubicBezTo>
                                  <a:pt x="57150" y="32358"/>
                                  <a:pt x="56425" y="36004"/>
                                  <a:pt x="54975" y="39501"/>
                                </a:cubicBezTo>
                                <a:cubicBezTo>
                                  <a:pt x="53525" y="42999"/>
                                  <a:pt x="51460" y="46087"/>
                                  <a:pt x="48781" y="48766"/>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66"/>
                                </a:cubicBezTo>
                                <a:cubicBezTo>
                                  <a:pt x="5690" y="46087"/>
                                  <a:pt x="3625" y="42999"/>
                                  <a:pt x="2175" y="39501"/>
                                </a:cubicBezTo>
                                <a:cubicBezTo>
                                  <a:pt x="725" y="36004"/>
                                  <a:pt x="0" y="32358"/>
                                  <a:pt x="0" y="28575"/>
                                </a:cubicBezTo>
                                <a:cubicBezTo>
                                  <a:pt x="0" y="24767"/>
                                  <a:pt x="725" y="21121"/>
                                  <a:pt x="2175" y="17624"/>
                                </a:cubicBezTo>
                                <a:cubicBezTo>
                                  <a:pt x="3625" y="14126"/>
                                  <a:pt x="5690" y="11038"/>
                                  <a:pt x="8369" y="8359"/>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9" name="Shape 1389"/>
                        <wps:cNvSpPr/>
                        <wps:spPr>
                          <a:xfrm>
                            <a:off x="0" y="638175"/>
                            <a:ext cx="57150" cy="57150"/>
                          </a:xfrm>
                          <a:custGeom>
                            <a:avLst/>
                            <a:gdLst/>
                            <a:ahLst/>
                            <a:cxnLst/>
                            <a:rect l="0" t="0" r="0" b="0"/>
                            <a:pathLst>
                              <a:path w="57150" h="57150">
                                <a:moveTo>
                                  <a:pt x="28575" y="0"/>
                                </a:moveTo>
                                <a:cubicBezTo>
                                  <a:pt x="32364" y="0"/>
                                  <a:pt x="36009" y="719"/>
                                  <a:pt x="39510" y="2146"/>
                                </a:cubicBezTo>
                                <a:cubicBezTo>
                                  <a:pt x="43011" y="3609"/>
                                  <a:pt x="46101" y="5680"/>
                                  <a:pt x="48781" y="8359"/>
                                </a:cubicBezTo>
                                <a:cubicBezTo>
                                  <a:pt x="51460" y="11026"/>
                                  <a:pt x="53525" y="14126"/>
                                  <a:pt x="54975" y="17624"/>
                                </a:cubicBezTo>
                                <a:cubicBezTo>
                                  <a:pt x="56425" y="21121"/>
                                  <a:pt x="57150" y="24767"/>
                                  <a:pt x="57150" y="28575"/>
                                </a:cubicBezTo>
                                <a:cubicBezTo>
                                  <a:pt x="57150" y="32358"/>
                                  <a:pt x="56425" y="36004"/>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6004"/>
                                  <a:pt x="0" y="32358"/>
                                  <a:pt x="0" y="28575"/>
                                </a:cubicBezTo>
                                <a:cubicBezTo>
                                  <a:pt x="0" y="24767"/>
                                  <a:pt x="725" y="21121"/>
                                  <a:pt x="2175" y="17624"/>
                                </a:cubicBezTo>
                                <a:cubicBezTo>
                                  <a:pt x="3625" y="14126"/>
                                  <a:pt x="5690" y="11026"/>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91" name="Shape 1391"/>
                        <wps:cNvSpPr/>
                        <wps:spPr>
                          <a:xfrm>
                            <a:off x="0" y="790575"/>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34"/>
                                  <a:pt x="57150" y="24780"/>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93" name="Shape 1393"/>
                        <wps:cNvSpPr/>
                        <wps:spPr>
                          <a:xfrm>
                            <a:off x="0" y="942975"/>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6004"/>
                                  <a:pt x="54975" y="39501"/>
                                </a:cubicBezTo>
                                <a:cubicBezTo>
                                  <a:pt x="53525" y="42999"/>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99"/>
                                  <a:pt x="2175" y="39501"/>
                                </a:cubicBezTo>
                                <a:cubicBezTo>
                                  <a:pt x="725" y="36004"/>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95" name="Shape 1395"/>
                        <wps:cNvSpPr/>
                        <wps:spPr>
                          <a:xfrm>
                            <a:off x="0" y="1095375"/>
                            <a:ext cx="57150" cy="57150"/>
                          </a:xfrm>
                          <a:custGeom>
                            <a:avLst/>
                            <a:gdLst/>
                            <a:ahLst/>
                            <a:cxnLst/>
                            <a:rect l="0" t="0" r="0" b="0"/>
                            <a:pathLst>
                              <a:path w="57150" h="57150">
                                <a:moveTo>
                                  <a:pt x="28575" y="0"/>
                                </a:moveTo>
                                <a:cubicBezTo>
                                  <a:pt x="32364" y="0"/>
                                  <a:pt x="36009" y="732"/>
                                  <a:pt x="39510" y="2170"/>
                                </a:cubicBezTo>
                                <a:cubicBezTo>
                                  <a:pt x="43011" y="3621"/>
                                  <a:pt x="46101" y="5680"/>
                                  <a:pt x="48781" y="8359"/>
                                </a:cubicBezTo>
                                <a:cubicBezTo>
                                  <a:pt x="51460" y="11038"/>
                                  <a:pt x="53525" y="14126"/>
                                  <a:pt x="54975" y="17624"/>
                                </a:cubicBezTo>
                                <a:cubicBezTo>
                                  <a:pt x="56425" y="21121"/>
                                  <a:pt x="57150" y="24767"/>
                                  <a:pt x="57150" y="28575"/>
                                </a:cubicBezTo>
                                <a:cubicBezTo>
                                  <a:pt x="57150" y="32358"/>
                                  <a:pt x="56425" y="35992"/>
                                  <a:pt x="54975" y="39501"/>
                                </a:cubicBezTo>
                                <a:cubicBezTo>
                                  <a:pt x="53525" y="42999"/>
                                  <a:pt x="51460" y="46087"/>
                                  <a:pt x="48781" y="48766"/>
                                </a:cubicBezTo>
                                <a:cubicBezTo>
                                  <a:pt x="46101" y="51445"/>
                                  <a:pt x="43011" y="53491"/>
                                  <a:pt x="39510" y="54955"/>
                                </a:cubicBezTo>
                                <a:cubicBezTo>
                                  <a:pt x="36009" y="56406"/>
                                  <a:pt x="32364" y="57138"/>
                                  <a:pt x="28575" y="57150"/>
                                </a:cubicBezTo>
                                <a:cubicBezTo>
                                  <a:pt x="24786" y="57138"/>
                                  <a:pt x="21141" y="56406"/>
                                  <a:pt x="17640" y="54955"/>
                                </a:cubicBezTo>
                                <a:cubicBezTo>
                                  <a:pt x="14139" y="53491"/>
                                  <a:pt x="11049" y="51445"/>
                                  <a:pt x="8369" y="48766"/>
                                </a:cubicBezTo>
                                <a:cubicBezTo>
                                  <a:pt x="5690" y="46087"/>
                                  <a:pt x="3625" y="42999"/>
                                  <a:pt x="2175" y="39501"/>
                                </a:cubicBezTo>
                                <a:cubicBezTo>
                                  <a:pt x="725" y="35992"/>
                                  <a:pt x="0" y="32358"/>
                                  <a:pt x="0" y="28575"/>
                                </a:cubicBezTo>
                                <a:cubicBezTo>
                                  <a:pt x="0" y="24767"/>
                                  <a:pt x="725" y="21121"/>
                                  <a:pt x="2175" y="17624"/>
                                </a:cubicBezTo>
                                <a:cubicBezTo>
                                  <a:pt x="3625" y="14126"/>
                                  <a:pt x="5690" y="11038"/>
                                  <a:pt x="8369" y="8359"/>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97" name="Shape 1397"/>
                        <wps:cNvSpPr/>
                        <wps:spPr>
                          <a:xfrm>
                            <a:off x="0" y="1247775"/>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34"/>
                                  <a:pt x="57150" y="24780"/>
                                  <a:pt x="57150" y="28575"/>
                                </a:cubicBezTo>
                                <a:cubicBezTo>
                                  <a:pt x="57150" y="32358"/>
                                  <a:pt x="56425" y="35992"/>
                                  <a:pt x="54975" y="39489"/>
                                </a:cubicBezTo>
                                <a:cubicBezTo>
                                  <a:pt x="53525" y="42999"/>
                                  <a:pt x="51460" y="46087"/>
                                  <a:pt x="48781" y="48766"/>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66"/>
                                </a:cubicBezTo>
                                <a:cubicBezTo>
                                  <a:pt x="5690" y="46087"/>
                                  <a:pt x="3625" y="42999"/>
                                  <a:pt x="2175" y="39489"/>
                                </a:cubicBezTo>
                                <a:cubicBezTo>
                                  <a:pt x="725" y="35992"/>
                                  <a:pt x="0" y="32358"/>
                                  <a:pt x="0" y="28575"/>
                                </a:cubicBezTo>
                                <a:cubicBezTo>
                                  <a:pt x="0" y="24780"/>
                                  <a:pt x="725" y="21134"/>
                                  <a:pt x="2175" y="17636"/>
                                </a:cubicBezTo>
                                <a:cubicBezTo>
                                  <a:pt x="3625" y="14126"/>
                                  <a:pt x="5690" y="11038"/>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2756" style="width:4.5pt;height:102.75pt;position:absolute;mso-position-horizontal-relative:text;mso-position-horizontal:absolute;margin-left:16.5pt;mso-position-vertical-relative:text;margin-top:2.7373pt;" coordsize="571,13049">
                <v:shape id="Shape 1375" style="position:absolute;width:571;height:571;left:0;top:0;" coordsize="57150,57150" path="m28575,0c32364,0,36009,732,39510,2170c43011,3621,46101,5680,48781,8359c51460,11038,53525,14126,54975,17624c56425,21134,57150,24780,57150,28575c57150,32358,56425,35992,54975,39501c53525,42999,51460,46087,48781,48766c46101,51445,43011,53504,39510,54955c36009,56418,32364,57138,28575,57150c24786,57138,21141,56418,17640,54967c14139,53504,11049,51445,8369,48766c5690,46087,3625,42999,2175,39501c725,35992,0,32358,0,28575c0,24780,725,21134,2175,17624c3625,14126,5690,11038,8369,8359c11049,5680,14139,3621,17640,2170c21141,732,24786,0,28575,0x">
                  <v:stroke weight="0pt" endcap="flat" joinstyle="miter" miterlimit="10" on="false" color="#000000" opacity="0"/>
                  <v:fill on="true" color="#333333"/>
                </v:shape>
                <v:shape id="Shape 1377" style="position:absolute;width:571;height:571;left:0;top:1524;" coordsize="57150,57150" path="m28575,0c32364,0,36009,719,39510,2158c43011,3597,46101,5668,48781,8359c51460,11026,53525,14126,54975,17624c56425,21121,57150,24767,57150,28575c57150,32358,56425,35992,54975,39489c53525,42999,51460,46087,48781,48766c46101,51445,43011,53504,39510,54955c36009,56418,32364,57138,28575,57150c24786,57138,21141,56418,17640,54967c14139,53504,11049,51445,8369,48766c5690,46087,3625,42999,2175,39489c725,35992,0,32358,0,28575c0,24767,725,21121,2175,17624c3625,14126,5690,11026,8369,8359c11049,5668,14139,3597,17640,2158c21141,719,24786,0,28575,0x">
                  <v:stroke weight="0pt" endcap="flat" joinstyle="miter" miterlimit="10" on="false" color="#000000" opacity="0"/>
                  <v:fill on="true" color="#333333"/>
                </v:shape>
                <v:shape id="Shape 1383" style="position:absolute;width:571;height:571;left:0;top:3333;" coordsize="57150,57150" path="m28575,0c32364,0,36009,732,39510,2170c43011,3609,46101,5680,48781,8359c51460,11038,53525,14126,54975,17624c56425,21121,57150,24767,57150,28575c57150,32358,56425,35992,54975,39501c53525,42999,51460,46087,48781,48778c46101,51445,43011,53516,39510,54967c36009,56418,32364,57138,28575,57150c24786,57138,21141,56418,17640,54967c14139,53516,11049,51445,8369,48778c5690,46087,3625,42999,2175,39501c725,36004,0,32358,0,28575c0,24767,725,21121,2175,17624c3625,14126,5690,11038,8369,8359c11049,5680,14139,3609,17640,2158c21141,719,24786,0,28575,0x">
                  <v:stroke weight="0pt" endcap="flat" joinstyle="miter" miterlimit="10" on="false" color="#000000" opacity="0"/>
                  <v:fill on="true" color="#333333"/>
                </v:shape>
                <v:shape id="Shape 1387" style="position:absolute;width:571;height:571;left:0;top:4857;" coordsize="57150,57150" path="m28575,0c32364,0,36009,732,39510,2170c43011,3621,46101,5680,48781,8359c51460,11038,53525,14126,54975,17624c56425,21121,57150,24767,57150,28575c57150,32358,56425,36004,54975,39501c53525,42999,51460,46087,48781,48766c46101,51445,43011,53516,39510,54967c36009,56418,32364,57138,28575,57150c24786,57138,21141,56418,17640,54967c14139,53516,11049,51445,8369,48766c5690,46087,3625,42999,2175,39501c725,36004,0,32358,0,28575c0,24767,725,21121,2175,17624c3625,14126,5690,11038,8369,8359c11049,5680,14139,3621,17640,2170c21141,732,24786,0,28575,0x">
                  <v:stroke weight="0pt" endcap="flat" joinstyle="miter" miterlimit="10" on="false" color="#000000" opacity="0"/>
                  <v:fill on="true" color="#333333"/>
                </v:shape>
                <v:shape id="Shape 1389" style="position:absolute;width:571;height:571;left:0;top:6381;" coordsize="57150,57150" path="m28575,0c32364,0,36009,719,39510,2146c43011,3609,46101,5680,48781,8359c51460,11026,53525,14126,54975,17624c56425,21121,57150,24767,57150,28575c57150,32358,56425,36004,54975,39501c53525,42987,51460,46087,48781,48766c46101,51445,43011,53504,39510,54955c36009,56406,32364,57138,28575,57150c24786,57138,21141,56406,17640,54955c14139,53504,11049,51445,8369,48766c5690,46087,3625,42987,2175,39501c725,36004,0,32358,0,28575c0,24767,725,21121,2175,17624c3625,14126,5690,11026,8369,8359c11049,5680,14139,3609,17640,2158c21141,719,24786,0,28575,0x">
                  <v:stroke weight="0pt" endcap="flat" joinstyle="miter" miterlimit="10" on="false" color="#000000" opacity="0"/>
                  <v:fill on="true" color="#333333"/>
                </v:shape>
                <v:shape id="Shape 1391" style="position:absolute;width:571;height:571;left:0;top:7905;" coordsize="57150,57150" path="m28575,0c32364,0,36009,732,39510,2170c43011,3609,46101,5680,48781,8359c51460,11038,53525,14126,54975,17624c56425,21134,57150,24780,57150,28575c57150,32358,56425,35992,54975,39501c53525,42987,51460,46087,48781,48766c46101,51445,43011,53504,39510,54955c36009,56406,32364,57138,28575,57150c24786,57138,21141,56406,17640,54955c14139,53504,11049,51445,8369,48766c5690,46087,3625,42987,2175,39501c725,35992,0,32358,0,28575c0,24780,725,21134,2175,17624c3625,14126,5690,11038,8369,8359c11049,5680,14139,3609,17640,2170c21141,732,24786,0,28575,0x">
                  <v:stroke weight="0pt" endcap="flat" joinstyle="miter" miterlimit="10" on="false" color="#000000" opacity="0"/>
                  <v:fill on="true" color="#333333"/>
                </v:shape>
                <v:shape id="Shape 1393" style="position:absolute;width:571;height:571;left:0;top:9429;" coordsize="57150,57150" path="m28575,0c32364,0,36009,732,39510,2170c43011,3609,46101,5680,48781,8359c51460,11038,53525,14126,54975,17624c56425,21121,57150,24767,57150,28575c57150,32358,56425,36004,54975,39501c53525,42999,51460,46087,48781,48766c46101,51445,43011,53504,39510,54955c36009,56406,32364,57138,28575,57150c24786,57138,21141,56406,17640,54955c14139,53504,11049,51445,8369,48766c5690,46087,3625,42999,2175,39501c725,36004,0,32358,0,28575c0,24767,725,21121,2175,17624c3625,14126,5690,11038,8369,8359c11049,5680,14139,3609,17640,2158c21141,719,24786,0,28575,0x">
                  <v:stroke weight="0pt" endcap="flat" joinstyle="miter" miterlimit="10" on="false" color="#000000" opacity="0"/>
                  <v:fill on="true" color="#333333"/>
                </v:shape>
                <v:shape id="Shape 1395" style="position:absolute;width:571;height:571;left:0;top:10953;" coordsize="57150,57150" path="m28575,0c32364,0,36009,732,39510,2170c43011,3621,46101,5680,48781,8359c51460,11038,53525,14126,54975,17624c56425,21121,57150,24767,57150,28575c57150,32358,56425,35992,54975,39501c53525,42999,51460,46087,48781,48766c46101,51445,43011,53491,39510,54955c36009,56406,32364,57138,28575,57150c24786,57138,21141,56406,17640,54955c14139,53491,11049,51445,8369,48766c5690,46087,3625,42999,2175,39501c725,35992,0,32358,0,28575c0,24767,725,21121,2175,17624c3625,14126,5690,11038,8369,8359c11049,5680,14139,3621,17640,2170c21141,732,24786,0,28575,0x">
                  <v:stroke weight="0pt" endcap="flat" joinstyle="miter" miterlimit="10" on="false" color="#000000" opacity="0"/>
                  <v:fill on="true" color="#333333"/>
                </v:shape>
                <v:shape id="Shape 1397" style="position:absolute;width:571;height:571;left:0;top:12477;" coordsize="57150,57150" path="m28575,0c32364,0,36009,732,39510,2170c43011,3609,46101,5680,48781,8359c51460,11038,53525,14126,54975,17624c56425,21134,57150,24780,57150,28575c57150,32358,56425,35992,54975,39489c53525,42999,51460,46087,48781,48766c46101,51445,43011,53516,39510,54967c36009,56418,32364,57138,28575,57150c24786,57138,21141,56418,17640,54967c14139,53516,11049,51445,8369,48766c5690,46087,3625,42999,2175,39489c725,35992,0,32358,0,28575c0,24780,725,21134,2175,17636c3625,14126,5690,11038,8369,8359c11049,5680,14139,3609,17640,2170c21141,732,24786,0,28575,0x">
                  <v:stroke weight="0pt" endcap="flat" joinstyle="miter" miterlimit="10" on="false" color="#000000" opacity="0"/>
                  <v:fill on="true" color="#333333"/>
                </v:shape>
                <w10:wrap type="square"/>
              </v:group>
            </w:pict>
          </mc:Fallback>
        </mc:AlternateContent>
      </w:r>
      <w:r>
        <w:t>ЭКГ в течение 10 мин.</w:t>
      </w:r>
    </w:p>
    <w:p w:rsidR="008E3F15" w:rsidRDefault="005F449A">
      <w:pPr>
        <w:spacing w:after="31"/>
        <w:ind w:left="340" w:right="15"/>
      </w:pPr>
      <w:r>
        <w:t>Мониторинг ЭКГ, АД, S</w:t>
      </w:r>
      <w:r>
        <w:rPr>
          <w:sz w:val="31"/>
          <w:vertAlign w:val="subscript"/>
        </w:rPr>
        <w:t>p</w:t>
      </w:r>
      <w:r>
        <w:t>O</w:t>
      </w:r>
      <w:r>
        <w:rPr>
          <w:sz w:val="31"/>
          <w:vertAlign w:val="subscript"/>
        </w:rPr>
        <w:t>2</w:t>
      </w:r>
      <w:r>
        <w:t>.</w:t>
      </w:r>
    </w:p>
    <w:p w:rsidR="008E3F15" w:rsidRDefault="005F449A">
      <w:pPr>
        <w:ind w:left="340" w:right="3482"/>
      </w:pPr>
      <w:r>
        <w:t>Высокочувствительный тропонин Т/I при ОКСбп</w:t>
      </w:r>
      <w:r>
        <w:rPr>
          <w:i/>
        </w:rPr>
        <w:t>ST</w:t>
      </w:r>
      <w:r>
        <w:t xml:space="preserve">. </w:t>
      </w:r>
      <w:r>
        <w:t>Шкала GRACE.</w:t>
      </w:r>
    </w:p>
    <w:p w:rsidR="008E3F15" w:rsidRDefault="005F449A">
      <w:pPr>
        <w:spacing w:after="31"/>
        <w:ind w:left="340" w:right="15"/>
      </w:pPr>
      <w:r>
        <w:t>Эхокардиография.</w:t>
      </w:r>
    </w:p>
    <w:p w:rsidR="008E3F15" w:rsidRDefault="005F449A">
      <w:pPr>
        <w:spacing w:after="31"/>
        <w:ind w:left="340" w:right="15"/>
      </w:pPr>
      <w:r>
        <w:t>Общий анализ крови: гемоглобин, гематокрит, эритроциты, тромбоциты.</w:t>
      </w:r>
    </w:p>
    <w:p w:rsidR="008E3F15" w:rsidRDefault="005F449A">
      <w:pPr>
        <w:spacing w:after="31"/>
        <w:ind w:left="340" w:right="15"/>
      </w:pPr>
      <w:r>
        <w:t>Калий, натрий, глюкоза, креатинин, расчетная скорость клубочковой фильтрации (рСКФ).</w:t>
      </w:r>
    </w:p>
    <w:p w:rsidR="008E3F15" w:rsidRDefault="005F449A">
      <w:pPr>
        <w:spacing w:after="31"/>
        <w:ind w:left="340" w:right="15"/>
      </w:pPr>
      <w:r>
        <w:t>Рентгенография грудной клетки.</w:t>
      </w:r>
    </w:p>
    <w:p w:rsidR="008E3F15" w:rsidRDefault="005F449A">
      <w:pPr>
        <w:spacing w:after="165"/>
        <w:ind w:left="340" w:right="15"/>
      </w:pPr>
      <w:r>
        <w:t>Противопоказания к антитромботической тера</w:t>
      </w:r>
      <w:r>
        <w:t>пии.</w:t>
      </w:r>
    </w:p>
    <w:p w:rsidR="008E3F15" w:rsidRDefault="005F449A">
      <w:pPr>
        <w:pStyle w:val="Heading2"/>
        <w:spacing w:after="16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65408" behindDoc="0" locked="0" layoutInCell="1" allowOverlap="1">
                <wp:simplePos x="0" y="0"/>
                <wp:positionH relativeFrom="column">
                  <wp:posOffset>209550</wp:posOffset>
                </wp:positionH>
                <wp:positionV relativeFrom="paragraph">
                  <wp:posOffset>32581</wp:posOffset>
                </wp:positionV>
                <wp:extent cx="57150" cy="1314450"/>
                <wp:effectExtent l="0" t="0" r="0" b="0"/>
                <wp:wrapSquare wrapText="bothSides"/>
                <wp:docPr id="252757" name="Group 252757"/>
                <wp:cNvGraphicFramePr/>
                <a:graphic xmlns:a="http://schemas.openxmlformats.org/drawingml/2006/main">
                  <a:graphicData uri="http://schemas.microsoft.com/office/word/2010/wordprocessingGroup">
                    <wpg:wgp>
                      <wpg:cNvGrpSpPr/>
                      <wpg:grpSpPr>
                        <a:xfrm>
                          <a:off x="0" y="0"/>
                          <a:ext cx="57150" cy="1314450"/>
                          <a:chOff x="0" y="0"/>
                          <a:chExt cx="57150" cy="1314450"/>
                        </a:xfrm>
                      </wpg:grpSpPr>
                      <wps:wsp>
                        <wps:cNvPr id="1400" name="Shape 1400"/>
                        <wps:cNvSpPr/>
                        <wps:spPr>
                          <a:xfrm>
                            <a:off x="0" y="0"/>
                            <a:ext cx="57150" cy="57150"/>
                          </a:xfrm>
                          <a:custGeom>
                            <a:avLst/>
                            <a:gdLst/>
                            <a:ahLst/>
                            <a:cxnLst/>
                            <a:rect l="0" t="0" r="0" b="0"/>
                            <a:pathLst>
                              <a:path w="57150" h="57150">
                                <a:moveTo>
                                  <a:pt x="28575" y="0"/>
                                </a:moveTo>
                                <a:cubicBezTo>
                                  <a:pt x="32364" y="0"/>
                                  <a:pt x="36009" y="732"/>
                                  <a:pt x="39510" y="2170"/>
                                </a:cubicBezTo>
                                <a:cubicBezTo>
                                  <a:pt x="43011" y="3621"/>
                                  <a:pt x="46101" y="5680"/>
                                  <a:pt x="48781" y="8372"/>
                                </a:cubicBezTo>
                                <a:cubicBezTo>
                                  <a:pt x="51460" y="11038"/>
                                  <a:pt x="53525" y="14126"/>
                                  <a:pt x="54975" y="17624"/>
                                </a:cubicBezTo>
                                <a:cubicBezTo>
                                  <a:pt x="56425" y="21134"/>
                                  <a:pt x="57150" y="24780"/>
                                  <a:pt x="57150" y="28575"/>
                                </a:cubicBezTo>
                                <a:cubicBezTo>
                                  <a:pt x="57150" y="32358"/>
                                  <a:pt x="56425" y="35992"/>
                                  <a:pt x="54975" y="39501"/>
                                </a:cubicBezTo>
                                <a:cubicBezTo>
                                  <a:pt x="53525" y="42999"/>
                                  <a:pt x="51460" y="46087"/>
                                  <a:pt x="48781" y="48778"/>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78"/>
                                </a:cubicBezTo>
                                <a:cubicBezTo>
                                  <a:pt x="5690" y="46087"/>
                                  <a:pt x="3625" y="42999"/>
                                  <a:pt x="2175" y="39501"/>
                                </a:cubicBezTo>
                                <a:cubicBezTo>
                                  <a:pt x="725" y="36004"/>
                                  <a:pt x="0" y="32358"/>
                                  <a:pt x="0" y="28575"/>
                                </a:cubicBezTo>
                                <a:cubicBezTo>
                                  <a:pt x="0" y="24780"/>
                                  <a:pt x="725" y="21134"/>
                                  <a:pt x="2175" y="17624"/>
                                </a:cubicBezTo>
                                <a:cubicBezTo>
                                  <a:pt x="3625" y="14126"/>
                                  <a:pt x="5690" y="11038"/>
                                  <a:pt x="8369" y="8372"/>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06" name="Shape 1406"/>
                        <wps:cNvSpPr/>
                        <wps:spPr>
                          <a:xfrm>
                            <a:off x="0" y="190500"/>
                            <a:ext cx="57150" cy="57150"/>
                          </a:xfrm>
                          <a:custGeom>
                            <a:avLst/>
                            <a:gdLst/>
                            <a:ahLst/>
                            <a:cxnLst/>
                            <a:rect l="0" t="0" r="0" b="0"/>
                            <a:pathLst>
                              <a:path w="57150" h="57150">
                                <a:moveTo>
                                  <a:pt x="28575" y="0"/>
                                </a:moveTo>
                                <a:cubicBezTo>
                                  <a:pt x="32364" y="0"/>
                                  <a:pt x="36009" y="719"/>
                                  <a:pt x="39510" y="2158"/>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5992"/>
                                  <a:pt x="54975" y="39489"/>
                                </a:cubicBezTo>
                                <a:cubicBezTo>
                                  <a:pt x="53525" y="42999"/>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99"/>
                                  <a:pt x="2175" y="39489"/>
                                </a:cubicBezTo>
                                <a:cubicBezTo>
                                  <a:pt x="725" y="35992"/>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08" name="Shape 1408"/>
                        <wps:cNvSpPr/>
                        <wps:spPr>
                          <a:xfrm>
                            <a:off x="0" y="342900"/>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26"/>
                                  <a:pt x="53525" y="14114"/>
                                  <a:pt x="54975" y="17624"/>
                                </a:cubicBezTo>
                                <a:cubicBezTo>
                                  <a:pt x="56425" y="21121"/>
                                  <a:pt x="57150" y="24780"/>
                                  <a:pt x="57150" y="28575"/>
                                </a:cubicBezTo>
                                <a:cubicBezTo>
                                  <a:pt x="57150" y="32358"/>
                                  <a:pt x="56425" y="36004"/>
                                  <a:pt x="54975" y="39501"/>
                                </a:cubicBezTo>
                                <a:cubicBezTo>
                                  <a:pt x="53525" y="42999"/>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99"/>
                                  <a:pt x="2175" y="39501"/>
                                </a:cubicBezTo>
                                <a:cubicBezTo>
                                  <a:pt x="725" y="36004"/>
                                  <a:pt x="0" y="32358"/>
                                  <a:pt x="0" y="28575"/>
                                </a:cubicBezTo>
                                <a:cubicBezTo>
                                  <a:pt x="0" y="24780"/>
                                  <a:pt x="725" y="21121"/>
                                  <a:pt x="2175" y="17624"/>
                                </a:cubicBezTo>
                                <a:cubicBezTo>
                                  <a:pt x="3625" y="14114"/>
                                  <a:pt x="5690" y="11026"/>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0" name="Shape 1410"/>
                        <wps:cNvSpPr/>
                        <wps:spPr>
                          <a:xfrm>
                            <a:off x="0" y="495300"/>
                            <a:ext cx="57150" cy="57150"/>
                          </a:xfrm>
                          <a:custGeom>
                            <a:avLst/>
                            <a:gdLst/>
                            <a:ahLst/>
                            <a:cxnLst/>
                            <a:rect l="0" t="0" r="0" b="0"/>
                            <a:pathLst>
                              <a:path w="57150" h="57150">
                                <a:moveTo>
                                  <a:pt x="28575" y="0"/>
                                </a:moveTo>
                                <a:cubicBezTo>
                                  <a:pt x="32364" y="0"/>
                                  <a:pt x="36009" y="732"/>
                                  <a:pt x="39510" y="2183"/>
                                </a:cubicBezTo>
                                <a:cubicBezTo>
                                  <a:pt x="43011" y="3621"/>
                                  <a:pt x="46101" y="5680"/>
                                  <a:pt x="48781" y="8372"/>
                                </a:cubicBezTo>
                                <a:cubicBezTo>
                                  <a:pt x="51460" y="11038"/>
                                  <a:pt x="53525" y="14126"/>
                                  <a:pt x="54975" y="17636"/>
                                </a:cubicBezTo>
                                <a:cubicBezTo>
                                  <a:pt x="56425" y="21121"/>
                                  <a:pt x="57150" y="24767"/>
                                  <a:pt x="57150" y="28575"/>
                                </a:cubicBezTo>
                                <a:cubicBezTo>
                                  <a:pt x="57150" y="32358"/>
                                  <a:pt x="56425" y="36004"/>
                                  <a:pt x="54975" y="39501"/>
                                </a:cubicBezTo>
                                <a:cubicBezTo>
                                  <a:pt x="53525" y="42999"/>
                                  <a:pt x="51460" y="46087"/>
                                  <a:pt x="48781" y="48778"/>
                                </a:cubicBezTo>
                                <a:cubicBezTo>
                                  <a:pt x="46101" y="51457"/>
                                  <a:pt x="43011" y="53529"/>
                                  <a:pt x="39510" y="54967"/>
                                </a:cubicBezTo>
                                <a:cubicBezTo>
                                  <a:pt x="36009" y="56418"/>
                                  <a:pt x="32364" y="57138"/>
                                  <a:pt x="28575" y="57150"/>
                                </a:cubicBezTo>
                                <a:cubicBezTo>
                                  <a:pt x="24786" y="57138"/>
                                  <a:pt x="21141" y="56418"/>
                                  <a:pt x="17640" y="54980"/>
                                </a:cubicBezTo>
                                <a:cubicBezTo>
                                  <a:pt x="14139" y="53529"/>
                                  <a:pt x="11049" y="51457"/>
                                  <a:pt x="8369" y="48778"/>
                                </a:cubicBezTo>
                                <a:cubicBezTo>
                                  <a:pt x="5690" y="46087"/>
                                  <a:pt x="3625" y="42999"/>
                                  <a:pt x="2175" y="39501"/>
                                </a:cubicBezTo>
                                <a:cubicBezTo>
                                  <a:pt x="725" y="36004"/>
                                  <a:pt x="0" y="32358"/>
                                  <a:pt x="0" y="28575"/>
                                </a:cubicBezTo>
                                <a:cubicBezTo>
                                  <a:pt x="0" y="24767"/>
                                  <a:pt x="725" y="21121"/>
                                  <a:pt x="2175" y="17624"/>
                                </a:cubicBezTo>
                                <a:cubicBezTo>
                                  <a:pt x="3625" y="14126"/>
                                  <a:pt x="5690" y="11038"/>
                                  <a:pt x="8369" y="8372"/>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2" name="Shape 1412"/>
                        <wps:cNvSpPr/>
                        <wps:spPr>
                          <a:xfrm>
                            <a:off x="0" y="647700"/>
                            <a:ext cx="57150" cy="57150"/>
                          </a:xfrm>
                          <a:custGeom>
                            <a:avLst/>
                            <a:gdLst/>
                            <a:ahLst/>
                            <a:cxnLst/>
                            <a:rect l="0" t="0" r="0" b="0"/>
                            <a:pathLst>
                              <a:path w="57150" h="57150">
                                <a:moveTo>
                                  <a:pt x="28575" y="0"/>
                                </a:moveTo>
                                <a:cubicBezTo>
                                  <a:pt x="32364" y="0"/>
                                  <a:pt x="36009" y="732"/>
                                  <a:pt x="39510" y="2170"/>
                                </a:cubicBezTo>
                                <a:cubicBezTo>
                                  <a:pt x="43011" y="3621"/>
                                  <a:pt x="46101" y="5680"/>
                                  <a:pt x="48781" y="8359"/>
                                </a:cubicBezTo>
                                <a:cubicBezTo>
                                  <a:pt x="51460" y="11038"/>
                                  <a:pt x="53525" y="14126"/>
                                  <a:pt x="54975" y="17624"/>
                                </a:cubicBezTo>
                                <a:cubicBezTo>
                                  <a:pt x="56425" y="21134"/>
                                  <a:pt x="57150" y="24780"/>
                                  <a:pt x="57150" y="28575"/>
                                </a:cubicBezTo>
                                <a:cubicBezTo>
                                  <a:pt x="57150" y="32358"/>
                                  <a:pt x="56425" y="35992"/>
                                  <a:pt x="54975" y="39501"/>
                                </a:cubicBezTo>
                                <a:cubicBezTo>
                                  <a:pt x="53525" y="42999"/>
                                  <a:pt x="51460" y="46087"/>
                                  <a:pt x="48781" y="48766"/>
                                </a:cubicBezTo>
                                <a:cubicBezTo>
                                  <a:pt x="46101" y="51445"/>
                                  <a:pt x="43011" y="53504"/>
                                  <a:pt x="39510" y="54955"/>
                                </a:cubicBezTo>
                                <a:cubicBezTo>
                                  <a:pt x="36009" y="56418"/>
                                  <a:pt x="32364" y="57138"/>
                                  <a:pt x="28575" y="57150"/>
                                </a:cubicBezTo>
                                <a:cubicBezTo>
                                  <a:pt x="24786" y="57138"/>
                                  <a:pt x="21141" y="56418"/>
                                  <a:pt x="17640" y="54967"/>
                                </a:cubicBezTo>
                                <a:cubicBezTo>
                                  <a:pt x="14139" y="53504"/>
                                  <a:pt x="11049" y="51445"/>
                                  <a:pt x="8369" y="48766"/>
                                </a:cubicBezTo>
                                <a:cubicBezTo>
                                  <a:pt x="5690" y="46087"/>
                                  <a:pt x="3625" y="42999"/>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21"/>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4" name="Shape 1414"/>
                        <wps:cNvSpPr/>
                        <wps:spPr>
                          <a:xfrm>
                            <a:off x="0" y="800100"/>
                            <a:ext cx="57150" cy="57150"/>
                          </a:xfrm>
                          <a:custGeom>
                            <a:avLst/>
                            <a:gdLst/>
                            <a:ahLst/>
                            <a:cxnLst/>
                            <a:rect l="0" t="0" r="0" b="0"/>
                            <a:pathLst>
                              <a:path w="57150" h="57150">
                                <a:moveTo>
                                  <a:pt x="28575" y="0"/>
                                </a:moveTo>
                                <a:cubicBezTo>
                                  <a:pt x="32364" y="0"/>
                                  <a:pt x="36009" y="719"/>
                                  <a:pt x="39510" y="2158"/>
                                </a:cubicBezTo>
                                <a:cubicBezTo>
                                  <a:pt x="43011" y="3609"/>
                                  <a:pt x="46101" y="5680"/>
                                  <a:pt x="48781" y="8359"/>
                                </a:cubicBezTo>
                                <a:cubicBezTo>
                                  <a:pt x="51460" y="11026"/>
                                  <a:pt x="53525" y="14114"/>
                                  <a:pt x="54975" y="17624"/>
                                </a:cubicBezTo>
                                <a:cubicBezTo>
                                  <a:pt x="56425" y="21121"/>
                                  <a:pt x="57150" y="24767"/>
                                  <a:pt x="57150" y="28575"/>
                                </a:cubicBezTo>
                                <a:cubicBezTo>
                                  <a:pt x="57150" y="32358"/>
                                  <a:pt x="56425" y="36004"/>
                                  <a:pt x="54975" y="39501"/>
                                </a:cubicBezTo>
                                <a:cubicBezTo>
                                  <a:pt x="53525" y="42999"/>
                                  <a:pt x="51460" y="46087"/>
                                  <a:pt x="48781" y="48766"/>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66"/>
                                </a:cubicBezTo>
                                <a:cubicBezTo>
                                  <a:pt x="5690" y="46087"/>
                                  <a:pt x="3625" y="42999"/>
                                  <a:pt x="2175" y="39501"/>
                                </a:cubicBezTo>
                                <a:cubicBezTo>
                                  <a:pt x="725" y="36004"/>
                                  <a:pt x="0" y="32358"/>
                                  <a:pt x="0" y="28575"/>
                                </a:cubicBezTo>
                                <a:cubicBezTo>
                                  <a:pt x="0" y="24767"/>
                                  <a:pt x="725" y="21121"/>
                                  <a:pt x="2175" y="17611"/>
                                </a:cubicBezTo>
                                <a:cubicBezTo>
                                  <a:pt x="3625" y="14114"/>
                                  <a:pt x="5690" y="11026"/>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6" name="Shape 1416"/>
                        <wps:cNvSpPr/>
                        <wps:spPr>
                          <a:xfrm>
                            <a:off x="0" y="952500"/>
                            <a:ext cx="57150" cy="57150"/>
                          </a:xfrm>
                          <a:custGeom>
                            <a:avLst/>
                            <a:gdLst/>
                            <a:ahLst/>
                            <a:cxnLst/>
                            <a:rect l="0" t="0" r="0" b="0"/>
                            <a:pathLst>
                              <a:path w="57150" h="57150">
                                <a:moveTo>
                                  <a:pt x="28575" y="0"/>
                                </a:moveTo>
                                <a:cubicBezTo>
                                  <a:pt x="32364" y="0"/>
                                  <a:pt x="36009" y="719"/>
                                  <a:pt x="39510" y="2158"/>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6004"/>
                                  <a:pt x="54975" y="39501"/>
                                </a:cubicBezTo>
                                <a:cubicBezTo>
                                  <a:pt x="53525" y="43011"/>
                                  <a:pt x="51460" y="46100"/>
                                  <a:pt x="48781" y="48778"/>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78"/>
                                </a:cubicBezTo>
                                <a:cubicBezTo>
                                  <a:pt x="5690" y="46100"/>
                                  <a:pt x="3625" y="42999"/>
                                  <a:pt x="2175" y="39501"/>
                                </a:cubicBezTo>
                                <a:cubicBezTo>
                                  <a:pt x="725" y="36004"/>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 name="Shape 1418"/>
                        <wps:cNvSpPr/>
                        <wps:spPr>
                          <a:xfrm>
                            <a:off x="0" y="1104900"/>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34"/>
                                  <a:pt x="57150" y="24780"/>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 name="Shape 1420"/>
                        <wps:cNvSpPr/>
                        <wps:spPr>
                          <a:xfrm>
                            <a:off x="0" y="1257300"/>
                            <a:ext cx="57150" cy="57150"/>
                          </a:xfrm>
                          <a:custGeom>
                            <a:avLst/>
                            <a:gdLst/>
                            <a:ahLst/>
                            <a:cxnLst/>
                            <a:rect l="0" t="0" r="0" b="0"/>
                            <a:pathLst>
                              <a:path w="57150" h="57150">
                                <a:moveTo>
                                  <a:pt x="28575" y="0"/>
                                </a:moveTo>
                                <a:cubicBezTo>
                                  <a:pt x="32364" y="0"/>
                                  <a:pt x="36009" y="719"/>
                                  <a:pt x="39510" y="2158"/>
                                </a:cubicBezTo>
                                <a:cubicBezTo>
                                  <a:pt x="43011" y="3597"/>
                                  <a:pt x="46101" y="5668"/>
                                  <a:pt x="48781" y="8359"/>
                                </a:cubicBezTo>
                                <a:cubicBezTo>
                                  <a:pt x="51460" y="11026"/>
                                  <a:pt x="53525" y="14114"/>
                                  <a:pt x="54975" y="17624"/>
                                </a:cubicBezTo>
                                <a:cubicBezTo>
                                  <a:pt x="56425" y="21121"/>
                                  <a:pt x="57150" y="24767"/>
                                  <a:pt x="57150" y="28575"/>
                                </a:cubicBezTo>
                                <a:cubicBezTo>
                                  <a:pt x="57150" y="32358"/>
                                  <a:pt x="56425" y="36004"/>
                                  <a:pt x="54975" y="39489"/>
                                </a:cubicBezTo>
                                <a:cubicBezTo>
                                  <a:pt x="53525" y="42987"/>
                                  <a:pt x="51460" y="46075"/>
                                  <a:pt x="48781" y="48766"/>
                                </a:cubicBezTo>
                                <a:cubicBezTo>
                                  <a:pt x="46101" y="51433"/>
                                  <a:pt x="43011" y="53491"/>
                                  <a:pt x="39510" y="54942"/>
                                </a:cubicBezTo>
                                <a:cubicBezTo>
                                  <a:pt x="36009" y="56393"/>
                                  <a:pt x="32364" y="57138"/>
                                  <a:pt x="28575" y="57150"/>
                                </a:cubicBezTo>
                                <a:cubicBezTo>
                                  <a:pt x="24786" y="57138"/>
                                  <a:pt x="21141" y="56393"/>
                                  <a:pt x="17640" y="54942"/>
                                </a:cubicBezTo>
                                <a:cubicBezTo>
                                  <a:pt x="14139" y="53491"/>
                                  <a:pt x="11049" y="51433"/>
                                  <a:pt x="8369" y="48766"/>
                                </a:cubicBezTo>
                                <a:cubicBezTo>
                                  <a:pt x="5690" y="46075"/>
                                  <a:pt x="3625" y="42987"/>
                                  <a:pt x="2175" y="39489"/>
                                </a:cubicBezTo>
                                <a:cubicBezTo>
                                  <a:pt x="725" y="36004"/>
                                  <a:pt x="0" y="32358"/>
                                  <a:pt x="0" y="28575"/>
                                </a:cubicBezTo>
                                <a:cubicBezTo>
                                  <a:pt x="0" y="24767"/>
                                  <a:pt x="725" y="21121"/>
                                  <a:pt x="2175" y="17624"/>
                                </a:cubicBezTo>
                                <a:cubicBezTo>
                                  <a:pt x="3625" y="14114"/>
                                  <a:pt x="5690" y="11026"/>
                                  <a:pt x="8369" y="8359"/>
                                </a:cubicBezTo>
                                <a:cubicBezTo>
                                  <a:pt x="11049" y="5668"/>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2757" style="width:4.5pt;height:103.5pt;position:absolute;mso-position-horizontal-relative:text;mso-position-horizontal:absolute;margin-left:16.5pt;mso-position-vertical-relative:text;margin-top:2.56543pt;" coordsize="571,13144">
                <v:shape id="Shape 1400" style="position:absolute;width:571;height:571;left:0;top:0;" coordsize="57150,57150" path="m28575,0c32364,0,36009,732,39510,2170c43011,3621,46101,5680,48781,8372c51460,11038,53525,14126,54975,17624c56425,21134,57150,24780,57150,28575c57150,32358,56425,35992,54975,39501c53525,42999,51460,46087,48781,48778c46101,51445,43011,53516,39510,54967c36009,56418,32364,57138,28575,57150c24786,57138,21141,56418,17640,54967c14139,53516,11049,51445,8369,48778c5690,46087,3625,42999,2175,39501c725,36004,0,32358,0,28575c0,24780,725,21134,2175,17624c3625,14126,5690,11038,8369,8372c11049,5680,14139,3621,17640,2170c21141,732,24786,0,28575,0x">
                  <v:stroke weight="0pt" endcap="flat" joinstyle="miter" miterlimit="10" on="false" color="#000000" opacity="0"/>
                  <v:fill on="true" color="#333333"/>
                </v:shape>
                <v:shape id="Shape 1406" style="position:absolute;width:571;height:571;left:0;top:1905;" coordsize="57150,57150" path="m28575,0c32364,0,36009,719,39510,2158c43011,3609,46101,5680,48781,8359c51460,11038,53525,14126,54975,17624c56425,21121,57150,24767,57150,28575c57150,32358,56425,35992,54975,39489c53525,42999,51460,46087,48781,48766c46101,51445,43011,53504,39510,54955c36009,56406,32364,57138,28575,57150c24786,57138,21141,56406,17640,54955c14139,53504,11049,51445,8369,48766c5690,46087,3625,42999,2175,39489c725,35992,0,32358,0,28575c0,24767,725,21121,2175,17624c3625,14126,5690,11038,8369,8359c11049,5680,14139,3609,17640,2158c21141,719,24786,0,28575,0x">
                  <v:stroke weight="0pt" endcap="flat" joinstyle="miter" miterlimit="10" on="false" color="#000000" opacity="0"/>
                  <v:fill on="true" color="#333333"/>
                </v:shape>
                <v:shape id="Shape 1408" style="position:absolute;width:571;height:571;left:0;top:3429;" coordsize="57150,57150" path="m28575,0c32364,0,36009,732,39510,2170c43011,3609,46101,5680,48781,8359c51460,11026,53525,14114,54975,17624c56425,21121,57150,24780,57150,28575c57150,32358,56425,36004,54975,39501c53525,42999,51460,46087,48781,48766c46101,51445,43011,53504,39510,54955c36009,56406,32364,57138,28575,57150c24786,57138,21141,56406,17640,54955c14139,53504,11049,51445,8369,48766c5690,46087,3625,42999,2175,39501c725,36004,0,32358,0,28575c0,24780,725,21121,2175,17624c3625,14114,5690,11026,8369,8359c11049,5680,14139,3609,17640,2170c21141,732,24786,0,28575,0x">
                  <v:stroke weight="0pt" endcap="flat" joinstyle="miter" miterlimit="10" on="false" color="#000000" opacity="0"/>
                  <v:fill on="true" color="#333333"/>
                </v:shape>
                <v:shape id="Shape 1410" style="position:absolute;width:571;height:571;left:0;top:4953;" coordsize="57150,57150" path="m28575,0c32364,0,36009,732,39510,2183c43011,3621,46101,5680,48781,8372c51460,11038,53525,14126,54975,17636c56425,21121,57150,24767,57150,28575c57150,32358,56425,36004,54975,39501c53525,42999,51460,46087,48781,48778c46101,51457,43011,53529,39510,54967c36009,56418,32364,57138,28575,57150c24786,57138,21141,56418,17640,54980c14139,53529,11049,51457,8369,48778c5690,46087,3625,42999,2175,39501c725,36004,0,32358,0,28575c0,24767,725,21121,2175,17624c3625,14126,5690,11038,8369,8372c11049,5680,14139,3621,17640,2170c21141,732,24786,0,28575,0x">
                  <v:stroke weight="0pt" endcap="flat" joinstyle="miter" miterlimit="10" on="false" color="#000000" opacity="0"/>
                  <v:fill on="true" color="#333333"/>
                </v:shape>
                <v:shape id="Shape 1412" style="position:absolute;width:571;height:571;left:0;top:6477;" coordsize="57150,57150" path="m28575,0c32364,0,36009,732,39510,2170c43011,3621,46101,5680,48781,8359c51460,11038,53525,14126,54975,17624c56425,21134,57150,24780,57150,28575c57150,32358,56425,35992,54975,39501c53525,42999,51460,46087,48781,48766c46101,51445,43011,53504,39510,54955c36009,56418,32364,57138,28575,57150c24786,57138,21141,56418,17640,54967c14139,53504,11049,51445,8369,48766c5690,46087,3625,42999,2175,39501c725,35992,0,32358,0,28575c0,24780,725,21134,2175,17624c3625,14126,5690,11038,8369,8359c11049,5680,14139,3621,17640,2170c21141,732,24786,0,28575,0x">
                  <v:stroke weight="0pt" endcap="flat" joinstyle="miter" miterlimit="10" on="false" color="#000000" opacity="0"/>
                  <v:fill on="true" color="#333333"/>
                </v:shape>
                <v:shape id="Shape 1414" style="position:absolute;width:571;height:571;left:0;top:8001;" coordsize="57150,57150" path="m28575,0c32364,0,36009,719,39510,2158c43011,3609,46101,5680,48781,8359c51460,11026,53525,14114,54975,17624c56425,21121,57150,24767,57150,28575c57150,32358,56425,36004,54975,39501c53525,42999,51460,46087,48781,48766c46101,51445,43011,53516,39510,54967c36009,56418,32364,57138,28575,57150c24786,57138,21141,56418,17640,54967c14139,53516,11049,51445,8369,48766c5690,46087,3625,42999,2175,39501c725,36004,0,32358,0,28575c0,24767,725,21121,2175,17611c3625,14114,5690,11026,8369,8359c11049,5680,14139,3609,17640,2158c21141,719,24786,0,28575,0x">
                  <v:stroke weight="0pt" endcap="flat" joinstyle="miter" miterlimit="10" on="false" color="#000000" opacity="0"/>
                  <v:fill on="true" color="#333333"/>
                </v:shape>
                <v:shape id="Shape 1416" style="position:absolute;width:571;height:571;left:0;top:9525;" coordsize="57150,57150" path="m28575,0c32364,0,36009,719,39510,2158c43011,3609,46101,5680,48781,8359c51460,11038,53525,14126,54975,17624c56425,21121,57150,24767,57150,28575c57150,32358,56425,36004,54975,39501c53525,43011,51460,46100,48781,48778c46101,51445,43011,53516,39510,54967c36009,56418,32364,57138,28575,57150c24786,57138,21141,56418,17640,54967c14139,53516,11049,51445,8369,48778c5690,46100,3625,42999,2175,39501c725,36004,0,32358,0,28575c0,24767,725,21121,2175,17624c3625,14126,5690,11038,8369,8359c11049,5680,14139,3609,17640,2158c21141,719,24786,0,28575,0x">
                  <v:stroke weight="0pt" endcap="flat" joinstyle="miter" miterlimit="10" on="false" color="#000000" opacity="0"/>
                  <v:fill on="true" color="#333333"/>
                </v:shape>
                <v:shape id="Shape 1418" style="position:absolute;width:571;height:571;left:0;top:11049;" coordsize="57150,57150" path="m28575,0c32364,0,36009,732,39510,2170c43011,3609,46101,5680,48781,8359c51460,11038,53525,14126,54975,17624c56425,21134,57150,24780,57150,28575c57150,32358,56425,35992,54975,39501c53525,42987,51460,46087,48781,48766c46101,51445,43011,53504,39510,54955c36009,56406,32364,57138,28575,57150c24786,57138,21141,56406,17640,54955c14139,53504,11049,51445,8369,48766c5690,46087,3625,42987,2175,39501c725,35992,0,32358,0,28575c0,24780,725,21134,2175,17624c3625,14126,5690,11038,8369,8359c11049,5680,14139,3609,17640,2170c21141,732,24786,0,28575,0x">
                  <v:stroke weight="0pt" endcap="flat" joinstyle="miter" miterlimit="10" on="false" color="#000000" opacity="0"/>
                  <v:fill on="true" color="#333333"/>
                </v:shape>
                <v:shape id="Shape 1420" style="position:absolute;width:571;height:571;left:0;top:12573;" coordsize="57150,57150" path="m28575,0c32364,0,36009,719,39510,2158c43011,3597,46101,5668,48781,8359c51460,11026,53525,14114,54975,17624c56425,21121,57150,24767,57150,28575c57150,32358,56425,36004,54975,39489c53525,42987,51460,46075,48781,48766c46101,51433,43011,53491,39510,54942c36009,56393,32364,57138,28575,57150c24786,57138,21141,56393,17640,54942c14139,53491,11049,51433,8369,48766c5690,46075,3625,42987,2175,39489c725,36004,0,32358,0,28575c0,24767,725,21121,2175,17624c3625,14114,5690,11026,8369,8359c11049,5668,14139,3597,17640,2158c21141,719,24786,0,28575,0x">
                  <v:stroke weight="0pt" endcap="flat" joinstyle="miter" miterlimit="10" on="false" color="#000000" opacity="0"/>
                  <v:fill on="true" color="#333333"/>
                </v:shape>
                <w10:wrap type="square"/>
              </v:group>
            </w:pict>
          </mc:Fallback>
        </mc:AlternateContent>
      </w:r>
      <w:r>
        <w:t>Оксигенотерапия: при СН, гипоксемии S</w:t>
      </w:r>
      <w:r>
        <w:rPr>
          <w:sz w:val="31"/>
          <w:vertAlign w:val="subscript"/>
        </w:rPr>
        <w:t>a</w:t>
      </w:r>
      <w:r>
        <w:t>O</w:t>
      </w:r>
      <w:r>
        <w:rPr>
          <w:sz w:val="31"/>
          <w:vertAlign w:val="subscript"/>
        </w:rPr>
        <w:t>2</w:t>
      </w:r>
      <w:r>
        <w:t xml:space="preserve"> &lt;90%.</w:t>
      </w:r>
    </w:p>
    <w:p w:rsidR="008E3F15" w:rsidRDefault="005F449A">
      <w:pPr>
        <w:spacing w:after="31"/>
        <w:ind w:left="340" w:right="15"/>
      </w:pPr>
      <w:r>
        <w:t>Тромболизис при ИМпST по показаниям.</w:t>
      </w:r>
    </w:p>
    <w:p w:rsidR="008E3F15" w:rsidRDefault="005F449A">
      <w:pPr>
        <w:spacing w:after="31"/>
        <w:ind w:left="340" w:right="15"/>
      </w:pPr>
      <w:r>
        <w:t>АСК.</w:t>
      </w:r>
    </w:p>
    <w:p w:rsidR="008E3F15" w:rsidRDefault="005F449A">
      <w:pPr>
        <w:spacing w:after="31"/>
        <w:ind w:left="340" w:right="15"/>
      </w:pPr>
      <w:r>
        <w:t>Тикагрелор или клопидогрел.</w:t>
      </w:r>
    </w:p>
    <w:p w:rsidR="008E3F15" w:rsidRDefault="005F449A">
      <w:pPr>
        <w:ind w:left="340" w:right="168"/>
      </w:pPr>
      <w:r>
        <w:t>Фондапаринукс натрия, эноксапарин натрия или нефракционированный гепарин (НФГ). Инфузия нитроглицерина (боль, СН, гипертензия</w:t>
      </w:r>
      <w:r>
        <w:t>). β-Адреноблокаторы.</w:t>
      </w:r>
    </w:p>
    <w:p w:rsidR="008E3F15" w:rsidRDefault="005F449A">
      <w:pPr>
        <w:ind w:left="340" w:right="705"/>
      </w:pPr>
      <w:r>
        <w:t>Ингибиторы ангиотензин-превращающего фермента (иАПФ) или валсартан. По показаниям: антагонисты минералокортикоидных рецепторов (аМКР) [фракция выброса левого желудочка (ФВЛЖ) ≤40% + симптомы СН или СД], коррекция выраженной гиперглике</w:t>
      </w:r>
      <w:r>
        <w:t>мии.</w:t>
      </w:r>
    </w:p>
    <w:p w:rsidR="008E3F15" w:rsidRDefault="005F449A">
      <w:pPr>
        <w:ind w:left="2" w:right="15"/>
      </w:pPr>
      <w:r>
        <w:rPr>
          <w:b/>
        </w:rPr>
        <w:t>Диагностика.</w:t>
      </w:r>
      <w:r>
        <w:t xml:space="preserve"> Основные физиологические параметры должны фиксироваться каждые 60 мин (и при любом существенном изменении) до стабилизации состояния и каждые 4–6 ч — после стабилизации в течение всего периода пребывания в блоке реанимации и интенсивной т</w:t>
      </w:r>
      <w:r>
        <w:t>ерапии.</w:t>
      </w:r>
    </w:p>
    <w:p w:rsidR="008E3F15" w:rsidRDefault="005F449A">
      <w:pPr>
        <w:ind w:left="2" w:right="15"/>
      </w:pPr>
      <w:r>
        <w:t>У пациентов с ИМп</w:t>
      </w:r>
      <w:r>
        <w:rPr>
          <w:i/>
        </w:rPr>
        <w:t>ST</w:t>
      </w:r>
      <w:r>
        <w:t xml:space="preserve"> на ЭКГ в течение нескольких часов (дней) обычно формируется патологический комплекс </w:t>
      </w:r>
      <w:r>
        <w:rPr>
          <w:i/>
        </w:rPr>
        <w:t>QS</w:t>
      </w:r>
      <w:r>
        <w:t xml:space="preserve"> или зубец </w:t>
      </w:r>
      <w:r>
        <w:rPr>
          <w:i/>
        </w:rPr>
        <w:t>Q</w:t>
      </w:r>
      <w:r>
        <w:t xml:space="preserve">. Патологическим считается комплекс </w:t>
      </w:r>
      <w:r>
        <w:rPr>
          <w:i/>
        </w:rPr>
        <w:t>QS</w:t>
      </w:r>
      <w:r>
        <w:t xml:space="preserve"> или любой зубец </w:t>
      </w:r>
      <w:r>
        <w:rPr>
          <w:i/>
        </w:rPr>
        <w:t>Q</w:t>
      </w:r>
      <w:r>
        <w:t xml:space="preserve"> ≥0,02 с в отведениях V</w:t>
      </w:r>
      <w:r>
        <w:rPr>
          <w:sz w:val="31"/>
          <w:vertAlign w:val="subscript"/>
        </w:rPr>
        <w:t>2</w:t>
      </w:r>
      <w:r>
        <w:rPr>
          <w:sz w:val="20"/>
        </w:rPr>
        <w:t>–3</w:t>
      </w:r>
      <w:r>
        <w:t xml:space="preserve"> или ≥0,03 с и глубиной ≥1 мм в двух смежных отведениях (I, aVL, V</w:t>
      </w:r>
      <w:r>
        <w:rPr>
          <w:sz w:val="31"/>
          <w:vertAlign w:val="subscript"/>
        </w:rPr>
        <w:t>6</w:t>
      </w:r>
      <w:r>
        <w:t>; V</w:t>
      </w:r>
      <w:r>
        <w:rPr>
          <w:sz w:val="31"/>
          <w:vertAlign w:val="subscript"/>
        </w:rPr>
        <w:t>4</w:t>
      </w:r>
      <w:r>
        <w:rPr>
          <w:sz w:val="20"/>
        </w:rPr>
        <w:t>–6</w:t>
      </w:r>
      <w:r>
        <w:t xml:space="preserve">; II, III, aVF). В случае ИМ правого желудочка выявляют зубец </w:t>
      </w:r>
      <w:r>
        <w:rPr>
          <w:i/>
        </w:rPr>
        <w:t xml:space="preserve">R </w:t>
      </w:r>
      <w:r>
        <w:t>продолжительностью ≥0,04 с в отведениях V</w:t>
      </w:r>
      <w:r>
        <w:rPr>
          <w:sz w:val="31"/>
          <w:vertAlign w:val="subscript"/>
        </w:rPr>
        <w:t>1</w:t>
      </w:r>
      <w:r>
        <w:rPr>
          <w:sz w:val="20"/>
        </w:rPr>
        <w:t xml:space="preserve">–2 </w:t>
      </w:r>
      <w:r>
        <w:t xml:space="preserve">и соотношением </w:t>
      </w:r>
      <w:r>
        <w:rPr>
          <w:i/>
        </w:rPr>
        <w:t>R/S</w:t>
      </w:r>
      <w:r>
        <w:t xml:space="preserve"> &gt;1 в сочетании с конкордантным позитивным зубцом </w:t>
      </w:r>
      <w:r>
        <w:rPr>
          <w:i/>
        </w:rPr>
        <w:t>T</w:t>
      </w:r>
      <w:r>
        <w:t xml:space="preserve"> при </w:t>
      </w:r>
      <w:r>
        <w:t>отсутствии нарушений проводимости. При подозрении на острую ишемию мио карда без изменений на стандартной ЭКГ целесообразно регистрировать отведения V</w:t>
      </w:r>
      <w:r>
        <w:rPr>
          <w:sz w:val="31"/>
          <w:vertAlign w:val="subscript"/>
        </w:rPr>
        <w:t>7</w:t>
      </w:r>
      <w:r>
        <w:rPr>
          <w:sz w:val="20"/>
        </w:rPr>
        <w:t xml:space="preserve">–9 </w:t>
      </w:r>
      <w:r>
        <w:t>(</w:t>
      </w:r>
      <w:r>
        <w:rPr>
          <w:sz w:val="37"/>
          <w:vertAlign w:val="superscript"/>
        </w:rPr>
        <w:t>нижнебазальная стенка) и V</w:t>
      </w:r>
      <w:r>
        <w:rPr>
          <w:sz w:val="31"/>
          <w:vertAlign w:val="subscript"/>
        </w:rPr>
        <w:t>3</w:t>
      </w:r>
      <w:r>
        <w:rPr>
          <w:sz w:val="20"/>
        </w:rPr>
        <w:t xml:space="preserve">R–4R </w:t>
      </w:r>
      <w:r>
        <w:t>(правый желудочек).</w:t>
      </w:r>
    </w:p>
    <w:p w:rsidR="008E3F15" w:rsidRDefault="005F449A">
      <w:pPr>
        <w:ind w:left="2" w:right="15"/>
      </w:pPr>
      <w:r>
        <w:t>Длительный мониториниг сердечных аритмий нецелесо</w:t>
      </w:r>
      <w:r>
        <w:t>образен при нестабильной СК, рекомендуется до 24 ч при невысоком риске и более 24 ч при высоком риске ИМ.</w:t>
      </w:r>
    </w:p>
    <w:p w:rsidR="008E3F15" w:rsidRDefault="005F449A">
      <w:pPr>
        <w:ind w:left="2" w:right="110"/>
      </w:pPr>
      <w:r>
        <w:t xml:space="preserve">Сердечные биомаркеры используют для определения повреждения мио карда ишемической (ИМ) и неишемической природы у пациентов без стойкого подъема </w:t>
      </w:r>
      <w:r>
        <w:rPr>
          <w:i/>
        </w:rPr>
        <w:t>ST</w:t>
      </w:r>
      <w:r>
        <w:t>. Дл</w:t>
      </w:r>
      <w:r>
        <w:t>я постановки диагноза ИМп</w:t>
      </w:r>
      <w:r>
        <w:rPr>
          <w:i/>
        </w:rPr>
        <w:t>ST</w:t>
      </w:r>
      <w:r>
        <w:t xml:space="preserve"> достаточно очевидной клиники и типичных изменений на ЭКГ. Эхокардиографию применяют для оценки структуры и функции левого желудочка, дифференциальной диагностики (расслоение аорты, массивная ЛЭ) и выявления осложнений (разрыв ми</w:t>
      </w:r>
      <w:r>
        <w:t>о карда, митральная регургитация, выпот в перикард, внутрисердечный тромб). Для определения ИМ метод имеет ограниченную ценность, поскольку нарушение локальной сократимости мио карда встречается как при остром некрозе, так и при ишемии мио карда или перене</w:t>
      </w:r>
      <w:r>
        <w:t>сенном ИМ. Кроме того, этот феномен возможен при мио кардите и дилатационной кардиомиопатии. С другой стороны, отсутствие локального нарушения сократимости исключает только выраженную ишемию (некроз) мио карда. В этих случаях может помочь выявление признак</w:t>
      </w:r>
      <w:r>
        <w:t>ов нарушения перфузии мио карда при контрастной эхокардиографии или исследование локальной деформации мио карда.</w:t>
      </w:r>
    </w:p>
    <w:p w:rsidR="008E3F15" w:rsidRDefault="005F449A">
      <w:pPr>
        <w:ind w:left="2" w:right="218"/>
      </w:pPr>
      <w:r>
        <w:t>Для диагностики кардиомиопатии Такоцубо требуются выявление аномального сокращения мио карда, включая апикальное баллонирование, коронарография</w:t>
      </w:r>
      <w:r>
        <w:t xml:space="preserve"> (КГ) с вентрикулографией с оценкой быстрого обратного разрешения, поскольку клиника, изменения ЭКГ и биомаркеров часто неотличимы от ОКС.</w:t>
      </w:r>
    </w:p>
    <w:p w:rsidR="008E3F15" w:rsidRDefault="005F449A">
      <w:pPr>
        <w:ind w:left="2" w:right="15"/>
      </w:pPr>
      <w:r>
        <w:t>Для дозирования препаратов, выводящихся через почки, обычно используется оценка функции почек с расчетом показателей в мл/мин (клиренс креатинина, рСКФ,</w:t>
      </w:r>
    </w:p>
    <w:p w:rsidR="008E3F15" w:rsidRDefault="005F449A">
      <w:pPr>
        <w:ind w:left="2" w:right="15"/>
      </w:pPr>
      <w:r>
        <w:t>деиндексированная по площади тела). Оценка рСКФ при нарушении и быстром изменении гемодинамики может бы</w:t>
      </w:r>
      <w:r>
        <w:t>ть весьма неточной.</w:t>
      </w:r>
    </w:p>
    <w:p w:rsidR="008E3F15" w:rsidRDefault="005F449A">
      <w:pPr>
        <w:ind w:left="2" w:right="490"/>
      </w:pPr>
      <w:r>
        <w:t>Нередко в остром периоде регистрируется стрессовая гипергликемия, ассоциирующаяся с худшим прогнозом.</w:t>
      </w:r>
    </w:p>
    <w:p w:rsidR="008E3F15" w:rsidRDefault="005F449A">
      <w:pPr>
        <w:ind w:left="2" w:right="759"/>
      </w:pPr>
      <w:r>
        <w:t>У пациентов с ОКСбп</w:t>
      </w:r>
      <w:r>
        <w:rPr>
          <w:i/>
        </w:rPr>
        <w:t>ST</w:t>
      </w:r>
      <w:r>
        <w:t xml:space="preserve"> рекомендуется использовать шкалу GRACE, однако в рандомизированных исследованиях PROBE и UKGRIS применение шкалы</w:t>
      </w:r>
      <w:r>
        <w:t xml:space="preserve"> GRACE хотя и увеличило число ранних реваскуляризаций, но не снизило риск сердечно-сосудистых событий.</w:t>
      </w:r>
    </w:p>
    <w:p w:rsidR="008E3F15" w:rsidRDefault="005F449A">
      <w:pPr>
        <w:ind w:left="2" w:right="15"/>
      </w:pPr>
      <w:r>
        <w:t>Пациенты высокого риска нуждаются в реваскуляризации и активном лечении с помощью лекарственных препаратов. При нестабильной СК низкого риска пациента мо</w:t>
      </w:r>
      <w:r>
        <w:t>жно лечить амбулаторно по программе стабильной коронарной болезни, выполнив в течение 72 ч стресс-тест, предпочтительнее с эхокардиографией или эмиссионной томографией (AHA/ACC).</w:t>
      </w:r>
    </w:p>
    <w:p w:rsidR="008E3F15" w:rsidRDefault="005F449A">
      <w:pPr>
        <w:ind w:left="2" w:right="15"/>
      </w:pPr>
      <w:r>
        <w:t>Степень уверенности врача в диагнозе ОКС не отражает риска. В большом канадск</w:t>
      </w:r>
      <w:r>
        <w:t>ом исследовании частота госпитального ИМ и СН была выше в группе «возможного ОКС», нежели в группе «определенного ОКС», при этом шкала GRACE хорошо разграничивала пациентов с низким и высоким риском госпитальной смертности, независимо от начального диагнос</w:t>
      </w:r>
      <w:r>
        <w:t>тического впечатления (Bajaj R. et al., 2013).</w:t>
      </w:r>
    </w:p>
    <w:p w:rsidR="008E3F15" w:rsidRDefault="005F449A">
      <w:pPr>
        <w:spacing w:after="359"/>
        <w:ind w:left="2" w:right="264"/>
      </w:pPr>
      <w:r>
        <w:rPr>
          <w:b/>
        </w:rPr>
        <w:t>Лечение.</w:t>
      </w:r>
      <w:r>
        <w:t xml:space="preserve"> Цель лечения — устранить боль и факторы перегрузки мио карда (↓ЧСС до 50–60 в мин; ↓АД до 130–140/80–90 мм рт.ст.), а также снизить риски смерти и осложнений.</w:t>
      </w:r>
    </w:p>
    <w:p w:rsidR="008E3F15" w:rsidRDefault="005F449A">
      <w:pPr>
        <w:pStyle w:val="Heading1"/>
        <w:ind w:left="2"/>
      </w:pPr>
      <w:r>
        <w:t>Часть I. Сердечно-сосудистые болезни</w:t>
      </w:r>
    </w:p>
    <w:p w:rsidR="008E3F15" w:rsidRDefault="005F449A">
      <w:pPr>
        <w:ind w:left="2" w:right="15"/>
      </w:pPr>
      <w:r>
        <w:t xml:space="preserve">Для </w:t>
      </w:r>
      <w:r>
        <w:t>эффективного лечения ИМп</w:t>
      </w:r>
      <w:r>
        <w:rPr>
          <w:i/>
        </w:rPr>
        <w:t>ST</w:t>
      </w:r>
      <w:r>
        <w:t xml:space="preserve"> важнейшее значение имеет быстрое восстановление кровотока по тромбированной коронарной артерии (реперфузия). С этой целью используют внутрикоронарное вмешательство, а при невозможности своевременной инвазивной реперфузии — фармак</w:t>
      </w:r>
      <w:r>
        <w:t>ологический тромболизис.</w:t>
      </w:r>
    </w:p>
    <w:p w:rsidR="008E3F15" w:rsidRDefault="005F449A">
      <w:pPr>
        <w:spacing w:line="259" w:lineRule="auto"/>
        <w:ind w:right="0"/>
      </w:pPr>
      <w:r>
        <w:rPr>
          <w:i/>
        </w:rPr>
        <w:t>Показания для реперфузии: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66432" behindDoc="0" locked="0" layoutInCell="1" allowOverlap="1">
                <wp:simplePos x="0" y="0"/>
                <wp:positionH relativeFrom="column">
                  <wp:posOffset>209550</wp:posOffset>
                </wp:positionH>
                <wp:positionV relativeFrom="paragraph">
                  <wp:posOffset>34764</wp:posOffset>
                </wp:positionV>
                <wp:extent cx="57150" cy="885825"/>
                <wp:effectExtent l="0" t="0" r="0" b="0"/>
                <wp:wrapSquare wrapText="bothSides"/>
                <wp:docPr id="250944" name="Group 250944"/>
                <wp:cNvGraphicFramePr/>
                <a:graphic xmlns:a="http://schemas.openxmlformats.org/drawingml/2006/main">
                  <a:graphicData uri="http://schemas.microsoft.com/office/word/2010/wordprocessingGroup">
                    <wpg:wgp>
                      <wpg:cNvGrpSpPr/>
                      <wpg:grpSpPr>
                        <a:xfrm>
                          <a:off x="0" y="0"/>
                          <a:ext cx="57150" cy="885825"/>
                          <a:chOff x="0" y="0"/>
                          <a:chExt cx="57150" cy="885825"/>
                        </a:xfrm>
                      </wpg:grpSpPr>
                      <wps:wsp>
                        <wps:cNvPr id="1568" name="Shape 1568"/>
                        <wps:cNvSpPr/>
                        <wps:spPr>
                          <a:xfrm>
                            <a:off x="0" y="0"/>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14"/>
                                  <a:pt x="54975" y="17624"/>
                                </a:cubicBezTo>
                                <a:cubicBezTo>
                                  <a:pt x="56425" y="21121"/>
                                  <a:pt x="57150" y="24767"/>
                                  <a:pt x="57150" y="28575"/>
                                </a:cubicBezTo>
                                <a:cubicBezTo>
                                  <a:pt x="57150" y="32358"/>
                                  <a:pt x="56425" y="35992"/>
                                  <a:pt x="54975" y="39489"/>
                                </a:cubicBezTo>
                                <a:cubicBezTo>
                                  <a:pt x="53525" y="42999"/>
                                  <a:pt x="51460" y="46087"/>
                                  <a:pt x="48781" y="48766"/>
                                </a:cubicBezTo>
                                <a:cubicBezTo>
                                  <a:pt x="46101" y="51445"/>
                                  <a:pt x="43011" y="53516"/>
                                  <a:pt x="39510" y="54967"/>
                                </a:cubicBezTo>
                                <a:cubicBezTo>
                                  <a:pt x="36009" y="56418"/>
                                  <a:pt x="32364" y="57138"/>
                                  <a:pt x="28575" y="57150"/>
                                </a:cubicBezTo>
                                <a:cubicBezTo>
                                  <a:pt x="24786" y="57138"/>
                                  <a:pt x="21141" y="56418"/>
                                  <a:pt x="17640" y="54967"/>
                                </a:cubicBezTo>
                                <a:cubicBezTo>
                                  <a:pt x="14139" y="53516"/>
                                  <a:pt x="11049" y="51445"/>
                                  <a:pt x="8369" y="48766"/>
                                </a:cubicBezTo>
                                <a:cubicBezTo>
                                  <a:pt x="5690" y="46087"/>
                                  <a:pt x="3625" y="42999"/>
                                  <a:pt x="2175" y="39489"/>
                                </a:cubicBezTo>
                                <a:cubicBezTo>
                                  <a:pt x="725" y="35992"/>
                                  <a:pt x="0" y="32358"/>
                                  <a:pt x="0" y="28575"/>
                                </a:cubicBezTo>
                                <a:cubicBezTo>
                                  <a:pt x="0" y="24767"/>
                                  <a:pt x="725" y="21121"/>
                                  <a:pt x="2175" y="17624"/>
                                </a:cubicBezTo>
                                <a:cubicBezTo>
                                  <a:pt x="3625" y="14114"/>
                                  <a:pt x="5690" y="11038"/>
                                  <a:pt x="8369" y="8359"/>
                                </a:cubicBezTo>
                                <a:cubicBezTo>
                                  <a:pt x="11049" y="5680"/>
                                  <a:pt x="14139" y="3609"/>
                                  <a:pt x="17640" y="2170"/>
                                </a:cubicBezTo>
                                <a:cubicBezTo>
                                  <a:pt x="21141" y="732"/>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70" name="Shape 1570"/>
                        <wps:cNvSpPr/>
                        <wps:spPr>
                          <a:xfrm>
                            <a:off x="0" y="152400"/>
                            <a:ext cx="57150" cy="57150"/>
                          </a:xfrm>
                          <a:custGeom>
                            <a:avLst/>
                            <a:gdLst/>
                            <a:ahLst/>
                            <a:cxnLst/>
                            <a:rect l="0" t="0" r="0" b="0"/>
                            <a:pathLst>
                              <a:path w="57150" h="57150">
                                <a:moveTo>
                                  <a:pt x="28575" y="0"/>
                                </a:moveTo>
                                <a:cubicBezTo>
                                  <a:pt x="32364" y="0"/>
                                  <a:pt x="36009" y="719"/>
                                  <a:pt x="39510" y="2146"/>
                                </a:cubicBezTo>
                                <a:cubicBezTo>
                                  <a:pt x="43011" y="3609"/>
                                  <a:pt x="46101" y="5680"/>
                                  <a:pt x="48781" y="8359"/>
                                </a:cubicBezTo>
                                <a:cubicBezTo>
                                  <a:pt x="51460" y="11026"/>
                                  <a:pt x="53525" y="14114"/>
                                  <a:pt x="54975" y="17624"/>
                                </a:cubicBezTo>
                                <a:cubicBezTo>
                                  <a:pt x="56425" y="21121"/>
                                  <a:pt x="57150" y="24767"/>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67"/>
                                  <a:pt x="725" y="21121"/>
                                  <a:pt x="2175" y="17624"/>
                                </a:cubicBezTo>
                                <a:cubicBezTo>
                                  <a:pt x="3625" y="14114"/>
                                  <a:pt x="5690" y="11026"/>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79" name="Shape 1579"/>
                        <wps:cNvSpPr/>
                        <wps:spPr>
                          <a:xfrm>
                            <a:off x="0" y="523875"/>
                            <a:ext cx="57150" cy="57150"/>
                          </a:xfrm>
                          <a:custGeom>
                            <a:avLst/>
                            <a:gdLst/>
                            <a:ahLst/>
                            <a:cxnLst/>
                            <a:rect l="0" t="0" r="0" b="0"/>
                            <a:pathLst>
                              <a:path w="57150" h="57150">
                                <a:moveTo>
                                  <a:pt x="28575" y="0"/>
                                </a:moveTo>
                                <a:cubicBezTo>
                                  <a:pt x="32364" y="0"/>
                                  <a:pt x="36009" y="719"/>
                                  <a:pt x="39510" y="2146"/>
                                </a:cubicBezTo>
                                <a:cubicBezTo>
                                  <a:pt x="43011" y="3609"/>
                                  <a:pt x="46101" y="5680"/>
                                  <a:pt x="48781" y="8359"/>
                                </a:cubicBezTo>
                                <a:cubicBezTo>
                                  <a:pt x="51460" y="11026"/>
                                  <a:pt x="53525" y="14114"/>
                                  <a:pt x="54975" y="17624"/>
                                </a:cubicBezTo>
                                <a:cubicBezTo>
                                  <a:pt x="56425" y="21121"/>
                                  <a:pt x="57150" y="24767"/>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67"/>
                                  <a:pt x="725" y="21121"/>
                                  <a:pt x="2175" y="17624"/>
                                </a:cubicBezTo>
                                <a:cubicBezTo>
                                  <a:pt x="3625" y="14114"/>
                                  <a:pt x="5690" y="11026"/>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2" name="Shape 1582"/>
                        <wps:cNvSpPr/>
                        <wps:spPr>
                          <a:xfrm>
                            <a:off x="0" y="828675"/>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6004"/>
                                  <a:pt x="54975" y="39501"/>
                                </a:cubicBezTo>
                                <a:cubicBezTo>
                                  <a:pt x="53525" y="42999"/>
                                  <a:pt x="51460" y="46087"/>
                                  <a:pt x="48781" y="48778"/>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78"/>
                                </a:cubicBezTo>
                                <a:cubicBezTo>
                                  <a:pt x="5690" y="46087"/>
                                  <a:pt x="3625" y="42999"/>
                                  <a:pt x="2175" y="39501"/>
                                </a:cubicBezTo>
                                <a:cubicBezTo>
                                  <a:pt x="725" y="36004"/>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944" style="width:4.5pt;height:69.75pt;position:absolute;mso-position-horizontal-relative:text;mso-position-horizontal:absolute;margin-left:16.5pt;mso-position-vertical-relative:text;margin-top:2.7373pt;" coordsize="571,8858">
                <v:shape id="Shape 1568" style="position:absolute;width:571;height:571;left:0;top:0;" coordsize="57150,57150" path="m28575,0c32364,0,36009,732,39510,2170c43011,3609,46101,5680,48781,8359c51460,11038,53525,14114,54975,17624c56425,21121,57150,24767,57150,28575c57150,32358,56425,35992,54975,39489c53525,42999,51460,46087,48781,48766c46101,51445,43011,53516,39510,54967c36009,56418,32364,57138,28575,57150c24786,57138,21141,56418,17640,54967c14139,53516,11049,51445,8369,48766c5690,46087,3625,42999,2175,39489c725,35992,0,32358,0,28575c0,24767,725,21121,2175,17624c3625,14114,5690,11038,8369,8359c11049,5680,14139,3609,17640,2170c21141,732,24786,0,28575,0x">
                  <v:stroke weight="0pt" endcap="flat" joinstyle="miter" miterlimit="10" on="false" color="#000000" opacity="0"/>
                  <v:fill on="true" color="#333333"/>
                </v:shape>
                <v:shape id="Shape 1570" style="position:absolute;width:571;height:571;left:0;top:1524;" coordsize="57150,57150" path="m28575,0c32364,0,36009,719,39510,2146c43011,3609,46101,5680,48781,8359c51460,11026,53525,14114,54975,17624c56425,21121,57150,24767,57150,28575c57150,32358,56425,35992,54975,39501c53525,42987,51460,46087,48781,48766c46101,51445,43011,53504,39510,54955c36009,56406,32364,57138,28575,57150c24786,57138,21141,56406,17640,54955c14139,53504,11049,51445,8369,48766c5690,46087,3625,42987,2175,39501c725,35992,0,32358,0,28575c0,24767,725,21121,2175,17624c3625,14114,5690,11026,8369,8359c11049,5680,14139,3609,17640,2158c21141,719,24786,0,28575,0x">
                  <v:stroke weight="0pt" endcap="flat" joinstyle="miter" miterlimit="10" on="false" color="#000000" opacity="0"/>
                  <v:fill on="true" color="#333333"/>
                </v:shape>
                <v:shape id="Shape 1579" style="position:absolute;width:571;height:571;left:0;top:5238;" coordsize="57150,57150" path="m28575,0c32364,0,36009,719,39510,2146c43011,3609,46101,5680,48781,8359c51460,11026,53525,14114,54975,17624c56425,21121,57150,24767,57150,28575c57150,32358,56425,35992,54975,39501c53525,42987,51460,46087,48781,48766c46101,51445,43011,53504,39510,54955c36009,56406,32364,57138,28575,57150c24786,57138,21141,56406,17640,54955c14139,53504,11049,51445,8369,48766c5690,46087,3625,42987,2175,39501c725,35992,0,32358,0,28575c0,24767,725,21121,2175,17624c3625,14114,5690,11026,8369,8359c11049,5680,14139,3609,17640,2158c21141,719,24786,0,28575,0x">
                  <v:stroke weight="0pt" endcap="flat" joinstyle="miter" miterlimit="10" on="false" color="#000000" opacity="0"/>
                  <v:fill on="true" color="#333333"/>
                </v:shape>
                <v:shape id="Shape 1582" style="position:absolute;width:571;height:571;left:0;top:8286;" coordsize="57150,57150" path="m28575,0c32364,0,36009,732,39510,2170c43011,3609,46101,5680,48781,8359c51460,11038,53525,14126,54975,17624c56425,21121,57150,24767,57150,28575c57150,32358,56425,36004,54975,39501c53525,42999,51460,46087,48781,48778c46101,51445,43011,53504,39510,54955c36009,56406,32364,57138,28575,57150c24786,57138,21141,56406,17640,54955c14139,53504,11049,51445,8369,48778c5690,46087,3625,42999,2175,39501c725,36004,0,32358,0,28575c0,24767,725,21121,2175,17624c3625,14126,5690,11038,8369,8359c11049,5680,14139,3609,17640,2158c21141,719,24786,0,28575,0x">
                  <v:stroke weight="0pt" endcap="flat" joinstyle="miter" miterlimit="10" on="false" color="#000000" opacity="0"/>
                  <v:fill on="true" color="#333333"/>
                </v:shape>
                <w10:wrap type="square"/>
              </v:group>
            </w:pict>
          </mc:Fallback>
        </mc:AlternateContent>
      </w:r>
      <w:r>
        <w:t>менее 12 ч от начала дискомфорта в груди;</w:t>
      </w:r>
    </w:p>
    <w:p w:rsidR="008E3F15" w:rsidRDefault="005F449A">
      <w:pPr>
        <w:ind w:left="340" w:right="15"/>
      </w:pPr>
      <w:r>
        <w:t xml:space="preserve">подъем </w:t>
      </w:r>
      <w:r>
        <w:rPr>
          <w:i/>
        </w:rPr>
        <w:t>ST</w:t>
      </w:r>
      <w:r>
        <w:t xml:space="preserve"> ≥1 мм по меньшей мере в двух смежных отведениях (V</w:t>
      </w:r>
      <w:r>
        <w:rPr>
          <w:sz w:val="31"/>
          <w:vertAlign w:val="subscript"/>
        </w:rPr>
        <w:t>1</w:t>
      </w:r>
      <w:r>
        <w:rPr>
          <w:sz w:val="20"/>
        </w:rPr>
        <w:t>–6</w:t>
      </w:r>
      <w:r>
        <w:t xml:space="preserve"> или I, aVL или II, III, aVF или V</w:t>
      </w:r>
      <w:r>
        <w:rPr>
          <w:sz w:val="31"/>
          <w:vertAlign w:val="subscript"/>
        </w:rPr>
        <w:t>3</w:t>
      </w:r>
      <w:r>
        <w:rPr>
          <w:sz w:val="20"/>
        </w:rPr>
        <w:t>R–4R</w:t>
      </w:r>
      <w:r>
        <w:t>);</w:t>
      </w:r>
    </w:p>
    <w:p w:rsidR="008E3F15" w:rsidRDefault="005F449A">
      <w:pPr>
        <w:spacing w:after="31"/>
        <w:ind w:left="340" w:right="15"/>
      </w:pPr>
      <w:r>
        <w:t>клинические и/или ЭКГ-признаки сохраняющейся ишемии мио карда в период 12–48 ч</w:t>
      </w:r>
    </w:p>
    <w:p w:rsidR="008E3F15" w:rsidRDefault="005F449A">
      <w:pPr>
        <w:spacing w:after="31"/>
        <w:ind w:left="340" w:right="15"/>
      </w:pPr>
      <w:r>
        <w:t>(ЧКВ);</w:t>
      </w:r>
    </w:p>
    <w:p w:rsidR="008E3F15" w:rsidRDefault="005F449A">
      <w:pPr>
        <w:spacing w:after="179"/>
        <w:ind w:left="340" w:right="15"/>
      </w:pPr>
      <w:r>
        <w:t>кардиогенный шок или острая тяжелая СН независимо от времени начала симптомов (ЧКВ).</w:t>
      </w:r>
    </w:p>
    <w:p w:rsidR="008E3F15" w:rsidRDefault="005F449A">
      <w:pPr>
        <w:ind w:left="2" w:right="15"/>
      </w:pPr>
      <w:r>
        <w:t>При окклюзии ствола левой коронарной артерии (обычно на фоне выраженного атеросклероз</w:t>
      </w:r>
      <w:r>
        <w:t xml:space="preserve">а) с распространенной депрессией </w:t>
      </w:r>
      <w:r>
        <w:rPr>
          <w:i/>
        </w:rPr>
        <w:t>ST</w:t>
      </w:r>
      <w:r>
        <w:t xml:space="preserve"> и подъемом </w:t>
      </w:r>
      <w:r>
        <w:rPr>
          <w:i/>
        </w:rPr>
        <w:t>ST</w:t>
      </w:r>
      <w:r>
        <w:t xml:space="preserve"> в aVR и/или V</w:t>
      </w:r>
      <w:r>
        <w:rPr>
          <w:sz w:val="31"/>
          <w:vertAlign w:val="subscript"/>
        </w:rPr>
        <w:t xml:space="preserve">1 </w:t>
      </w:r>
      <w:r>
        <w:t>тромболизис не целесообразен, а требуется экстренное коронарное вмешательство (ACCF/AHA).</w:t>
      </w:r>
    </w:p>
    <w:p w:rsidR="008E3F15" w:rsidRDefault="005F449A">
      <w:pPr>
        <w:ind w:left="2" w:right="172"/>
      </w:pPr>
      <w:r>
        <w:t>Прогностическая информативность предположительно новой блокады ножек пучка Гиса в отношении острого к</w:t>
      </w:r>
      <w:r>
        <w:t>оронарогенного некроза мио карда вследствие окклюзии коронарной артерии невысокая и требует учета дополнительных признаков ИМ (Jain S. et al., 2011; Becker S. et al., 2013; ACCF/AHA).</w:t>
      </w:r>
    </w:p>
    <w:p w:rsidR="008E3F15" w:rsidRDefault="005F449A">
      <w:pPr>
        <w:ind w:left="2" w:right="15"/>
      </w:pPr>
      <w:r>
        <w:t xml:space="preserve">Если имеются клинические (ангинозные боли) или ЭКГ-признаки (сохранение или появление подъема </w:t>
      </w:r>
      <w:r>
        <w:rPr>
          <w:i/>
        </w:rPr>
        <w:t>ST</w:t>
      </w:r>
      <w:r>
        <w:t>) сохраняющейся ишемии мио карда, реперфузия может быть проведена и после 12 ч от начала симптомов.</w:t>
      </w:r>
    </w:p>
    <w:p w:rsidR="008E3F15" w:rsidRDefault="005F449A">
      <w:pPr>
        <w:spacing w:after="179"/>
        <w:ind w:left="2" w:right="15"/>
      </w:pPr>
      <w:r>
        <w:t>Тромболитическая терапия при отсутствии противопоказаний пре</w:t>
      </w:r>
      <w:r>
        <w:t>дпочтительнее инвазивного лечения в следующих случаях:</w:t>
      </w:r>
    </w:p>
    <w:p w:rsidR="008E3F15" w:rsidRDefault="005F449A">
      <w:pPr>
        <w:spacing w:after="179"/>
        <w:ind w:left="340" w:right="120"/>
      </w:pPr>
      <w:r>
        <w:rPr>
          <w:rFonts w:ascii="Calibri" w:eastAsia="Calibri" w:hAnsi="Calibri" w:cs="Calibri"/>
          <w:noProof/>
          <w:color w:val="000000"/>
          <w:sz w:val="22"/>
        </w:rPr>
        <mc:AlternateContent>
          <mc:Choice Requires="wpg">
            <w:drawing>
              <wp:anchor distT="0" distB="0" distL="114300" distR="114300" simplePos="0" relativeHeight="251667456" behindDoc="0" locked="0" layoutInCell="1" allowOverlap="1">
                <wp:simplePos x="0" y="0"/>
                <wp:positionH relativeFrom="column">
                  <wp:posOffset>209550</wp:posOffset>
                </wp:positionH>
                <wp:positionV relativeFrom="paragraph">
                  <wp:posOffset>34764</wp:posOffset>
                </wp:positionV>
                <wp:extent cx="57150" cy="361950"/>
                <wp:effectExtent l="0" t="0" r="0" b="0"/>
                <wp:wrapSquare wrapText="bothSides"/>
                <wp:docPr id="250946" name="Group 250946"/>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605" name="Shape 1605"/>
                        <wps:cNvSpPr/>
                        <wps:spPr>
                          <a:xfrm>
                            <a:off x="0" y="0"/>
                            <a:ext cx="57150" cy="57150"/>
                          </a:xfrm>
                          <a:custGeom>
                            <a:avLst/>
                            <a:gdLst/>
                            <a:ahLst/>
                            <a:cxnLst/>
                            <a:rect l="0" t="0" r="0" b="0"/>
                            <a:pathLst>
                              <a:path w="57150" h="57150">
                                <a:moveTo>
                                  <a:pt x="28575" y="0"/>
                                </a:moveTo>
                                <a:cubicBezTo>
                                  <a:pt x="32364" y="0"/>
                                  <a:pt x="36009" y="719"/>
                                  <a:pt x="39510" y="2158"/>
                                </a:cubicBezTo>
                                <a:cubicBezTo>
                                  <a:pt x="43011" y="3609"/>
                                  <a:pt x="46101" y="5680"/>
                                  <a:pt x="48781" y="8359"/>
                                </a:cubicBezTo>
                                <a:cubicBezTo>
                                  <a:pt x="51460" y="11038"/>
                                  <a:pt x="53525" y="14126"/>
                                  <a:pt x="54975" y="17624"/>
                                </a:cubicBezTo>
                                <a:cubicBezTo>
                                  <a:pt x="56425" y="21121"/>
                                  <a:pt x="57150" y="24780"/>
                                  <a:pt x="57150" y="28575"/>
                                </a:cubicBezTo>
                                <a:cubicBezTo>
                                  <a:pt x="57150" y="32358"/>
                                  <a:pt x="56425" y="35992"/>
                                  <a:pt x="54975" y="39501"/>
                                </a:cubicBezTo>
                                <a:cubicBezTo>
                                  <a:pt x="53525" y="42987"/>
                                  <a:pt x="51460" y="46087"/>
                                  <a:pt x="48781" y="48766"/>
                                </a:cubicBezTo>
                                <a:cubicBezTo>
                                  <a:pt x="46101" y="51445"/>
                                  <a:pt x="43011" y="53504"/>
                                  <a:pt x="39510" y="54955"/>
                                </a:cubicBezTo>
                                <a:cubicBezTo>
                                  <a:pt x="36009" y="56406"/>
                                  <a:pt x="32364" y="57138"/>
                                  <a:pt x="28575" y="57150"/>
                                </a:cubicBezTo>
                                <a:cubicBezTo>
                                  <a:pt x="24786" y="57138"/>
                                  <a:pt x="21141" y="56406"/>
                                  <a:pt x="17640" y="54955"/>
                                </a:cubicBezTo>
                                <a:cubicBezTo>
                                  <a:pt x="14139" y="53504"/>
                                  <a:pt x="11049" y="51445"/>
                                  <a:pt x="8369" y="48766"/>
                                </a:cubicBezTo>
                                <a:cubicBezTo>
                                  <a:pt x="5690" y="46087"/>
                                  <a:pt x="3625" y="42987"/>
                                  <a:pt x="2175" y="39501"/>
                                </a:cubicBezTo>
                                <a:cubicBezTo>
                                  <a:pt x="725" y="35992"/>
                                  <a:pt x="0" y="32358"/>
                                  <a:pt x="0" y="28575"/>
                                </a:cubicBezTo>
                                <a:cubicBezTo>
                                  <a:pt x="0" y="24780"/>
                                  <a:pt x="725" y="21134"/>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 name="Shape 1608"/>
                        <wps:cNvSpPr/>
                        <wps:spPr>
                          <a:xfrm>
                            <a:off x="0" y="304800"/>
                            <a:ext cx="57150" cy="57150"/>
                          </a:xfrm>
                          <a:custGeom>
                            <a:avLst/>
                            <a:gdLst/>
                            <a:ahLst/>
                            <a:cxnLst/>
                            <a:rect l="0" t="0" r="0" b="0"/>
                            <a:pathLst>
                              <a:path w="57150" h="57150">
                                <a:moveTo>
                                  <a:pt x="28575" y="0"/>
                                </a:moveTo>
                                <a:cubicBezTo>
                                  <a:pt x="32364" y="0"/>
                                  <a:pt x="36009" y="732"/>
                                  <a:pt x="39510" y="2170"/>
                                </a:cubicBezTo>
                                <a:cubicBezTo>
                                  <a:pt x="43011" y="3609"/>
                                  <a:pt x="46101" y="5680"/>
                                  <a:pt x="48781" y="8359"/>
                                </a:cubicBezTo>
                                <a:cubicBezTo>
                                  <a:pt x="51460" y="11038"/>
                                  <a:pt x="53525" y="14126"/>
                                  <a:pt x="54975" y="17624"/>
                                </a:cubicBezTo>
                                <a:cubicBezTo>
                                  <a:pt x="56425" y="21121"/>
                                  <a:pt x="57150" y="24767"/>
                                  <a:pt x="57150" y="28575"/>
                                </a:cubicBezTo>
                                <a:cubicBezTo>
                                  <a:pt x="57150" y="32358"/>
                                  <a:pt x="56425" y="35992"/>
                                  <a:pt x="54975" y="39501"/>
                                </a:cubicBezTo>
                                <a:cubicBezTo>
                                  <a:pt x="53525" y="42999"/>
                                  <a:pt x="51460" y="46087"/>
                                  <a:pt x="48781" y="48778"/>
                                </a:cubicBezTo>
                                <a:cubicBezTo>
                                  <a:pt x="46101" y="51445"/>
                                  <a:pt x="43011" y="53516"/>
                                  <a:pt x="39510" y="54955"/>
                                </a:cubicBezTo>
                                <a:cubicBezTo>
                                  <a:pt x="36009" y="56418"/>
                                  <a:pt x="32364" y="57138"/>
                                  <a:pt x="28575" y="57150"/>
                                </a:cubicBezTo>
                                <a:cubicBezTo>
                                  <a:pt x="24786" y="57138"/>
                                  <a:pt x="21141" y="56418"/>
                                  <a:pt x="17640" y="54967"/>
                                </a:cubicBezTo>
                                <a:cubicBezTo>
                                  <a:pt x="14139" y="53516"/>
                                  <a:pt x="11049" y="51445"/>
                                  <a:pt x="8369" y="48778"/>
                                </a:cubicBezTo>
                                <a:cubicBezTo>
                                  <a:pt x="5690" y="46087"/>
                                  <a:pt x="3625" y="42999"/>
                                  <a:pt x="2175" y="39501"/>
                                </a:cubicBezTo>
                                <a:cubicBezTo>
                                  <a:pt x="725" y="35992"/>
                                  <a:pt x="0" y="32358"/>
                                  <a:pt x="0" y="28575"/>
                                </a:cubicBezTo>
                                <a:cubicBezTo>
                                  <a:pt x="0" y="24767"/>
                                  <a:pt x="725" y="21121"/>
                                  <a:pt x="2175" y="17624"/>
                                </a:cubicBezTo>
                                <a:cubicBezTo>
                                  <a:pt x="3625" y="14126"/>
                                  <a:pt x="5690" y="11038"/>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946" style="width:4.5pt;height:28.5pt;position:absolute;mso-position-horizontal-relative:text;mso-position-horizontal:absolute;margin-left:16.5pt;mso-position-vertical-relative:text;margin-top:2.7373pt;" coordsize="571,3619">
                <v:shape id="Shape 1605" style="position:absolute;width:571;height:571;left:0;top:0;" coordsize="57150,57150" path="m28575,0c32364,0,36009,719,39510,2158c43011,3609,46101,5680,48781,8359c51460,11038,53525,14126,54975,17624c56425,21121,57150,24780,57150,28575c57150,32358,56425,35992,54975,39501c53525,42987,51460,46087,48781,48766c46101,51445,43011,53504,39510,54955c36009,56406,32364,57138,28575,57150c24786,57138,21141,56406,17640,54955c14139,53504,11049,51445,8369,48766c5690,46087,3625,42987,2175,39501c725,35992,0,32358,0,28575c0,24780,725,21134,2175,17624c3625,14126,5690,11038,8369,8359c11049,5680,14139,3609,17640,2158c21141,719,24786,0,28575,0x">
                  <v:stroke weight="0pt" endcap="flat" joinstyle="miter" miterlimit="10" on="false" color="#000000" opacity="0"/>
                  <v:fill on="true" color="#333333"/>
                </v:shape>
                <v:shape id="Shape 1608" style="position:absolute;width:571;height:571;left:0;top:3048;" coordsize="57150,57150" path="m28575,0c32364,0,36009,732,39510,2170c43011,3609,46101,5680,48781,8359c51460,11038,53525,14126,54975,17624c56425,21121,57150,24767,57150,28575c57150,32358,56425,35992,54975,39501c53525,42999,51460,46087,48781,48778c46101,51445,43011,53516,39510,54955c36009,56418,32364,57138,28575,57150c24786,57138,21141,56418,17640,54967c14139,53516,11049,51445,8369,48778c5690,46087,3625,42999,2175,39501c725,35992,0,32358,0,28575c0,24767,725,21121,2175,17624c3625,14126,5690,11038,8369,8359c11049,5680,14139,3609,17640,2158c21141,719,24786,0,28575,0x">
                  <v:stroke weight="0pt" endcap="flat" joinstyle="miter" miterlimit="10" on="false" color="#000000" opacity="0"/>
                  <v:fill on="true" color="#333333"/>
                </v:shape>
                <w10:wrap type="square"/>
              </v:group>
            </w:pict>
          </mc:Fallback>
        </mc:AlternateContent>
      </w:r>
      <w:r>
        <w:t>предполагаемая задержка инвазивной реперфузии &gt;120 мин от постановки диагноза до проведения проводника в инфаркт-ответственную коронарную артерию; анафилаксия на рентгенконтрастные препараты.</w:t>
      </w:r>
    </w:p>
    <w:p w:rsidR="008E3F15" w:rsidRDefault="005F449A">
      <w:pPr>
        <w:ind w:left="2" w:right="15"/>
      </w:pPr>
      <w:r>
        <w:t>При тром</w:t>
      </w:r>
      <w:r>
        <w:t>болизисе в первые 2–3 ч с последующей КГ краткосрочные и отдаленные результаты были не хуже первичного ЧКВ (CAPTIM; PRAGUE-2; STREAM).</w:t>
      </w:r>
    </w:p>
    <w:p w:rsidR="008E3F15" w:rsidRDefault="005F449A">
      <w:pPr>
        <w:ind w:left="2" w:right="15"/>
      </w:pPr>
      <w:r>
        <w:t>Критериями эффективного внутривенного тромболизиса считаются облегчение симптомов, улучшение гемодинамики, а также ↓</w:t>
      </w:r>
      <w:r>
        <w:rPr>
          <w:i/>
        </w:rPr>
        <w:t>ST</w:t>
      </w:r>
      <w:r>
        <w:t xml:space="preserve"> &gt;5</w:t>
      </w:r>
      <w:r>
        <w:t xml:space="preserve">0% от исходного уровня в отведении с наибольшим подъемом </w:t>
      </w:r>
      <w:r>
        <w:rPr>
          <w:i/>
        </w:rPr>
        <w:t>ST</w:t>
      </w:r>
      <w:r>
        <w:t xml:space="preserve"> к 60–90 мин после начала лечения. При отсутствии критериев лизиса тромба показано немедленное ЧКВ. В случае эффективного тромболизиса показаны КГ в период 2– 24 ч и реваскуляризация при наличии по</w:t>
      </w:r>
      <w:r>
        <w:t>казаний, что снижает частоту ишемических событий и реинфарктов.</w:t>
      </w:r>
    </w:p>
    <w:p w:rsidR="008E3F15" w:rsidRDefault="005F449A">
      <w:pPr>
        <w:ind w:left="2" w:right="158"/>
      </w:pPr>
      <w:r>
        <w:t xml:space="preserve">Снижение </w:t>
      </w:r>
      <w:r>
        <w:rPr>
          <w:i/>
        </w:rPr>
        <w:t>ST</w:t>
      </w:r>
      <w:r>
        <w:t xml:space="preserve"> &gt;70% в течение 4 ч приводит к уменьшению смертности через месяц и в отдаленном периоде (Sejersten M. et al., 2009). Во время лечения может регистрироваться желудочковый ускоренный </w:t>
      </w:r>
      <w:r>
        <w:t>(60–120 в мин) ритм, не требующий лечения при невысокой частоте.</w:t>
      </w:r>
    </w:p>
    <w:p w:rsidR="008E3F15" w:rsidRDefault="005F449A">
      <w:pPr>
        <w:spacing w:after="133" w:line="259" w:lineRule="auto"/>
        <w:ind w:right="0"/>
      </w:pPr>
      <w:r>
        <w:rPr>
          <w:i/>
        </w:rPr>
        <w:t>Противопоказания для тромболизиса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668480" behindDoc="0" locked="0" layoutInCell="1" allowOverlap="1">
                <wp:simplePos x="0" y="0"/>
                <wp:positionH relativeFrom="column">
                  <wp:posOffset>209550</wp:posOffset>
                </wp:positionH>
                <wp:positionV relativeFrom="paragraph">
                  <wp:posOffset>34764</wp:posOffset>
                </wp:positionV>
                <wp:extent cx="438150" cy="1581150"/>
                <wp:effectExtent l="0" t="0" r="0" b="0"/>
                <wp:wrapSquare wrapText="bothSides"/>
                <wp:docPr id="250947" name="Group 250947"/>
                <wp:cNvGraphicFramePr/>
                <a:graphic xmlns:a="http://schemas.openxmlformats.org/drawingml/2006/main">
                  <a:graphicData uri="http://schemas.microsoft.com/office/word/2010/wordprocessingGroup">
                    <wpg:wgp>
                      <wpg:cNvGrpSpPr/>
                      <wpg:grpSpPr>
                        <a:xfrm>
                          <a:off x="0" y="0"/>
                          <a:ext cx="438150" cy="1581150"/>
                          <a:chOff x="0" y="0"/>
                          <a:chExt cx="438150" cy="1581150"/>
                        </a:xfrm>
                      </wpg:grpSpPr>
                      <wps:wsp>
                        <wps:cNvPr id="1629" name="Shape 1629"/>
                        <wps:cNvSpPr/>
                        <wps:spPr>
                          <a:xfrm>
                            <a:off x="0" y="0"/>
                            <a:ext cx="57150" cy="57150"/>
                          </a:xfrm>
                          <a:custGeom>
                            <a:avLst/>
                            <a:gdLst/>
                            <a:ahLst/>
                            <a:cxnLst/>
                            <a:rect l="0" t="0" r="0" b="0"/>
                            <a:pathLst>
                              <a:path w="57150" h="57150">
                                <a:moveTo>
                                  <a:pt x="28575" y="0"/>
                                </a:moveTo>
                                <a:cubicBezTo>
                                  <a:pt x="32364" y="0"/>
                                  <a:pt x="36009" y="719"/>
                                  <a:pt x="39510" y="2146"/>
                                </a:cubicBezTo>
                                <a:cubicBezTo>
                                  <a:pt x="43011" y="3609"/>
                                  <a:pt x="46101" y="5680"/>
                                  <a:pt x="48781" y="8359"/>
                                </a:cubicBezTo>
                                <a:cubicBezTo>
                                  <a:pt x="51460" y="11026"/>
                                  <a:pt x="53525" y="14126"/>
                                  <a:pt x="54975" y="17624"/>
                                </a:cubicBezTo>
                                <a:cubicBezTo>
                                  <a:pt x="56425" y="21121"/>
                                  <a:pt x="57150" y="24767"/>
                                  <a:pt x="57150" y="28575"/>
                                </a:cubicBezTo>
                                <a:cubicBezTo>
                                  <a:pt x="57150" y="32358"/>
                                  <a:pt x="56425" y="36004"/>
                                  <a:pt x="54975" y="39501"/>
                                </a:cubicBezTo>
                                <a:cubicBezTo>
                                  <a:pt x="53525" y="42999"/>
                                  <a:pt x="51460" y="46087"/>
                                  <a:pt x="48781" y="48778"/>
                                </a:cubicBezTo>
                                <a:cubicBezTo>
                                  <a:pt x="46101" y="51445"/>
                                  <a:pt x="43011" y="53516"/>
                                  <a:pt x="39510" y="54955"/>
                                </a:cubicBezTo>
                                <a:cubicBezTo>
                                  <a:pt x="36009" y="56406"/>
                                  <a:pt x="32364" y="57138"/>
                                  <a:pt x="28575" y="57150"/>
                                </a:cubicBezTo>
                                <a:cubicBezTo>
                                  <a:pt x="24786" y="57138"/>
                                  <a:pt x="21141" y="56406"/>
                                  <a:pt x="17640" y="54955"/>
                                </a:cubicBezTo>
                                <a:cubicBezTo>
                                  <a:pt x="14139" y="53516"/>
                                  <a:pt x="11049" y="51445"/>
                                  <a:pt x="8369" y="48778"/>
                                </a:cubicBezTo>
                                <a:cubicBezTo>
                                  <a:pt x="5690" y="46087"/>
                                  <a:pt x="3625" y="42999"/>
                                  <a:pt x="2175" y="39501"/>
                                </a:cubicBezTo>
                                <a:cubicBezTo>
                                  <a:pt x="725" y="36004"/>
                                  <a:pt x="0" y="32358"/>
                                  <a:pt x="0" y="28575"/>
                                </a:cubicBezTo>
                                <a:cubicBezTo>
                                  <a:pt x="0" y="24767"/>
                                  <a:pt x="725" y="21121"/>
                                  <a:pt x="2175" y="17624"/>
                                </a:cubicBezTo>
                                <a:cubicBezTo>
                                  <a:pt x="3625" y="14126"/>
                                  <a:pt x="5690" y="11026"/>
                                  <a:pt x="8369" y="8359"/>
                                </a:cubicBezTo>
                                <a:cubicBezTo>
                                  <a:pt x="11049" y="5680"/>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1" name="Shape 1631"/>
                        <wps:cNvSpPr/>
                        <wps:spPr>
                          <a:xfrm>
                            <a:off x="381000" y="152400"/>
                            <a:ext cx="57150" cy="57150"/>
                          </a:xfrm>
                          <a:custGeom>
                            <a:avLst/>
                            <a:gdLst/>
                            <a:ahLst/>
                            <a:cxnLst/>
                            <a:rect l="0" t="0" r="0" b="0"/>
                            <a:pathLst>
                              <a:path w="57150" h="57150">
                                <a:moveTo>
                                  <a:pt x="28575" y="0"/>
                                </a:moveTo>
                                <a:cubicBezTo>
                                  <a:pt x="32364" y="0"/>
                                  <a:pt x="36009" y="707"/>
                                  <a:pt x="39510" y="2133"/>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92"/>
                                  <a:pt x="54975" y="39489"/>
                                </a:cubicBezTo>
                                <a:cubicBezTo>
                                  <a:pt x="53525" y="43011"/>
                                  <a:pt x="51460" y="46100"/>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78"/>
                                </a:cubicBezTo>
                                <a:cubicBezTo>
                                  <a:pt x="5690" y="46100"/>
                                  <a:pt x="3625" y="43011"/>
                                  <a:pt x="2175" y="39489"/>
                                </a:cubicBezTo>
                                <a:cubicBezTo>
                                  <a:pt x="725" y="35992"/>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 name="Shape 1634"/>
                        <wps:cNvSpPr/>
                        <wps:spPr>
                          <a:xfrm>
                            <a:off x="381000" y="4572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13"/>
                                  <a:pt x="53525" y="14101"/>
                                  <a:pt x="54975" y="17611"/>
                                </a:cubicBezTo>
                                <a:cubicBezTo>
                                  <a:pt x="56425" y="21109"/>
                                  <a:pt x="57150" y="24755"/>
                                  <a:pt x="57150" y="28575"/>
                                </a:cubicBezTo>
                                <a:cubicBezTo>
                                  <a:pt x="57150" y="32345"/>
                                  <a:pt x="56425" y="35992"/>
                                  <a:pt x="54975" y="39489"/>
                                </a:cubicBezTo>
                                <a:cubicBezTo>
                                  <a:pt x="53525" y="42987"/>
                                  <a:pt x="51460" y="46075"/>
                                  <a:pt x="48781" y="48778"/>
                                </a:cubicBezTo>
                                <a:cubicBezTo>
                                  <a:pt x="46101" y="51457"/>
                                  <a:pt x="43011" y="53516"/>
                                  <a:pt x="39510" y="54955"/>
                                </a:cubicBezTo>
                                <a:cubicBezTo>
                                  <a:pt x="36009" y="56418"/>
                                  <a:pt x="32364" y="57150"/>
                                  <a:pt x="28575" y="57150"/>
                                </a:cubicBezTo>
                                <a:cubicBezTo>
                                  <a:pt x="24786" y="57150"/>
                                  <a:pt x="21141" y="56418"/>
                                  <a:pt x="17640" y="54967"/>
                                </a:cubicBezTo>
                                <a:cubicBezTo>
                                  <a:pt x="14139" y="53516"/>
                                  <a:pt x="11049" y="51457"/>
                                  <a:pt x="8370" y="48778"/>
                                </a:cubicBezTo>
                                <a:cubicBezTo>
                                  <a:pt x="5690" y="46075"/>
                                  <a:pt x="3625" y="42987"/>
                                  <a:pt x="2175" y="39489"/>
                                </a:cubicBezTo>
                                <a:cubicBezTo>
                                  <a:pt x="725" y="35992"/>
                                  <a:pt x="0" y="32345"/>
                                  <a:pt x="0" y="28575"/>
                                </a:cubicBezTo>
                                <a:cubicBezTo>
                                  <a:pt x="0" y="24755"/>
                                  <a:pt x="725" y="21109"/>
                                  <a:pt x="2175" y="17611"/>
                                </a:cubicBezTo>
                                <a:cubicBezTo>
                                  <a:pt x="3625" y="14101"/>
                                  <a:pt x="5690" y="11013"/>
                                  <a:pt x="8370" y="8347"/>
                                </a:cubicBezTo>
                                <a:cubicBezTo>
                                  <a:pt x="11049" y="5655"/>
                                  <a:pt x="14139" y="3584"/>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 name="Shape 1636"/>
                        <wps:cNvSpPr/>
                        <wps:spPr>
                          <a:xfrm>
                            <a:off x="381000" y="6096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09"/>
                                  <a:pt x="57150" y="24755"/>
                                  <a:pt x="57150" y="28575"/>
                                </a:cubicBezTo>
                                <a:cubicBezTo>
                                  <a:pt x="57150" y="32345"/>
                                  <a:pt x="56425" y="35979"/>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78"/>
                                </a:cubicBezTo>
                                <a:cubicBezTo>
                                  <a:pt x="5690" y="46075"/>
                                  <a:pt x="3625" y="42987"/>
                                  <a:pt x="2175" y="39489"/>
                                </a:cubicBezTo>
                                <a:cubicBezTo>
                                  <a:pt x="725" y="35979"/>
                                  <a:pt x="0" y="32345"/>
                                  <a:pt x="0" y="28575"/>
                                </a:cubicBezTo>
                                <a:cubicBezTo>
                                  <a:pt x="0" y="24755"/>
                                  <a:pt x="725" y="21109"/>
                                  <a:pt x="2175" y="17599"/>
                                </a:cubicBezTo>
                                <a:cubicBezTo>
                                  <a:pt x="3625" y="14114"/>
                                  <a:pt x="5690" y="11026"/>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9" name="Shape 1639"/>
                        <wps:cNvSpPr/>
                        <wps:spPr>
                          <a:xfrm>
                            <a:off x="381000" y="914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92"/>
                                  <a:pt x="54975" y="39489"/>
                                </a:cubicBezTo>
                                <a:cubicBezTo>
                                  <a:pt x="53525" y="42987"/>
                                  <a:pt x="51460" y="46075"/>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70" y="48754"/>
                                </a:cubicBezTo>
                                <a:cubicBezTo>
                                  <a:pt x="5690" y="46075"/>
                                  <a:pt x="3625" y="42987"/>
                                  <a:pt x="2175" y="39489"/>
                                </a:cubicBezTo>
                                <a:cubicBezTo>
                                  <a:pt x="725" y="35992"/>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42" name="Shape 1642"/>
                        <wps:cNvSpPr/>
                        <wps:spPr>
                          <a:xfrm>
                            <a:off x="381000" y="12192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26"/>
                                  <a:pt x="53525" y="14114"/>
                                  <a:pt x="54975" y="17611"/>
                                </a:cubicBezTo>
                                <a:cubicBezTo>
                                  <a:pt x="56425" y="21109"/>
                                  <a:pt x="57150" y="24755"/>
                                  <a:pt x="57150" y="28575"/>
                                </a:cubicBezTo>
                                <a:cubicBezTo>
                                  <a:pt x="57150" y="32345"/>
                                  <a:pt x="56425" y="35992"/>
                                  <a:pt x="54975" y="39477"/>
                                </a:cubicBezTo>
                                <a:cubicBezTo>
                                  <a:pt x="53525" y="42974"/>
                                  <a:pt x="51460" y="46062"/>
                                  <a:pt x="48781" y="48754"/>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54"/>
                                </a:cubicBezTo>
                                <a:cubicBezTo>
                                  <a:pt x="5690" y="46062"/>
                                  <a:pt x="3625" y="42974"/>
                                  <a:pt x="2175" y="39477"/>
                                </a:cubicBezTo>
                                <a:cubicBezTo>
                                  <a:pt x="725" y="35992"/>
                                  <a:pt x="0" y="32345"/>
                                  <a:pt x="0" y="28575"/>
                                </a:cubicBezTo>
                                <a:cubicBezTo>
                                  <a:pt x="0" y="24755"/>
                                  <a:pt x="725" y="21109"/>
                                  <a:pt x="2175" y="17611"/>
                                </a:cubicBezTo>
                                <a:cubicBezTo>
                                  <a:pt x="3625" y="14114"/>
                                  <a:pt x="5690" y="11026"/>
                                  <a:pt x="8370" y="8347"/>
                                </a:cubicBezTo>
                                <a:cubicBezTo>
                                  <a:pt x="11049" y="5655"/>
                                  <a:pt x="14139" y="3584"/>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44" name="Shape 1644"/>
                        <wps:cNvSpPr/>
                        <wps:spPr>
                          <a:xfrm>
                            <a:off x="381000" y="13716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09"/>
                                  <a:pt x="57150" y="24755"/>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78"/>
                                </a:cubicBezTo>
                                <a:cubicBezTo>
                                  <a:pt x="5690" y="46075"/>
                                  <a:pt x="3625" y="42987"/>
                                  <a:pt x="2175" y="39489"/>
                                </a:cubicBezTo>
                                <a:cubicBezTo>
                                  <a:pt x="725" y="35992"/>
                                  <a:pt x="0" y="32345"/>
                                  <a:pt x="0" y="28575"/>
                                </a:cubicBezTo>
                                <a:cubicBezTo>
                                  <a:pt x="0" y="24755"/>
                                  <a:pt x="725" y="21109"/>
                                  <a:pt x="2175" y="17599"/>
                                </a:cubicBezTo>
                                <a:cubicBezTo>
                                  <a:pt x="3625" y="14114"/>
                                  <a:pt x="5690" y="11026"/>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46" name="Shape 1646"/>
                        <wps:cNvSpPr/>
                        <wps:spPr>
                          <a:xfrm>
                            <a:off x="381000" y="152400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26"/>
                                  <a:pt x="53525" y="14114"/>
                                  <a:pt x="54975" y="17636"/>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67"/>
                                </a:cubicBezTo>
                                <a:cubicBezTo>
                                  <a:pt x="36009" y="56406"/>
                                  <a:pt x="32364" y="57125"/>
                                  <a:pt x="28575" y="57150"/>
                                </a:cubicBezTo>
                                <a:cubicBezTo>
                                  <a:pt x="24786" y="57125"/>
                                  <a:pt x="21141" y="56406"/>
                                  <a:pt x="17640" y="54955"/>
                                </a:cubicBezTo>
                                <a:cubicBezTo>
                                  <a:pt x="14139" y="53504"/>
                                  <a:pt x="11049" y="51433"/>
                                  <a:pt x="8370" y="48778"/>
                                </a:cubicBezTo>
                                <a:cubicBezTo>
                                  <a:pt x="5690" y="46075"/>
                                  <a:pt x="3625" y="42987"/>
                                  <a:pt x="2175" y="39489"/>
                                </a:cubicBezTo>
                                <a:cubicBezTo>
                                  <a:pt x="725" y="35992"/>
                                  <a:pt x="0" y="32345"/>
                                  <a:pt x="0" y="28575"/>
                                </a:cubicBezTo>
                                <a:cubicBezTo>
                                  <a:pt x="0" y="24780"/>
                                  <a:pt x="725" y="21134"/>
                                  <a:pt x="2175" y="17636"/>
                                </a:cubicBezTo>
                                <a:cubicBezTo>
                                  <a:pt x="3625" y="14114"/>
                                  <a:pt x="5690" y="11026"/>
                                  <a:pt x="8370" y="8372"/>
                                </a:cubicBezTo>
                                <a:cubicBezTo>
                                  <a:pt x="11049" y="5668"/>
                                  <a:pt x="14139" y="3609"/>
                                  <a:pt x="17640" y="2170"/>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947" style="width:34.5pt;height:124.5pt;position:absolute;mso-position-horizontal-relative:text;mso-position-horizontal:absolute;margin-left:16.5pt;mso-position-vertical-relative:text;margin-top:2.7373pt;" coordsize="4381,15811">
                <v:shape id="Shape 1629" style="position:absolute;width:571;height:571;left:0;top:0;" coordsize="57150,57150" path="m28575,0c32364,0,36009,719,39510,2146c43011,3609,46101,5680,48781,8359c51460,11026,53525,14126,54975,17624c56425,21121,57150,24767,57150,28575c57150,32358,56425,36004,54975,39501c53525,42999,51460,46087,48781,48778c46101,51445,43011,53516,39510,54955c36009,56406,32364,57138,28575,57150c24786,57138,21141,56406,17640,54955c14139,53516,11049,51445,8369,48778c5690,46087,3625,42999,2175,39501c725,36004,0,32358,0,28575c0,24767,725,21121,2175,17624c3625,14126,5690,11026,8369,8359c11049,5680,14139,3609,17640,2158c21141,719,24786,0,28575,0x">
                  <v:stroke weight="0pt" endcap="flat" joinstyle="miter" miterlimit="10" on="false" color="#000000" opacity="0"/>
                  <v:fill on="true" color="#333333"/>
                </v:shape>
                <v:shape id="Shape 1631" style="position:absolute;width:571;height:571;left:3810;top:1524;" coordsize="57150,57150" path="m28575,0c32364,0,36009,707,39510,2133c43011,3609,46101,5668,48781,8347c51460,11013,53525,14101,54975,17611c56425,21134,57150,24780,57150,28575c57150,32345,56425,35992,54975,39489c53525,43011,51460,46100,48781,48778c46101,51433,43011,53504,39510,54955c36009,56406,32364,57125,28575,57150c24786,57125,21141,56406,17640,54955c14139,53504,11049,51433,8370,48778c5690,46100,3625,43011,2175,39489c725,35992,0,32345,0,28575c0,24780,725,21134,2175,17611c3625,14101,5690,11013,8370,8347c11049,5668,14139,3609,17640,2158c21141,719,24786,0,28575,0x">
                  <v:stroke weight="0pt" endcap="flat" joinstyle="miter" miterlimit="10" on="false" color="#000000" opacity="0"/>
                  <v:fill on="true" color="#333333"/>
                </v:shape>
                <v:shape id="Shape 1634" style="position:absolute;width:571;height:571;left:3810;top:4572;" coordsize="57150,57150" path="m28575,0c32364,0,36009,719,39510,2158c43011,3584,46101,5655,48781,8347c51460,11013,53525,14101,54975,17611c56425,21109,57150,24755,57150,28575c57150,32345,56425,35992,54975,39489c53525,42987,51460,46075,48781,48778c46101,51457,43011,53516,39510,54955c36009,56418,32364,57150,28575,57150c24786,57150,21141,56418,17640,54967c14139,53516,11049,51457,8370,48778c5690,46075,3625,42987,2175,39489c725,35992,0,32345,0,28575c0,24755,725,21109,2175,17611c3625,14101,5690,11013,8370,8347c11049,5655,14139,3584,17640,2158c21141,719,24786,0,28575,0x">
                  <v:stroke weight="0pt" endcap="flat" joinstyle="miter" miterlimit="10" on="false" color="#000000" opacity="0"/>
                  <v:fill on="true" color="#333333"/>
                </v:shape>
                <v:shape id="Shape 1636" style="position:absolute;width:571;height:571;left:3810;top:6096;" coordsize="57150,57150" path="m28575,0c32364,0,36009,719,39510,2158c43011,3609,46101,5668,48781,8347c51460,11026,53525,14114,54975,17611c56425,21109,57150,24755,57150,28575c57150,32345,56425,35979,54975,39489c53525,42987,51460,46075,48781,48778c46101,51433,43011,53504,39510,54955c36009,56406,32364,57125,28575,57150c24786,57125,21141,56406,17640,54955c14139,53504,11049,51433,8370,48778c5690,46075,3625,42987,2175,39489c725,35979,0,32345,0,28575c0,24755,725,21109,2175,17599c3625,14114,5690,11026,8370,8347c11049,5668,14139,3609,17640,2158c21141,719,24786,0,28575,0x">
                  <v:stroke weight="0pt" endcap="flat" joinstyle="miter" miterlimit="10" on="false" color="#000000" opacity="0"/>
                  <v:fill on="true" color="#333333"/>
                </v:shape>
                <v:shape id="Shape 1639" style="position:absolute;width:571;height:571;left:3810;top:9144;" coordsize="57150,57150" path="m28575,0c32364,0,36009,719,39510,2158c43011,3609,46101,5668,48781,8347c51460,11013,53525,14101,54975,17611c56425,21134,57150,24780,57150,28575c57150,32345,56425,35992,54975,39489c53525,42987,51460,46075,48781,48754c46101,51420,43011,53479,39510,54930c36009,56406,32364,57125,28575,57150c24786,57125,21141,56406,17640,54930c14139,53479,11049,51420,8370,48754c5690,46075,3625,42987,2175,39489c725,35992,0,32345,0,28575c0,24780,725,21134,2175,17611c3625,14101,5690,11013,8370,8347c11049,5668,14139,3609,17640,2158c21141,719,24786,0,28575,0x">
                  <v:stroke weight="0pt" endcap="flat" joinstyle="miter" miterlimit="10" on="false" color="#000000" opacity="0"/>
                  <v:fill on="true" color="#333333"/>
                </v:shape>
                <v:shape id="Shape 1642" style="position:absolute;width:571;height:571;left:3810;top:12192;" coordsize="57150,57150" path="m28575,0c32364,0,36009,719,39510,2158c43011,3584,46101,5655,48781,8347c51460,11026,53525,14114,54975,17611c56425,21109,57150,24755,57150,28575c57150,32345,56425,35992,54975,39477c53525,42974,51460,46062,48781,48754c46101,51433,43011,53504,39510,54955c36009,56406,32364,57125,28575,57150c24786,57125,21141,56406,17640,54955c14139,53504,11049,51433,8370,48754c5690,46062,3625,42974,2175,39477c725,35992,0,32345,0,28575c0,24755,725,21109,2175,17611c3625,14114,5690,11026,8370,8347c11049,5655,14139,3584,17640,2158c21141,719,24786,0,28575,0x">
                  <v:stroke weight="0pt" endcap="flat" joinstyle="miter" miterlimit="10" on="false" color="#000000" opacity="0"/>
                  <v:fill on="true" color="#333333"/>
                </v:shape>
                <v:shape id="Shape 1644" style="position:absolute;width:571;height:571;left:3810;top:13716;" coordsize="57150,57150" path="m28575,0c32364,0,36009,719,39510,2158c43011,3609,46101,5668,48781,8347c51460,11026,53525,14114,54975,17611c56425,21109,57150,24755,57150,28575c57150,32345,56425,35992,54975,39489c53525,42987,51460,46075,48781,48778c46101,51433,43011,53504,39510,54955c36009,56406,32364,57125,28575,57150c24786,57125,21141,56406,17640,54955c14139,53504,11049,51433,8370,48778c5690,46075,3625,42987,2175,39489c725,35992,0,32345,0,28575c0,24755,725,21109,2175,17599c3625,14114,5690,11026,8370,8347c11049,5668,14139,3609,17640,2158c21141,719,24786,0,28575,0x">
                  <v:stroke weight="0pt" endcap="flat" joinstyle="miter" miterlimit="10" on="false" color="#000000" opacity="0"/>
                  <v:fill on="true" color="#333333"/>
                </v:shape>
                <v:shape id="Shape 1646" style="position:absolute;width:571;height:571;left:3810;top:15240;" coordsize="57150,57150" path="m28575,0c32364,0,36009,719,39510,2158c43011,3609,46101,5668,48781,8372c51460,11026,53525,14114,54975,17636c56425,21134,57150,24780,57150,28575c57150,32345,56425,35992,54975,39489c53525,42987,51460,46075,48781,48778c46101,51433,43011,53504,39510,54967c36009,56406,32364,57125,28575,57150c24786,57125,21141,56406,17640,54955c14139,53504,11049,51433,8370,48778c5690,46075,3625,42987,2175,39489c725,35992,0,32345,0,28575c0,24780,725,21134,2175,17636c3625,14114,5690,11026,8370,8372c11049,5668,14139,3609,17640,2170c21141,719,24786,0,28575,0x">
                  <v:stroke weight="0pt" endcap="flat" joinstyle="miter" miterlimit="10" on="false" color="#000000" opacity="0"/>
                  <v:fill on="true" color="#333333"/>
                </v:shape>
                <w10:wrap type="square"/>
              </v:group>
            </w:pict>
          </mc:Fallback>
        </mc:AlternateContent>
      </w:r>
      <w:r>
        <w:rPr>
          <w:i/>
        </w:rPr>
        <w:t>абсолютные:</w:t>
      </w:r>
    </w:p>
    <w:p w:rsidR="008E3F15" w:rsidRDefault="005F449A">
      <w:pPr>
        <w:ind w:left="340" w:right="15"/>
      </w:pPr>
      <w:r>
        <w:t>предшествующие внутричерепное кровоизлияние или инсульт неизвестной природы в любое время;</w:t>
      </w:r>
    </w:p>
    <w:p w:rsidR="008E3F15" w:rsidRDefault="005F449A">
      <w:pPr>
        <w:ind w:left="340" w:right="1200"/>
      </w:pPr>
      <w:r>
        <w:t>ишемический инсульт в предшествующие 6 мес (ис</w:t>
      </w:r>
      <w:r>
        <w:t>ключая первые 4,5 ч); повреждения или новообразования центральной нервной системы или артериовенозные мальформации;</w:t>
      </w:r>
    </w:p>
    <w:p w:rsidR="008E3F15" w:rsidRDefault="005F449A">
      <w:pPr>
        <w:ind w:left="340" w:right="15"/>
      </w:pPr>
      <w:r>
        <w:t>большая травма, хирургическое вмешательство, повреждение головы, желудочнокишечное кровотечение в течение предыдущего месяца;</w:t>
      </w:r>
    </w:p>
    <w:p w:rsidR="008E3F15" w:rsidRDefault="005F449A">
      <w:pPr>
        <w:ind w:left="340" w:right="15"/>
      </w:pPr>
      <w:r>
        <w:t>активное крово</w:t>
      </w:r>
      <w:r>
        <w:t>течение или геморрагическое заболевание (исключая месячные); расслоение аорты;</w:t>
      </w:r>
    </w:p>
    <w:p w:rsidR="008E3F15" w:rsidRDefault="005F449A">
      <w:pPr>
        <w:ind w:left="340" w:right="328"/>
      </w:pPr>
      <w:r>
        <w:t>некомпрессируемые пункции (например, подключичная вена или люмбальная) в предшествующие 24 ч;</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669504" behindDoc="0" locked="0" layoutInCell="1" allowOverlap="1">
                <wp:simplePos x="0" y="0"/>
                <wp:positionH relativeFrom="column">
                  <wp:posOffset>209550</wp:posOffset>
                </wp:positionH>
                <wp:positionV relativeFrom="paragraph">
                  <wp:posOffset>34776</wp:posOffset>
                </wp:positionV>
                <wp:extent cx="438150" cy="1428750"/>
                <wp:effectExtent l="0" t="0" r="0" b="0"/>
                <wp:wrapSquare wrapText="bothSides"/>
                <wp:docPr id="250948" name="Group 250948"/>
                <wp:cNvGraphicFramePr/>
                <a:graphic xmlns:a="http://schemas.openxmlformats.org/drawingml/2006/main">
                  <a:graphicData uri="http://schemas.microsoft.com/office/word/2010/wordprocessingGroup">
                    <wpg:wgp>
                      <wpg:cNvGrpSpPr/>
                      <wpg:grpSpPr>
                        <a:xfrm>
                          <a:off x="0" y="0"/>
                          <a:ext cx="438150" cy="1428750"/>
                          <a:chOff x="0" y="0"/>
                          <a:chExt cx="438150" cy="1428750"/>
                        </a:xfrm>
                      </wpg:grpSpPr>
                      <wps:wsp>
                        <wps:cNvPr id="1649" name="Shape 1649"/>
                        <wps:cNvSpPr/>
                        <wps:spPr>
                          <a:xfrm>
                            <a:off x="0" y="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69" y="48778"/>
                                </a:cubicBezTo>
                                <a:cubicBezTo>
                                  <a:pt x="5690" y="46075"/>
                                  <a:pt x="3625" y="42987"/>
                                  <a:pt x="2175" y="39489"/>
                                </a:cubicBezTo>
                                <a:cubicBezTo>
                                  <a:pt x="725" y="35992"/>
                                  <a:pt x="0" y="32345"/>
                                  <a:pt x="0" y="28575"/>
                                </a:cubicBezTo>
                                <a:cubicBezTo>
                                  <a:pt x="0" y="24780"/>
                                  <a:pt x="725" y="21134"/>
                                  <a:pt x="2175" y="17611"/>
                                </a:cubicBezTo>
                                <a:cubicBezTo>
                                  <a:pt x="3625" y="14114"/>
                                  <a:pt x="5690" y="11026"/>
                                  <a:pt x="8369"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51" name="Shape 1651"/>
                        <wps:cNvSpPr/>
                        <wps:spPr>
                          <a:xfrm>
                            <a:off x="381000" y="15240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50"/>
                                  <a:pt x="53525" y="14139"/>
                                  <a:pt x="54975" y="17636"/>
                                </a:cubicBezTo>
                                <a:cubicBezTo>
                                  <a:pt x="56425" y="21134"/>
                                  <a:pt x="57150" y="24780"/>
                                  <a:pt x="57150" y="28575"/>
                                </a:cubicBezTo>
                                <a:cubicBezTo>
                                  <a:pt x="57150" y="32345"/>
                                  <a:pt x="56425" y="35992"/>
                                  <a:pt x="54975" y="39489"/>
                                </a:cubicBezTo>
                                <a:cubicBezTo>
                                  <a:pt x="53525" y="42987"/>
                                  <a:pt x="51460" y="46075"/>
                                  <a:pt x="48781" y="48778"/>
                                </a:cubicBezTo>
                                <a:cubicBezTo>
                                  <a:pt x="46101" y="51457"/>
                                  <a:pt x="43011" y="53516"/>
                                  <a:pt x="39510" y="54955"/>
                                </a:cubicBezTo>
                                <a:cubicBezTo>
                                  <a:pt x="36009" y="56406"/>
                                  <a:pt x="32364" y="57125"/>
                                  <a:pt x="28575" y="57150"/>
                                </a:cubicBezTo>
                                <a:cubicBezTo>
                                  <a:pt x="24786" y="57125"/>
                                  <a:pt x="21141" y="56406"/>
                                  <a:pt x="17640" y="54955"/>
                                </a:cubicBezTo>
                                <a:cubicBezTo>
                                  <a:pt x="14139" y="53516"/>
                                  <a:pt x="11049" y="51457"/>
                                  <a:pt x="8370" y="48778"/>
                                </a:cubicBezTo>
                                <a:cubicBezTo>
                                  <a:pt x="5690" y="46075"/>
                                  <a:pt x="3625" y="42987"/>
                                  <a:pt x="2175" y="39489"/>
                                </a:cubicBezTo>
                                <a:cubicBezTo>
                                  <a:pt x="725" y="35992"/>
                                  <a:pt x="0" y="32345"/>
                                  <a:pt x="0" y="28575"/>
                                </a:cubicBezTo>
                                <a:cubicBezTo>
                                  <a:pt x="0" y="24780"/>
                                  <a:pt x="725" y="21134"/>
                                  <a:pt x="2175" y="17636"/>
                                </a:cubicBezTo>
                                <a:cubicBezTo>
                                  <a:pt x="3625" y="14139"/>
                                  <a:pt x="5690" y="11050"/>
                                  <a:pt x="8370" y="8372"/>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53" name="Shape 1653"/>
                        <wps:cNvSpPr/>
                        <wps:spPr>
                          <a:xfrm>
                            <a:off x="381000" y="3048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34"/>
                                  <a:pt x="57150" y="24780"/>
                                  <a:pt x="57150" y="28575"/>
                                </a:cubicBezTo>
                                <a:cubicBezTo>
                                  <a:pt x="57150" y="32345"/>
                                  <a:pt x="56425" y="35992"/>
                                  <a:pt x="54975" y="39489"/>
                                </a:cubicBezTo>
                                <a:cubicBezTo>
                                  <a:pt x="53525" y="42987"/>
                                  <a:pt x="51460" y="46075"/>
                                  <a:pt x="48781" y="48754"/>
                                </a:cubicBezTo>
                                <a:cubicBezTo>
                                  <a:pt x="46101" y="51420"/>
                                  <a:pt x="43011" y="53479"/>
                                  <a:pt x="39510" y="54955"/>
                                </a:cubicBezTo>
                                <a:cubicBezTo>
                                  <a:pt x="36009" y="56406"/>
                                  <a:pt x="32364" y="57125"/>
                                  <a:pt x="28575" y="57150"/>
                                </a:cubicBezTo>
                                <a:cubicBezTo>
                                  <a:pt x="24786" y="57125"/>
                                  <a:pt x="21141" y="56406"/>
                                  <a:pt x="17640" y="54955"/>
                                </a:cubicBezTo>
                                <a:cubicBezTo>
                                  <a:pt x="14139" y="53479"/>
                                  <a:pt x="11049" y="51420"/>
                                  <a:pt x="8370" y="48754"/>
                                </a:cubicBezTo>
                                <a:cubicBezTo>
                                  <a:pt x="5690" y="46075"/>
                                  <a:pt x="3625" y="42987"/>
                                  <a:pt x="2175" y="39489"/>
                                </a:cubicBezTo>
                                <a:cubicBezTo>
                                  <a:pt x="725" y="35992"/>
                                  <a:pt x="0" y="32345"/>
                                  <a:pt x="0" y="28575"/>
                                </a:cubicBezTo>
                                <a:cubicBezTo>
                                  <a:pt x="0" y="24780"/>
                                  <a:pt x="725" y="21134"/>
                                  <a:pt x="2175" y="17611"/>
                                </a:cubicBezTo>
                                <a:cubicBezTo>
                                  <a:pt x="3625" y="14114"/>
                                  <a:pt x="5690" y="11026"/>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55" name="Shape 1655"/>
                        <wps:cNvSpPr/>
                        <wps:spPr>
                          <a:xfrm>
                            <a:off x="381000" y="4572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09"/>
                                  <a:pt x="57150" y="24755"/>
                                  <a:pt x="57150" y="28575"/>
                                </a:cubicBezTo>
                                <a:cubicBezTo>
                                  <a:pt x="57150" y="32345"/>
                                  <a:pt x="56425" y="35979"/>
                                  <a:pt x="54975" y="39477"/>
                                </a:cubicBezTo>
                                <a:cubicBezTo>
                                  <a:pt x="53525" y="42987"/>
                                  <a:pt x="51460" y="46075"/>
                                  <a:pt x="48781" y="48754"/>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54"/>
                                </a:cubicBezTo>
                                <a:cubicBezTo>
                                  <a:pt x="5690" y="46075"/>
                                  <a:pt x="3625" y="42987"/>
                                  <a:pt x="2175" y="39477"/>
                                </a:cubicBezTo>
                                <a:cubicBezTo>
                                  <a:pt x="725" y="35979"/>
                                  <a:pt x="0" y="32345"/>
                                  <a:pt x="0" y="28575"/>
                                </a:cubicBezTo>
                                <a:cubicBezTo>
                                  <a:pt x="0" y="24755"/>
                                  <a:pt x="725" y="21109"/>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57" name="Shape 1657"/>
                        <wps:cNvSpPr/>
                        <wps:spPr>
                          <a:xfrm>
                            <a:off x="381000" y="6096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78"/>
                                </a:cubicBezTo>
                                <a:cubicBezTo>
                                  <a:pt x="5690" y="46075"/>
                                  <a:pt x="3625" y="42987"/>
                                  <a:pt x="2175" y="39489"/>
                                </a:cubicBezTo>
                                <a:cubicBezTo>
                                  <a:pt x="725" y="35992"/>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60" name="Shape 1660"/>
                        <wps:cNvSpPr/>
                        <wps:spPr>
                          <a:xfrm>
                            <a:off x="381000" y="914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09"/>
                                  <a:pt x="57150" y="24755"/>
                                  <a:pt x="57150" y="28575"/>
                                </a:cubicBezTo>
                                <a:cubicBezTo>
                                  <a:pt x="57150" y="32345"/>
                                  <a:pt x="56425" y="35992"/>
                                  <a:pt x="54975" y="39477"/>
                                </a:cubicBezTo>
                                <a:cubicBezTo>
                                  <a:pt x="53525" y="42974"/>
                                  <a:pt x="51460" y="46062"/>
                                  <a:pt x="48781" y="48754"/>
                                </a:cubicBezTo>
                                <a:cubicBezTo>
                                  <a:pt x="46101" y="51420"/>
                                  <a:pt x="43011" y="53479"/>
                                  <a:pt x="39510" y="54955"/>
                                </a:cubicBezTo>
                                <a:cubicBezTo>
                                  <a:pt x="36009" y="56406"/>
                                  <a:pt x="32364" y="57125"/>
                                  <a:pt x="28575" y="57150"/>
                                </a:cubicBezTo>
                                <a:cubicBezTo>
                                  <a:pt x="24786" y="57125"/>
                                  <a:pt x="21141" y="56406"/>
                                  <a:pt x="17640" y="54955"/>
                                </a:cubicBezTo>
                                <a:cubicBezTo>
                                  <a:pt x="14139" y="53479"/>
                                  <a:pt x="11049" y="51420"/>
                                  <a:pt x="8370" y="48754"/>
                                </a:cubicBezTo>
                                <a:cubicBezTo>
                                  <a:pt x="5690" y="46062"/>
                                  <a:pt x="3625" y="42974"/>
                                  <a:pt x="2175" y="39477"/>
                                </a:cubicBezTo>
                                <a:cubicBezTo>
                                  <a:pt x="725" y="35992"/>
                                  <a:pt x="0" y="32345"/>
                                  <a:pt x="0" y="28575"/>
                                </a:cubicBezTo>
                                <a:cubicBezTo>
                                  <a:pt x="0" y="24755"/>
                                  <a:pt x="725" y="21109"/>
                                  <a:pt x="2175" y="17599"/>
                                </a:cubicBezTo>
                                <a:cubicBezTo>
                                  <a:pt x="3625" y="14114"/>
                                  <a:pt x="5690" y="11026"/>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62" name="Shape 1662"/>
                        <wps:cNvSpPr/>
                        <wps:spPr>
                          <a:xfrm>
                            <a:off x="381000" y="10668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34"/>
                                  <a:pt x="57150" y="24780"/>
                                  <a:pt x="57150" y="28575"/>
                                </a:cubicBezTo>
                                <a:cubicBezTo>
                                  <a:pt x="57150" y="32345"/>
                                  <a:pt x="56425" y="35992"/>
                                  <a:pt x="54975" y="39489"/>
                                </a:cubicBezTo>
                                <a:cubicBezTo>
                                  <a:pt x="53525" y="42987"/>
                                  <a:pt x="51460" y="46075"/>
                                  <a:pt x="48781" y="48754"/>
                                </a:cubicBezTo>
                                <a:cubicBezTo>
                                  <a:pt x="46101" y="51420"/>
                                  <a:pt x="43011" y="53479"/>
                                  <a:pt x="39510" y="54955"/>
                                </a:cubicBezTo>
                                <a:cubicBezTo>
                                  <a:pt x="36009" y="56406"/>
                                  <a:pt x="32364" y="57125"/>
                                  <a:pt x="28575" y="57150"/>
                                </a:cubicBezTo>
                                <a:cubicBezTo>
                                  <a:pt x="24786" y="57125"/>
                                  <a:pt x="21141" y="56406"/>
                                  <a:pt x="17640" y="54955"/>
                                </a:cubicBezTo>
                                <a:cubicBezTo>
                                  <a:pt x="14139" y="53479"/>
                                  <a:pt x="11049" y="51420"/>
                                  <a:pt x="8370" y="48754"/>
                                </a:cubicBezTo>
                                <a:cubicBezTo>
                                  <a:pt x="5690" y="46075"/>
                                  <a:pt x="3625" y="42987"/>
                                  <a:pt x="2175" y="39489"/>
                                </a:cubicBezTo>
                                <a:cubicBezTo>
                                  <a:pt x="725" y="35992"/>
                                  <a:pt x="0" y="32345"/>
                                  <a:pt x="0" y="28575"/>
                                </a:cubicBezTo>
                                <a:cubicBezTo>
                                  <a:pt x="0" y="24780"/>
                                  <a:pt x="725" y="21134"/>
                                  <a:pt x="2175" y="17611"/>
                                </a:cubicBezTo>
                                <a:cubicBezTo>
                                  <a:pt x="3625" y="14114"/>
                                  <a:pt x="5690" y="11026"/>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64" name="Shape 1664"/>
                        <wps:cNvSpPr/>
                        <wps:spPr>
                          <a:xfrm>
                            <a:off x="381000" y="121920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26"/>
                                  <a:pt x="53525" y="14114"/>
                                  <a:pt x="54975" y="17611"/>
                                </a:cubicBezTo>
                                <a:cubicBezTo>
                                  <a:pt x="56425" y="21134"/>
                                  <a:pt x="57150" y="24780"/>
                                  <a:pt x="57150" y="28575"/>
                                </a:cubicBezTo>
                                <a:cubicBezTo>
                                  <a:pt x="57150" y="32345"/>
                                  <a:pt x="56425" y="35992"/>
                                  <a:pt x="54975" y="39489"/>
                                </a:cubicBezTo>
                                <a:cubicBezTo>
                                  <a:pt x="53525" y="43011"/>
                                  <a:pt x="51460" y="46100"/>
                                  <a:pt x="48781" y="48778"/>
                                </a:cubicBezTo>
                                <a:cubicBezTo>
                                  <a:pt x="46101" y="51457"/>
                                  <a:pt x="43011" y="53516"/>
                                  <a:pt x="39510" y="54955"/>
                                </a:cubicBezTo>
                                <a:cubicBezTo>
                                  <a:pt x="36009" y="56406"/>
                                  <a:pt x="32364" y="57125"/>
                                  <a:pt x="28575" y="57150"/>
                                </a:cubicBezTo>
                                <a:cubicBezTo>
                                  <a:pt x="24786" y="57125"/>
                                  <a:pt x="21141" y="56406"/>
                                  <a:pt x="17640" y="54955"/>
                                </a:cubicBezTo>
                                <a:cubicBezTo>
                                  <a:pt x="14139" y="53516"/>
                                  <a:pt x="11049" y="51457"/>
                                  <a:pt x="8370" y="48778"/>
                                </a:cubicBezTo>
                                <a:cubicBezTo>
                                  <a:pt x="5690" y="46100"/>
                                  <a:pt x="3625" y="43011"/>
                                  <a:pt x="2175" y="39489"/>
                                </a:cubicBezTo>
                                <a:cubicBezTo>
                                  <a:pt x="725" y="35992"/>
                                  <a:pt x="0" y="32345"/>
                                  <a:pt x="0" y="28575"/>
                                </a:cubicBezTo>
                                <a:cubicBezTo>
                                  <a:pt x="0" y="24780"/>
                                  <a:pt x="725" y="21134"/>
                                  <a:pt x="2175" y="17636"/>
                                </a:cubicBezTo>
                                <a:cubicBezTo>
                                  <a:pt x="3625" y="14114"/>
                                  <a:pt x="5690" y="11026"/>
                                  <a:pt x="8370" y="8372"/>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66" name="Shape 1666"/>
                        <wps:cNvSpPr/>
                        <wps:spPr>
                          <a:xfrm>
                            <a:off x="381000" y="13716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79"/>
                                  <a:pt x="54975" y="39489"/>
                                </a:cubicBezTo>
                                <a:cubicBezTo>
                                  <a:pt x="53525" y="42974"/>
                                  <a:pt x="51460" y="46062"/>
                                  <a:pt x="48781" y="48754"/>
                                </a:cubicBezTo>
                                <a:cubicBezTo>
                                  <a:pt x="46101" y="51433"/>
                                  <a:pt x="43011" y="53504"/>
                                  <a:pt x="39510" y="54955"/>
                                </a:cubicBezTo>
                                <a:cubicBezTo>
                                  <a:pt x="36009" y="56406"/>
                                  <a:pt x="32364" y="57125"/>
                                  <a:pt x="28575" y="57150"/>
                                </a:cubicBezTo>
                                <a:cubicBezTo>
                                  <a:pt x="24786" y="57125"/>
                                  <a:pt x="21141" y="56406"/>
                                  <a:pt x="17640" y="54930"/>
                                </a:cubicBezTo>
                                <a:cubicBezTo>
                                  <a:pt x="14139" y="53504"/>
                                  <a:pt x="11049" y="51433"/>
                                  <a:pt x="8370" y="48754"/>
                                </a:cubicBezTo>
                                <a:cubicBezTo>
                                  <a:pt x="5690" y="46062"/>
                                  <a:pt x="3625" y="42974"/>
                                  <a:pt x="2175" y="39489"/>
                                </a:cubicBezTo>
                                <a:cubicBezTo>
                                  <a:pt x="725" y="35979"/>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948" style="width:34.5pt;height:112.5pt;position:absolute;mso-position-horizontal-relative:text;mso-position-horizontal:absolute;margin-left:16.5pt;mso-position-vertical-relative:text;margin-top:2.73828pt;" coordsize="4381,14287">
                <v:shape id="Shape 1649" style="position:absolute;width:571;height:571;left:0;top:0;" coordsize="57150,57150" path="m28575,0c32364,0,36009,719,39510,2158c43011,3609,46101,5668,48781,8347c51460,11026,53525,14114,54975,17611c56425,21134,57150,24780,57150,28575c57150,32345,56425,35992,54975,39489c53525,42987,51460,46075,48781,48778c46101,51433,43011,53504,39510,54955c36009,56406,32364,57125,28575,57150c24786,57125,21141,56406,17640,54955c14139,53504,11049,51433,8369,48778c5690,46075,3625,42987,2175,39489c725,35992,0,32345,0,28575c0,24780,725,21134,2175,17611c3625,14114,5690,11026,8369,8347c11049,5668,14139,3609,17640,2158c21141,719,24786,0,28575,0x">
                  <v:stroke weight="0pt" endcap="flat" joinstyle="miter" miterlimit="10" on="false" color="#000000" opacity="0"/>
                  <v:fill on="true" color="#333333"/>
                </v:shape>
                <v:shape id="Shape 1651" style="position:absolute;width:571;height:571;left:3810;top:1524;" coordsize="57150,57150" path="m28575,0c32364,0,36009,719,39510,2158c43011,3609,46101,5668,48781,8372c51460,11050,53525,14139,54975,17636c56425,21134,57150,24780,57150,28575c57150,32345,56425,35992,54975,39489c53525,42987,51460,46075,48781,48778c46101,51457,43011,53516,39510,54955c36009,56406,32364,57125,28575,57150c24786,57125,21141,56406,17640,54955c14139,53516,11049,51457,8370,48778c5690,46075,3625,42987,2175,39489c725,35992,0,32345,0,28575c0,24780,725,21134,2175,17636c3625,14139,5690,11050,8370,8372c11049,5668,14139,3609,17640,2158c21141,719,24786,0,28575,0x">
                  <v:stroke weight="0pt" endcap="flat" joinstyle="miter" miterlimit="10" on="false" color="#000000" opacity="0"/>
                  <v:fill on="true" color="#333333"/>
                </v:shape>
                <v:shape id="Shape 1653" style="position:absolute;width:571;height:571;left:3810;top:3048;" coordsize="57150,57150" path="m28575,0c32364,0,36009,719,39510,2158c43011,3609,46101,5668,48781,8347c51460,11026,53525,14114,54975,17611c56425,21134,57150,24780,57150,28575c57150,32345,56425,35992,54975,39489c53525,42987,51460,46075,48781,48754c46101,51420,43011,53479,39510,54955c36009,56406,32364,57125,28575,57150c24786,57125,21141,56406,17640,54955c14139,53479,11049,51420,8370,48754c5690,46075,3625,42987,2175,39489c725,35992,0,32345,0,28575c0,24780,725,21134,2175,17611c3625,14114,5690,11026,8370,8347c11049,5668,14139,3609,17640,2158c21141,719,24786,0,28575,0x">
                  <v:stroke weight="0pt" endcap="flat" joinstyle="miter" miterlimit="10" on="false" color="#000000" opacity="0"/>
                  <v:fill on="true" color="#333333"/>
                </v:shape>
                <v:shape id="Shape 1655" style="position:absolute;width:571;height:571;left:3810;top:4572;" coordsize="57150,57150" path="m28575,0c32364,0,36009,719,39510,2158c43011,3609,46101,5668,48781,8347c51460,11013,53525,14101,54975,17611c56425,21109,57150,24755,57150,28575c57150,32345,56425,35979,54975,39477c53525,42987,51460,46075,48781,48754c46101,51433,43011,53504,39510,54955c36009,56406,32364,57125,28575,57150c24786,57125,21141,56406,17640,54955c14139,53504,11049,51433,8370,48754c5690,46075,3625,42987,2175,39477c725,35979,0,32345,0,28575c0,24755,725,21109,2175,17611c3625,14101,5690,11013,8370,8347c11049,5668,14139,3609,17640,2158c21141,719,24786,0,28575,0x">
                  <v:stroke weight="0pt" endcap="flat" joinstyle="miter" miterlimit="10" on="false" color="#000000" opacity="0"/>
                  <v:fill on="true" color="#333333"/>
                </v:shape>
                <v:shape id="Shape 1657" style="position:absolute;width:571;height:571;left:3810;top:6096;" coordsize="57150,57150" path="m28575,0c32364,0,36009,719,39510,2158c43011,3609,46101,5668,48781,8347c51460,11013,53525,14101,54975,17611c56425,21134,57150,24780,57150,28575c57150,32345,56425,35992,54975,39489c53525,42987,51460,46075,48781,48778c46101,51433,43011,53504,39510,54955c36009,56406,32364,57125,28575,57150c24786,57125,21141,56406,17640,54955c14139,53504,11049,51433,8370,48778c5690,46075,3625,42987,2175,39489c725,35992,0,32345,0,28575c0,24780,725,21134,2175,17611c3625,14101,5690,11013,8370,8347c11049,5668,14139,3609,17640,2158c21141,719,24786,0,28575,0x">
                  <v:stroke weight="0pt" endcap="flat" joinstyle="miter" miterlimit="10" on="false" color="#000000" opacity="0"/>
                  <v:fill on="true" color="#333333"/>
                </v:shape>
                <v:shape id="Shape 1660" style="position:absolute;width:571;height:571;left:3810;top:9144;" coordsize="57150,57150" path="m28575,0c32364,0,36009,719,39510,2158c43011,3609,46101,5668,48781,8347c51460,11026,53525,14114,54975,17611c56425,21109,57150,24755,57150,28575c57150,32345,56425,35992,54975,39477c53525,42974,51460,46062,48781,48754c46101,51420,43011,53479,39510,54955c36009,56406,32364,57125,28575,57150c24786,57125,21141,56406,17640,54955c14139,53479,11049,51420,8370,48754c5690,46062,3625,42974,2175,39477c725,35992,0,32345,0,28575c0,24755,725,21109,2175,17599c3625,14114,5690,11026,8370,8347c11049,5668,14139,3609,17640,2158c21141,719,24786,0,28575,0x">
                  <v:stroke weight="0pt" endcap="flat" joinstyle="miter" miterlimit="10" on="false" color="#000000" opacity="0"/>
                  <v:fill on="true" color="#333333"/>
                </v:shape>
                <v:shape id="Shape 1662" style="position:absolute;width:571;height:571;left:3810;top:10668;" coordsize="57150,57150" path="m28575,0c32364,0,36009,719,39510,2158c43011,3609,46101,5668,48781,8347c51460,11026,53525,14114,54975,17611c56425,21134,57150,24780,57150,28575c57150,32345,56425,35992,54975,39489c53525,42987,51460,46075,48781,48754c46101,51420,43011,53479,39510,54955c36009,56406,32364,57125,28575,57150c24786,57125,21141,56406,17640,54955c14139,53479,11049,51420,8370,48754c5690,46075,3625,42987,2175,39489c725,35992,0,32345,0,28575c0,24780,725,21134,2175,17611c3625,14114,5690,11026,8370,8347c11049,5668,14139,3609,17640,2158c21141,719,24786,0,28575,0x">
                  <v:stroke weight="0pt" endcap="flat" joinstyle="miter" miterlimit="10" on="false" color="#000000" opacity="0"/>
                  <v:fill on="true" color="#333333"/>
                </v:shape>
                <v:shape id="Shape 1664" style="position:absolute;width:571;height:571;left:3810;top:12192;" coordsize="57150,57150" path="m28575,0c32364,0,36009,719,39510,2158c43011,3609,46101,5668,48781,8372c51460,11026,53525,14114,54975,17611c56425,21134,57150,24780,57150,28575c57150,32345,56425,35992,54975,39489c53525,43011,51460,46100,48781,48778c46101,51457,43011,53516,39510,54955c36009,56406,32364,57125,28575,57150c24786,57125,21141,56406,17640,54955c14139,53516,11049,51457,8370,48778c5690,46100,3625,43011,2175,39489c725,35992,0,32345,0,28575c0,24780,725,21134,2175,17636c3625,14114,5690,11026,8370,8372c11049,5668,14139,3609,17640,2158c21141,719,24786,0,28575,0x">
                  <v:stroke weight="0pt" endcap="flat" joinstyle="miter" miterlimit="10" on="false" color="#000000" opacity="0"/>
                  <v:fill on="true" color="#333333"/>
                </v:shape>
                <v:shape id="Shape 1666" style="position:absolute;width:571;height:571;left:3810;top:13716;" coordsize="57150,57150" path="m28575,0c32364,0,36009,719,39510,2158c43011,3609,46101,5668,48781,8347c51460,11013,53525,14101,54975,17611c56425,21134,57150,24780,57150,28575c57150,32345,56425,35979,54975,39489c53525,42974,51460,46062,48781,48754c46101,51433,43011,53504,39510,54955c36009,56406,32364,57125,28575,57150c24786,57125,21141,56406,17640,54930c14139,53504,11049,51433,8370,48754c5690,46062,3625,42974,2175,39489c725,35979,0,32345,0,28575c0,24780,725,21134,2175,17611c3625,14101,5690,11013,8370,8347c11049,5668,14139,3609,17640,2158c21141,719,24786,0,28575,0x">
                  <v:stroke weight="0pt" endcap="flat" joinstyle="miter" miterlimit="10" on="false" color="#000000" opacity="0"/>
                  <v:fill on="true" color="#333333"/>
                </v:shape>
                <w10:wrap type="square"/>
              </v:group>
            </w:pict>
          </mc:Fallback>
        </mc:AlternateContent>
      </w:r>
      <w:r>
        <w:rPr>
          <w:i/>
        </w:rPr>
        <w:t>относительные:</w:t>
      </w:r>
    </w:p>
    <w:p w:rsidR="008E3F15" w:rsidRDefault="005F449A">
      <w:pPr>
        <w:ind w:left="340" w:right="2681"/>
      </w:pPr>
      <w:r>
        <w:t>транзиторная ишемическая атака в предшествующие 6 мес; терапия орал</w:t>
      </w:r>
      <w:r>
        <w:t>ьными антикоагулянтами; беременность или первая неделя после родов;</w:t>
      </w:r>
    </w:p>
    <w:p w:rsidR="008E3F15" w:rsidRDefault="005F449A">
      <w:pPr>
        <w:ind w:left="340" w:right="297"/>
      </w:pPr>
      <w:r>
        <w:t>рефрактерная артериальная гипертензия [систолическое артериальное давление (АДс) &gt;180 и/или диастолическое артериальное давление (АДд) &gt;110 мм рт.ст.]; тяжелые заболевания печени; инфекционный эндокардит; активная гастродуоденальная язва; длительная (&gt;10 м</w:t>
      </w:r>
      <w:r>
        <w:t>ин) или травматичная реанимация.</w:t>
      </w:r>
    </w:p>
    <w:p w:rsidR="008E3F15" w:rsidRDefault="005F449A">
      <w:pPr>
        <w:spacing w:after="31"/>
        <w:ind w:left="2" w:right="15"/>
      </w:pPr>
      <w:r>
        <w:t>Среди тромболитиков (</w:t>
      </w:r>
      <w:r>
        <w:rPr>
          <w:b/>
        </w:rPr>
        <w:t>табл. 1.7</w:t>
      </w:r>
      <w:r>
        <w:t>) предпочтение отдают тканевым активаторам плазминогена</w:t>
      </w:r>
    </w:p>
    <w:p w:rsidR="008E3F15" w:rsidRDefault="005F449A">
      <w:pPr>
        <w:ind w:left="2" w:right="1802"/>
      </w:pPr>
      <w:r>
        <w:t>(алтеплаза, тенектеплаза), показавшим лучшую переносимость и устойчивым к нейтрализующим антителам.</w:t>
      </w:r>
    </w:p>
    <w:p w:rsidR="008E3F15" w:rsidRDefault="005F449A">
      <w:pPr>
        <w:spacing w:after="31"/>
        <w:ind w:left="2" w:right="15"/>
      </w:pPr>
      <w:r>
        <w:rPr>
          <w:b/>
        </w:rPr>
        <w:t xml:space="preserve">Таблица 1.7. </w:t>
      </w:r>
      <w:r>
        <w:t>Характеристики препарато</w:t>
      </w:r>
      <w:r>
        <w:t>в для тромболизиса (ESC; ACCF/AHA)</w:t>
      </w:r>
    </w:p>
    <w:tbl>
      <w:tblPr>
        <w:tblStyle w:val="TableGrid"/>
        <w:tblW w:w="10485" w:type="dxa"/>
        <w:tblInd w:w="30" w:type="dxa"/>
        <w:tblCellMar>
          <w:top w:w="30" w:type="dxa"/>
          <w:left w:w="20" w:type="dxa"/>
          <w:bottom w:w="15" w:type="dxa"/>
          <w:right w:w="115" w:type="dxa"/>
        </w:tblCellMar>
        <w:tblLook w:val="04A0" w:firstRow="1" w:lastRow="0" w:firstColumn="1" w:lastColumn="0" w:noHBand="0" w:noVBand="1"/>
      </w:tblPr>
      <w:tblGrid>
        <w:gridCol w:w="2580"/>
        <w:gridCol w:w="7905"/>
      </w:tblGrid>
      <w:tr w:rsidR="008E3F15">
        <w:trPr>
          <w:trHeight w:val="330"/>
        </w:trPr>
        <w:tc>
          <w:tcPr>
            <w:tcW w:w="2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5" w:right="0" w:firstLine="0"/>
            </w:pPr>
            <w:r>
              <w:rPr>
                <w:b/>
              </w:rPr>
              <w:t>Препараты</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7" w:right="0" w:firstLine="0"/>
            </w:pPr>
            <w:r>
              <w:rPr>
                <w:b/>
              </w:rPr>
              <w:t>Дозы</w:t>
            </w:r>
          </w:p>
        </w:tc>
      </w:tr>
      <w:tr w:rsidR="008E3F15">
        <w:trPr>
          <w:trHeight w:val="570"/>
        </w:trPr>
        <w:tc>
          <w:tcPr>
            <w:tcW w:w="2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5" w:right="0" w:firstLine="0"/>
            </w:pPr>
            <w:r>
              <w:t>Алтеплаза</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noProof/>
              </w:rPr>
              <w:drawing>
                <wp:inline distT="0" distB="0" distL="0" distR="0">
                  <wp:extent cx="4678681" cy="295656"/>
                  <wp:effectExtent l="0" t="0" r="0" b="0"/>
                  <wp:docPr id="352713" name="Picture 352713"/>
                  <wp:cNvGraphicFramePr/>
                  <a:graphic xmlns:a="http://schemas.openxmlformats.org/drawingml/2006/main">
                    <a:graphicData uri="http://schemas.openxmlformats.org/drawingml/2006/picture">
                      <pic:pic xmlns:pic="http://schemas.openxmlformats.org/drawingml/2006/picture">
                        <pic:nvPicPr>
                          <pic:cNvPr id="352713" name="Picture 352713"/>
                          <pic:cNvPicPr/>
                        </pic:nvPicPr>
                        <pic:blipFill>
                          <a:blip r:embed="rId14"/>
                          <a:stretch>
                            <a:fillRect/>
                          </a:stretch>
                        </pic:blipFill>
                        <pic:spPr>
                          <a:xfrm>
                            <a:off x="0" y="0"/>
                            <a:ext cx="4678681" cy="295656"/>
                          </a:xfrm>
                          <a:prstGeom prst="rect">
                            <a:avLst/>
                          </a:prstGeom>
                        </pic:spPr>
                      </pic:pic>
                    </a:graphicData>
                  </a:graphic>
                </wp:inline>
              </w:drawing>
            </w:r>
          </w:p>
        </w:tc>
      </w:tr>
      <w:tr w:rsidR="008E3F15">
        <w:trPr>
          <w:trHeight w:val="390"/>
        </w:trPr>
        <w:tc>
          <w:tcPr>
            <w:tcW w:w="25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25" w:right="0" w:firstLine="0"/>
            </w:pPr>
            <w:r>
              <w:t>Проурокиназа</w:t>
            </w:r>
            <w:r>
              <w:rPr>
                <w:sz w:val="31"/>
                <w:vertAlign w:val="superscript"/>
              </w:rPr>
              <w:t>*</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7" w:right="0" w:firstLine="0"/>
            </w:pPr>
            <w:r>
              <w:t>2 млн МЕ болюс + 6 млн инфузия за 60 мин</w:t>
            </w:r>
          </w:p>
        </w:tc>
      </w:tr>
      <w:tr w:rsidR="008E3F15">
        <w:trPr>
          <w:trHeight w:val="330"/>
        </w:trPr>
        <w:tc>
          <w:tcPr>
            <w:tcW w:w="2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5" w:right="0" w:firstLine="0"/>
            </w:pPr>
            <w:r>
              <w:t>Стрептокиназа</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7" w:right="0" w:firstLine="0"/>
            </w:pPr>
            <w:r>
              <w:t>1,5 млн МЕ за 30–60 мин</w:t>
            </w:r>
          </w:p>
        </w:tc>
      </w:tr>
      <w:tr w:rsidR="008E3F15">
        <w:trPr>
          <w:trHeight w:val="810"/>
        </w:trPr>
        <w:tc>
          <w:tcPr>
            <w:tcW w:w="2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5" w:right="0" w:firstLine="0"/>
            </w:pPr>
            <w:r>
              <w:t>Тенектеплаза</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7" w:right="0" w:firstLine="0"/>
            </w:pPr>
            <w:r>
              <w:t>Болюс 30 мг при массе тела 60 кг; 35 мг при 60–69 кг; 40 мг при 70– 79 кг; 45 мг при 80–89 кг; 50 мг при ≥90 кг. У пациентов ≥75 лет возможна половинная доза</w:t>
            </w:r>
          </w:p>
        </w:tc>
      </w:tr>
      <w:tr w:rsidR="008E3F15">
        <w:trPr>
          <w:trHeight w:val="810"/>
        </w:trPr>
        <w:tc>
          <w:tcPr>
            <w:tcW w:w="2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5" w:right="0" w:firstLine="0"/>
            </w:pPr>
            <w:r>
              <w:t>Рекомбинантная стафилокиназа</w:t>
            </w:r>
            <w:r>
              <w:rPr>
                <w:sz w:val="31"/>
                <w:vertAlign w:val="superscript"/>
              </w:rPr>
              <w:t>*</w:t>
            </w:r>
          </w:p>
        </w:tc>
        <w:tc>
          <w:tcPr>
            <w:tcW w:w="7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7" w:right="0" w:firstLine="0"/>
            </w:pPr>
            <w:r>
              <w:t>Болюс 10 мг, инфузия 5 мг за 30 мин.</w:t>
            </w:r>
          </w:p>
          <w:p w:rsidR="008E3F15" w:rsidRDefault="005F449A">
            <w:pPr>
              <w:spacing w:after="0" w:line="259" w:lineRule="auto"/>
              <w:ind w:left="27" w:right="0" w:firstLine="0"/>
            </w:pPr>
            <w:r>
              <w:t>Болюсы 10 мг и через 30 мин 5 мг.</w:t>
            </w:r>
          </w:p>
          <w:p w:rsidR="008E3F15" w:rsidRDefault="005F449A">
            <w:pPr>
              <w:spacing w:after="0" w:line="259" w:lineRule="auto"/>
              <w:ind w:left="27" w:right="0" w:firstLine="0"/>
            </w:pPr>
            <w:r>
              <w:t>Болюс 15 мг</w:t>
            </w:r>
          </w:p>
        </w:tc>
      </w:tr>
    </w:tbl>
    <w:p w:rsidR="008E3F15" w:rsidRDefault="005F449A">
      <w:pPr>
        <w:spacing w:after="31"/>
        <w:ind w:left="2" w:right="15"/>
      </w:pPr>
      <w:r>
        <w:rPr>
          <w:b/>
        </w:rPr>
        <w:t>Примечание:</w:t>
      </w:r>
      <w:r>
        <w:t xml:space="preserve"> * — одобрены для применения только в РФ.</w:t>
      </w:r>
    </w:p>
    <w:p w:rsidR="008E3F15" w:rsidRDefault="005F449A">
      <w:pPr>
        <w:spacing w:after="359"/>
        <w:ind w:left="2" w:right="15"/>
      </w:pPr>
      <w:r>
        <w:t>Болюсное введение тенектеплазы удобно для догоспитального тромболизиса, но препарат очень дорог. У пациентов ≥75 лет безопаснее половинная доза тенектеплазы</w:t>
      </w:r>
      <w:r>
        <w:t xml:space="preserve"> при сохранении эффективности (STREAM).</w:t>
      </w:r>
    </w:p>
    <w:p w:rsidR="008E3F15" w:rsidRDefault="005F449A">
      <w:pPr>
        <w:pStyle w:val="Heading1"/>
        <w:ind w:left="2"/>
      </w:pPr>
      <w:r>
        <w:t>Часть I. Сердечно-сосудистые болезни</w:t>
      </w:r>
    </w:p>
    <w:p w:rsidR="008E3F15" w:rsidRDefault="005F449A">
      <w:pPr>
        <w:ind w:left="2" w:right="15"/>
      </w:pPr>
      <w:r>
        <w:t>Стрептокиназа значительно дешевле других тромболитиков и включена в перечень жизненно важных препаратов Всемирной организацией здравоохранения (ВОЗ) в связи с выработкой нейтрализ</w:t>
      </w:r>
      <w:r>
        <w:t>ующих антител. Кроме того, введение стрептокиназы повторно вплоть до 6 мес нежелательно из-за риска анафилаксии. Нецелесообразно предварительное введение преднизолона, поскольку данная схема не изучена в крупных исследованиях, а глюкокортикоиды могут замед</w:t>
      </w:r>
      <w:r>
        <w:t>лить формирование рубца и увеличить риск аневризмы и разрывов мио карда.</w:t>
      </w:r>
    </w:p>
    <w:p w:rsidR="008E3F15" w:rsidRDefault="005F449A">
      <w:pPr>
        <w:ind w:left="2" w:right="379"/>
      </w:pPr>
      <w:r>
        <w:t>Реперфузионные аритмии обычно неустойчивые и не требуют антиаритмической терапии, если не нарушается гемодинамика или не возрастает риск остановки сердца. После любого тромболитика сразу назначается антикоагулянт [предпочтительнее эноксапарин натрия или фо</w:t>
      </w:r>
      <w:r>
        <w:t>ндапаринукс натрия (особенно после стрептокиназы)] для профилактики тромбообразования (</w:t>
      </w:r>
      <w:r>
        <w:rPr>
          <w:b/>
        </w:rPr>
        <w:t>табл. 1.8</w:t>
      </w:r>
      <w:r>
        <w:t>).</w:t>
      </w:r>
    </w:p>
    <w:p w:rsidR="008E3F15" w:rsidRDefault="005F449A">
      <w:pPr>
        <w:spacing w:after="31"/>
        <w:ind w:left="2" w:right="15"/>
      </w:pPr>
      <w:r>
        <w:rPr>
          <w:b/>
        </w:rPr>
        <w:t xml:space="preserve">Таблица 1.8. </w:t>
      </w:r>
      <w:r>
        <w:t>Выбор антикоагулянтов и антиагрегантов при остром коронарном синдроме (ESC; ACCF/AHA)</w:t>
      </w:r>
    </w:p>
    <w:tbl>
      <w:tblPr>
        <w:tblStyle w:val="TableGrid"/>
        <w:tblW w:w="10485" w:type="dxa"/>
        <w:tblInd w:w="30" w:type="dxa"/>
        <w:tblCellMar>
          <w:top w:w="80" w:type="dxa"/>
          <w:left w:w="45" w:type="dxa"/>
          <w:bottom w:w="13" w:type="dxa"/>
          <w:right w:w="38" w:type="dxa"/>
        </w:tblCellMar>
        <w:tblLook w:val="04A0" w:firstRow="1" w:lastRow="0" w:firstColumn="1" w:lastColumn="0" w:noHBand="0" w:noVBand="1"/>
      </w:tblPr>
      <w:tblGrid>
        <w:gridCol w:w="2130"/>
        <w:gridCol w:w="570"/>
        <w:gridCol w:w="3885"/>
        <w:gridCol w:w="3900"/>
      </w:tblGrid>
      <w:tr w:rsidR="008E3F15">
        <w:trPr>
          <w:trHeight w:val="570"/>
        </w:trPr>
        <w:tc>
          <w:tcPr>
            <w:tcW w:w="21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Клиническая картина</w:t>
            </w:r>
          </w:p>
        </w:tc>
        <w:tc>
          <w:tcPr>
            <w:tcW w:w="5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jc w:val="both"/>
            </w:pPr>
            <w:r>
              <w:rPr>
                <w:b/>
              </w:rPr>
              <w:t>ЧКВ</w:t>
            </w:r>
          </w:p>
        </w:tc>
        <w:tc>
          <w:tcPr>
            <w:tcW w:w="38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Антикоагулянты</w:t>
            </w:r>
          </w:p>
        </w:tc>
        <w:tc>
          <w:tcPr>
            <w:tcW w:w="39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Антиагреганты</w:t>
            </w:r>
          </w:p>
        </w:tc>
      </w:tr>
      <w:tr w:rsidR="008E3F15">
        <w:trPr>
          <w:trHeight w:val="705"/>
        </w:trPr>
        <w:tc>
          <w:tcPr>
            <w:tcW w:w="213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i/>
              </w:rPr>
              <w:t>ИМпST</w:t>
            </w:r>
          </w:p>
        </w:tc>
        <w:tc>
          <w:tcPr>
            <w:tcW w:w="5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w:t>
            </w:r>
          </w:p>
        </w:tc>
        <w:tc>
          <w:tcPr>
            <w:tcW w:w="388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7" w:right="0" w:firstLine="0"/>
            </w:pPr>
            <w:r>
              <w:t>Фондапаринукс натрия</w:t>
            </w:r>
            <w:r>
              <w:rPr>
                <w:sz w:val="31"/>
                <w:vertAlign w:val="superscript"/>
              </w:rPr>
              <w:t>1</w:t>
            </w:r>
            <w:r>
              <w:t>, эноксапарин натрия, НФГ</w:t>
            </w:r>
            <w:r>
              <w:rPr>
                <w:sz w:val="31"/>
                <w:vertAlign w:val="superscript"/>
              </w:rPr>
              <w:t>2</w:t>
            </w:r>
          </w:p>
        </w:tc>
        <w:tc>
          <w:tcPr>
            <w:tcW w:w="39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252" w:firstLine="0"/>
            </w:pPr>
            <w:r>
              <w:t>АСК + клопидогрел или тикагрелор</w:t>
            </w:r>
          </w:p>
        </w:tc>
      </w:tr>
      <w:tr w:rsidR="008E3F15">
        <w:trPr>
          <w:trHeight w:val="6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5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НФГ, эноксапарин натрия, бивалирудин</w:t>
            </w:r>
          </w:p>
        </w:tc>
        <w:tc>
          <w:tcPr>
            <w:tcW w:w="39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АСК + прасугрел</w:t>
            </w:r>
            <w:r>
              <w:rPr>
                <w:sz w:val="31"/>
                <w:vertAlign w:val="superscript"/>
              </w:rPr>
              <w:t>3</w:t>
            </w:r>
          </w:p>
          <w:p w:rsidR="008E3F15" w:rsidRDefault="005F449A">
            <w:pPr>
              <w:spacing w:after="0" w:line="259" w:lineRule="auto"/>
              <w:ind w:left="0" w:right="0" w:firstLine="0"/>
              <w:jc w:val="both"/>
            </w:pPr>
            <w:r>
              <w:t>или тикагрелор</w:t>
            </w:r>
            <w:r>
              <w:rPr>
                <w:sz w:val="31"/>
                <w:vertAlign w:val="superscript"/>
              </w:rPr>
              <w:t>3</w:t>
            </w:r>
            <w:r>
              <w:t xml:space="preserve"> или клопидогрел</w:t>
            </w:r>
          </w:p>
        </w:tc>
      </w:tr>
      <w:tr w:rsidR="008E3F15">
        <w:trPr>
          <w:trHeight w:val="645"/>
        </w:trPr>
        <w:tc>
          <w:tcPr>
            <w:tcW w:w="213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i/>
              </w:rPr>
              <w:t>ОКСбпST</w:t>
            </w:r>
          </w:p>
        </w:tc>
        <w:tc>
          <w:tcPr>
            <w:tcW w:w="5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w:t>
            </w:r>
          </w:p>
        </w:tc>
        <w:tc>
          <w:tcPr>
            <w:tcW w:w="388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7" w:right="0" w:firstLine="0"/>
            </w:pPr>
            <w:r>
              <w:t>Фондапаринукс натрия</w:t>
            </w:r>
            <w:r>
              <w:rPr>
                <w:sz w:val="31"/>
                <w:vertAlign w:val="superscript"/>
              </w:rPr>
              <w:t>3</w:t>
            </w:r>
            <w:r>
              <w:t>, эноксапарин натрия, НФГ</w:t>
            </w:r>
          </w:p>
        </w:tc>
        <w:tc>
          <w:tcPr>
            <w:tcW w:w="39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1319" w:firstLine="0"/>
            </w:pPr>
            <w:r>
              <w:t>АСК + тикагрелор</w:t>
            </w:r>
            <w:r>
              <w:rPr>
                <w:sz w:val="31"/>
                <w:vertAlign w:val="superscript"/>
              </w:rPr>
              <w:t xml:space="preserve">3 </w:t>
            </w:r>
            <w:r>
              <w:t>или клопидогрел</w:t>
            </w:r>
          </w:p>
        </w:tc>
      </w:tr>
      <w:tr w:rsidR="008E3F15">
        <w:trPr>
          <w:trHeight w:val="6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5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НФГ, эноксапарин натрия, бивалирудин</w:t>
            </w:r>
          </w:p>
        </w:tc>
        <w:tc>
          <w:tcPr>
            <w:tcW w:w="39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АСК + прасугрел</w:t>
            </w:r>
            <w:r>
              <w:rPr>
                <w:sz w:val="31"/>
                <w:vertAlign w:val="superscript"/>
              </w:rPr>
              <w:t>3</w:t>
            </w:r>
          </w:p>
          <w:p w:rsidR="008E3F15" w:rsidRDefault="005F449A">
            <w:pPr>
              <w:spacing w:after="0" w:line="259" w:lineRule="auto"/>
              <w:ind w:left="0" w:right="0" w:firstLine="0"/>
              <w:jc w:val="both"/>
            </w:pPr>
            <w:r>
              <w:t>или тикагрелор</w:t>
            </w:r>
            <w:r>
              <w:rPr>
                <w:sz w:val="31"/>
                <w:vertAlign w:val="superscript"/>
              </w:rPr>
              <w:t>3</w:t>
            </w:r>
            <w:r>
              <w:t xml:space="preserve"> или клопидогрел</w:t>
            </w:r>
          </w:p>
        </w:tc>
      </w:tr>
    </w:tbl>
    <w:p w:rsidR="008E3F15" w:rsidRDefault="005F449A">
      <w:pPr>
        <w:spacing w:after="31"/>
        <w:ind w:left="2" w:right="15"/>
      </w:pPr>
      <w:r>
        <w:rPr>
          <w:b/>
        </w:rPr>
        <w:t>Примечание.</w:t>
      </w:r>
      <w:r>
        <w:rPr>
          <w:sz w:val="31"/>
          <w:vertAlign w:val="superscript"/>
        </w:rPr>
        <w:t>1</w:t>
      </w:r>
      <w:r>
        <w:t xml:space="preserve"> — предпочтительнее после стрептокиназы или при отсутствии тромболизиса,</w:t>
      </w:r>
    </w:p>
    <w:p w:rsidR="008E3F15" w:rsidRDefault="005F449A">
      <w:pPr>
        <w:spacing w:after="31"/>
        <w:ind w:left="2" w:right="15"/>
      </w:pPr>
      <w:r>
        <w:rPr>
          <w:sz w:val="31"/>
          <w:vertAlign w:val="superscript"/>
        </w:rPr>
        <w:t>2</w:t>
      </w:r>
      <w:r>
        <w:t xml:space="preserve"> — 24–48 ч, при высоком риске кровотечений, </w:t>
      </w:r>
      <w:r>
        <w:rPr>
          <w:sz w:val="31"/>
          <w:vertAlign w:val="superscript"/>
        </w:rPr>
        <w:t>3</w:t>
      </w:r>
      <w:r>
        <w:t xml:space="preserve"> — предпочтительнее.</w:t>
      </w:r>
    </w:p>
    <w:p w:rsidR="008E3F15" w:rsidRDefault="005F449A">
      <w:pPr>
        <w:ind w:left="2" w:right="618"/>
      </w:pPr>
      <w:r>
        <w:t>При неэффективности тромболизиса повторный тромболизис не дает дополнительного эффекта, а спасительная чрескожная реваскуляризация снижает риск СН, повторного ИМ и отдаленную смертность (MERLIN, REACT).</w:t>
      </w:r>
    </w:p>
    <w:p w:rsidR="008E3F15" w:rsidRDefault="005F449A">
      <w:pPr>
        <w:ind w:left="2" w:right="15"/>
      </w:pPr>
      <w:r>
        <w:t>Фармакоинвазивный подход, включающий ранний тромболизис, при невозможности своевременного ЧКВ, с последующим переводом в отделение интервенционного лечения позволяет снизить частоту рецидивов ИМ и ишемии мио карда (CARESS-in-AMI; TRANSFERAMI).</w:t>
      </w:r>
    </w:p>
    <w:p w:rsidR="008E3F15" w:rsidRDefault="005F449A">
      <w:pPr>
        <w:ind w:left="2" w:right="15"/>
      </w:pPr>
      <w:r>
        <w:t>Пациенты с И</w:t>
      </w:r>
      <w:r>
        <w:t>Мп</w:t>
      </w:r>
      <w:r>
        <w:rPr>
          <w:i/>
        </w:rPr>
        <w:t>ST</w:t>
      </w:r>
      <w:r>
        <w:t>, которым не проведен тромболизис, должны получать АСК, клопидогрел/ тикагрелор и фондапаринукс натрия (или эноксапарин натрия или НФГ).</w:t>
      </w:r>
    </w:p>
    <w:p w:rsidR="008E3F15" w:rsidRDefault="005F449A">
      <w:pPr>
        <w:ind w:left="2" w:right="15"/>
      </w:pPr>
      <w:r>
        <w:rPr>
          <w:i/>
        </w:rPr>
        <w:t xml:space="preserve">Антикоагулянты. </w:t>
      </w:r>
      <w:r>
        <w:t>Введение антикоагулянтов при ОКС не влияет на смертность, но уменьшает частоту ИМ и повышает риск м</w:t>
      </w:r>
      <w:r>
        <w:t>алых кровотечений (Cochrane Review).</w:t>
      </w:r>
    </w:p>
    <w:p w:rsidR="008E3F15" w:rsidRDefault="005F449A">
      <w:pPr>
        <w:spacing w:after="31"/>
        <w:ind w:left="2" w:right="15"/>
      </w:pPr>
      <w:r>
        <w:t>Из антикоагулянтов при ОКСбп</w:t>
      </w:r>
      <w:r>
        <w:rPr>
          <w:i/>
        </w:rPr>
        <w:t>ST</w:t>
      </w:r>
      <w:r>
        <w:t xml:space="preserve"> предпочтительнее фондапаринукс натрия, при</w:t>
      </w:r>
    </w:p>
    <w:p w:rsidR="008E3F15" w:rsidRDefault="005F449A">
      <w:pPr>
        <w:ind w:left="2" w:right="121"/>
      </w:pPr>
      <w:r>
        <w:t>невозможности применения последнего используются эноксапарин натрия или инфузия НФГ (Cochrane Reviews). Парентеральные антикоагулянты вводят в пе</w:t>
      </w:r>
      <w:r>
        <w:t>риод госпитализации (не более 8 сут) или до реваскуляризации.</w:t>
      </w:r>
    </w:p>
    <w:p w:rsidR="008E3F15" w:rsidRDefault="005F449A">
      <w:pPr>
        <w:ind w:left="2" w:right="15"/>
      </w:pPr>
      <w:r>
        <w:t>Фондапаринукс натрия в дозе 2,5 мг подкожно 1 раз в сутки применяется без контроля коагулограммы (в случаях ИМп</w:t>
      </w:r>
      <w:r>
        <w:rPr>
          <w:i/>
        </w:rPr>
        <w:t>ST</w:t>
      </w:r>
      <w:r>
        <w:t xml:space="preserve"> независимо от тромболизиса рекомендуют первую дозу вводить внутривенно). Препара</w:t>
      </w:r>
      <w:r>
        <w:t>т при ОКСбп</w:t>
      </w:r>
      <w:r>
        <w:rPr>
          <w:i/>
        </w:rPr>
        <w:t>ST</w:t>
      </w:r>
      <w:r>
        <w:t xml:space="preserve"> не менее эффективен и почти в 2 раза реже вызывает большие кровотечения, чем эноксапарин натрия (OASIS-5; Almendro-Delia M. et al., 2021).</w:t>
      </w:r>
    </w:p>
    <w:p w:rsidR="008E3F15" w:rsidRDefault="005F449A">
      <w:pPr>
        <w:ind w:left="2" w:right="337"/>
      </w:pPr>
      <w:r>
        <w:t>Эноксапарин натрия вводят подкожно 1 мг/кг каждые 12 ч, а пациентам 75 лет и старше — 0,75 мг/кг дважды</w:t>
      </w:r>
      <w:r>
        <w:t xml:space="preserve"> в день. В случае тромболизиса у пациентов до 75 лет предварительно вводят болюс 30 мг внутривенно, и первые две подкожные дозы не должны превышать 100 мг каждая. Пациентам старше 75 лет болюс не вводится, первая доза эноксапарина натрия снижается до 0,75 </w:t>
      </w:r>
      <w:r>
        <w:t>мг/кг подкожно, а первые две подкожные дозы не должны превышать 75 мг. При клиренсе креатинина &lt;30 мл/мин доза эноксапарина натрия уменьшается до однократной, а при &lt;15 мл/мин препарат не показан.</w:t>
      </w:r>
    </w:p>
    <w:p w:rsidR="008E3F15" w:rsidRDefault="005F449A">
      <w:pPr>
        <w:ind w:left="2" w:right="15"/>
      </w:pPr>
      <w:r>
        <w:t>В случае недоступности фондапаринукса натрия или эноксапари</w:t>
      </w:r>
      <w:r>
        <w:t>на натрия, выраженной дисфункции почек показана внутривенная инфузия НФГ [вначале 60 ед/кг (≤4000 ед), далее</w:t>
      </w:r>
    </w:p>
    <w:p w:rsidR="008E3F15" w:rsidRDefault="005F449A">
      <w:pPr>
        <w:spacing w:after="31"/>
        <w:ind w:left="2" w:right="15"/>
      </w:pPr>
      <w:r>
        <w:t>12 ед/кг × ч (≤1000 ед/ч)] 24–48 ч с контролем активированного частичного</w:t>
      </w:r>
    </w:p>
    <w:p w:rsidR="008E3F15" w:rsidRDefault="005F449A">
      <w:pPr>
        <w:ind w:left="2" w:right="214"/>
      </w:pPr>
      <w:r>
        <w:t>тромбопластинового времени через 3, 6, 12 и 24 ч, добиваясь повышения пок</w:t>
      </w:r>
      <w:r>
        <w:t>азателя в 1,5– 2 раза выше верхней границы нормы (или до 50–70 с). В последующем при необходимости профилактики тромбоэмболий возможен переход на подкожное введение 5000 ед дважды в сут.</w:t>
      </w:r>
    </w:p>
    <w:p w:rsidR="008E3F15" w:rsidRDefault="005F449A">
      <w:pPr>
        <w:ind w:left="2" w:right="15"/>
      </w:pPr>
      <w:r>
        <w:t xml:space="preserve">Если пациент до развития ИМ принимал оральные антикоагулянты, то при </w:t>
      </w:r>
      <w:r>
        <w:t>адекватных дозах целесообразность назначения парентеральных антикоагулянтов не доказана.</w:t>
      </w:r>
    </w:p>
    <w:p w:rsidR="008E3F15" w:rsidRDefault="005F449A">
      <w:pPr>
        <w:ind w:left="2" w:right="340"/>
      </w:pPr>
      <w:r>
        <w:t xml:space="preserve">После периода наблюдения до 12 ч с момента поступления у пациентов без дискомфорта в груди, с низким риском, без смещения </w:t>
      </w:r>
      <w:r>
        <w:rPr>
          <w:i/>
        </w:rPr>
        <w:t>ST</w:t>
      </w:r>
      <w:r>
        <w:t>, при отсутствии повышения тропонина и друг</w:t>
      </w:r>
      <w:r>
        <w:t>их факторов высокого риска введение антикоагулянтов может быть прекращено.</w:t>
      </w:r>
    </w:p>
    <w:p w:rsidR="008E3F15" w:rsidRDefault="005F449A">
      <w:pPr>
        <w:ind w:left="2" w:right="140"/>
      </w:pPr>
      <w:r>
        <w:rPr>
          <w:i/>
        </w:rPr>
        <w:t>Антиагреганты.</w:t>
      </w:r>
      <w:r>
        <w:t xml:space="preserve"> Рекомендуют более активные антиагреганты прасугрел и тикагрелор, если планируется ЧКВ, тикагрелор у пациентов с ОКСбп</w:t>
      </w:r>
      <w:r>
        <w:rPr>
          <w:i/>
        </w:rPr>
        <w:t>ST</w:t>
      </w:r>
      <w:r>
        <w:t xml:space="preserve"> без реваскуляризации (TRITON-TIMI 38). После т</w:t>
      </w:r>
      <w:r>
        <w:t>ромболизиса без планируемой реваскуляризации обычно используют клопидогрел, поскольку более дорогой тикагрелор не снизил риск сердечно-сосудистых событий по сравнению клопидогрелом (TREAT).</w:t>
      </w:r>
    </w:p>
    <w:p w:rsidR="008E3F15" w:rsidRDefault="005F449A">
      <w:pPr>
        <w:ind w:left="2" w:right="15"/>
      </w:pPr>
      <w:r>
        <w:t>Для ускорения эффекта назначают нагрузочную дозу прасугрела 60 мг,</w:t>
      </w:r>
      <w:r>
        <w:t xml:space="preserve"> тикагрелора 180 мг или клопидогрела 300 мг, если возраст не превышает 75 лет. Далее рекомендуют тикагрелор</w:t>
      </w:r>
    </w:p>
    <w:p w:rsidR="008E3F15" w:rsidRDefault="005F449A">
      <w:pPr>
        <w:spacing w:after="359"/>
        <w:ind w:left="2" w:right="15"/>
      </w:pPr>
      <w:r>
        <w:t>90 мг 2 раза, прасугрел 5–10 мг или клопидогрел 75 мг в сочетании с АСК 75–100 мг однократно.</w:t>
      </w:r>
    </w:p>
    <w:p w:rsidR="008E3F15" w:rsidRDefault="005F449A">
      <w:pPr>
        <w:pStyle w:val="Heading1"/>
        <w:ind w:left="2"/>
      </w:pPr>
      <w:r>
        <w:t>Часть I. Сердечно-сосудистые болезни</w:t>
      </w:r>
    </w:p>
    <w:p w:rsidR="008E3F15" w:rsidRDefault="005F449A">
      <w:pPr>
        <w:ind w:left="2" w:right="15"/>
      </w:pPr>
      <w:r>
        <w:t>При комбинированн</w:t>
      </w:r>
      <w:r>
        <w:t>ой противотромботической терапии у пациентов с другими факторами риска желудочно-кишечного кровотечения целесообразно добавить ингибитор протонной помпы (например, пантопразол 20 мг).</w:t>
      </w:r>
    </w:p>
    <w:p w:rsidR="008E3F15" w:rsidRDefault="005F449A">
      <w:pPr>
        <w:spacing w:after="31"/>
        <w:ind w:left="2" w:right="15"/>
      </w:pPr>
      <w:r>
        <w:rPr>
          <w:i/>
        </w:rPr>
        <w:t>Другие препараты.</w:t>
      </w:r>
      <w:r>
        <w:t xml:space="preserve"> β-Адреноблокаторы можно назначить внутрь в первые сутк</w:t>
      </w:r>
      <w:r>
        <w:t>и</w:t>
      </w:r>
    </w:p>
    <w:p w:rsidR="008E3F15" w:rsidRDefault="005F449A">
      <w:pPr>
        <w:spacing w:after="31"/>
        <w:ind w:left="2" w:right="15"/>
      </w:pPr>
      <w:r>
        <w:t>с титрованием дозы при отсутствии выраженной СН (Killip III–IV), гипотензии, брадикардии,</w:t>
      </w:r>
    </w:p>
    <w:p w:rsidR="008E3F15" w:rsidRDefault="005F449A">
      <w:pPr>
        <w:spacing w:after="31"/>
        <w:ind w:left="2" w:right="15"/>
      </w:pPr>
      <w:r>
        <w:t>АВ-блокады 2–3-й степени, факторов риска кардиогенного шока (возраст &gt;70 лет,</w:t>
      </w:r>
    </w:p>
    <w:p w:rsidR="008E3F15" w:rsidRDefault="005F449A">
      <w:pPr>
        <w:ind w:left="2" w:right="15"/>
      </w:pPr>
      <w:r>
        <w:t>АДс &lt;120 мм рт.ст., ЧСС &gt;110 в мин), вазоспазма. Препараты с меньшей продолжительностью действия и селективные более безопасны, например, начать с метопролола тартрата 25 мг дважды с последующим титрованием до 50–100 мг дважды и последующим переходом на ме</w:t>
      </w:r>
      <w:r>
        <w:t>топролола сукцинат однократно.</w:t>
      </w:r>
    </w:p>
    <w:p w:rsidR="008E3F15" w:rsidRDefault="005F449A">
      <w:pPr>
        <w:ind w:left="2" w:right="15"/>
      </w:pPr>
      <w:r>
        <w:t>Внутривенное введение β-адреноблокаторов может быть оправдано при сохраняющейся ишемии мио карда, тахикардии, но опасно при риске кардиогенного шока (Sterling L. et al., 2017).</w:t>
      </w:r>
    </w:p>
    <w:p w:rsidR="008E3F15" w:rsidRDefault="005F449A">
      <w:pPr>
        <w:ind w:left="2" w:right="114"/>
      </w:pPr>
      <w:r>
        <w:t>иАПФ (валсартан при непереносимости) с первых су</w:t>
      </w:r>
      <w:r>
        <w:t>ток рекомендуются всем пациентам при ИМп</w:t>
      </w:r>
      <w:r>
        <w:rPr>
          <w:i/>
        </w:rPr>
        <w:t>ST</w:t>
      </w:r>
      <w:r>
        <w:t xml:space="preserve"> без противопоказаний [особенно эффективны при сердечной недостаточности с низкой фракцией выброса левого желудочка (СНнФВ)], избегая гипотензии, в режиме титрования, начиная с малых доз (например, лизиноприл 2,5 м</w:t>
      </w:r>
      <w:r>
        <w:t xml:space="preserve">г 1 раз, валсартан 20 мг 2 раза) и добиваясь целевых, указанных в </w:t>
      </w:r>
      <w:r>
        <w:rPr>
          <w:b/>
        </w:rPr>
        <w:t>табл. 1.9</w:t>
      </w:r>
      <w:r>
        <w:t>. У пациентов с ОКСбп</w:t>
      </w:r>
      <w:r>
        <w:rPr>
          <w:i/>
        </w:rPr>
        <w:t>ST</w:t>
      </w:r>
      <w:r>
        <w:t xml:space="preserve"> иАПФ рекомендуются при наличии СНнФВ, СД, хронической болезни почек (ХБП).</w:t>
      </w:r>
    </w:p>
    <w:p w:rsidR="008E3F15" w:rsidRDefault="005F449A">
      <w:pPr>
        <w:spacing w:after="31"/>
        <w:ind w:left="2" w:right="15"/>
      </w:pPr>
      <w:r>
        <w:rPr>
          <w:b/>
        </w:rPr>
        <w:t xml:space="preserve">Таблица 1.9. </w:t>
      </w:r>
      <w:r>
        <w:t>Препараты для лечения острого периода острого коронарного синдрома</w:t>
      </w:r>
    </w:p>
    <w:tbl>
      <w:tblPr>
        <w:tblStyle w:val="TableGrid"/>
        <w:tblW w:w="9060" w:type="dxa"/>
        <w:tblInd w:w="30" w:type="dxa"/>
        <w:tblCellMar>
          <w:top w:w="58" w:type="dxa"/>
          <w:left w:w="24" w:type="dxa"/>
          <w:bottom w:w="0" w:type="dxa"/>
          <w:right w:w="41" w:type="dxa"/>
        </w:tblCellMar>
        <w:tblLook w:val="04A0" w:firstRow="1" w:lastRow="0" w:firstColumn="1" w:lastColumn="0" w:noHBand="0" w:noVBand="1"/>
      </w:tblPr>
      <w:tblGrid>
        <w:gridCol w:w="4852"/>
        <w:gridCol w:w="23"/>
        <w:gridCol w:w="1620"/>
        <w:gridCol w:w="22"/>
        <w:gridCol w:w="2543"/>
      </w:tblGrid>
      <w:tr w:rsidR="008E3F15">
        <w:trPr>
          <w:trHeight w:val="308"/>
        </w:trPr>
        <w:tc>
          <w:tcPr>
            <w:tcW w:w="4852"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21" w:right="0" w:firstLine="0"/>
            </w:pPr>
            <w:r>
              <w:rPr>
                <w:b/>
              </w:rPr>
              <w:t>Класс</w:t>
            </w:r>
          </w:p>
        </w:tc>
        <w:tc>
          <w:tcPr>
            <w:tcW w:w="1665" w:type="dxa"/>
            <w:gridSpan w:val="3"/>
            <w:vMerge w:val="restart"/>
            <w:tcBorders>
              <w:top w:val="single" w:sz="6" w:space="0" w:color="000000"/>
              <w:left w:val="nil"/>
              <w:bottom w:val="nil"/>
              <w:right w:val="nil"/>
            </w:tcBorders>
          </w:tcPr>
          <w:p w:rsidR="008E3F15" w:rsidRDefault="005F449A">
            <w:pPr>
              <w:spacing w:after="0" w:line="259" w:lineRule="auto"/>
              <w:ind w:left="48" w:right="0" w:firstLine="0"/>
            </w:pPr>
            <w:r>
              <w:rPr>
                <w:b/>
                <w:bdr w:val="single" w:sz="12" w:space="0" w:color="000000"/>
              </w:rPr>
              <w:t>Препараты</w:t>
            </w:r>
          </w:p>
        </w:tc>
        <w:tc>
          <w:tcPr>
            <w:tcW w:w="2543" w:type="dxa"/>
            <w:tcBorders>
              <w:top w:val="double" w:sz="6" w:space="0" w:color="000000"/>
              <w:left w:val="single" w:sz="6" w:space="0" w:color="000000"/>
              <w:bottom w:val="single" w:sz="6" w:space="0" w:color="000000"/>
              <w:right w:val="double" w:sz="6" w:space="0" w:color="000000"/>
            </w:tcBorders>
          </w:tcPr>
          <w:p w:rsidR="008E3F15" w:rsidRDefault="005F449A">
            <w:pPr>
              <w:spacing w:after="0" w:line="259" w:lineRule="auto"/>
              <w:ind w:left="0" w:right="0" w:firstLine="0"/>
            </w:pPr>
            <w:r>
              <w:rPr>
                <w:b/>
              </w:rPr>
              <w:t>Дозы</w:t>
            </w:r>
          </w:p>
        </w:tc>
      </w:tr>
      <w:tr w:rsidR="008E3F15">
        <w:trPr>
          <w:trHeight w:val="248"/>
        </w:trPr>
        <w:tc>
          <w:tcPr>
            <w:tcW w:w="4852" w:type="dxa"/>
            <w:tcBorders>
              <w:top w:val="single" w:sz="6" w:space="0" w:color="000000"/>
              <w:left w:val="single" w:sz="6" w:space="0" w:color="000000"/>
              <w:bottom w:val="nil"/>
              <w:right w:val="nil"/>
            </w:tcBorders>
          </w:tcPr>
          <w:p w:rsidR="008E3F15" w:rsidRDefault="008E3F15">
            <w:pPr>
              <w:spacing w:after="160" w:line="259" w:lineRule="auto"/>
              <w:ind w:left="0" w:right="0" w:firstLine="0"/>
            </w:pPr>
          </w:p>
        </w:tc>
        <w:tc>
          <w:tcPr>
            <w:tcW w:w="0" w:type="auto"/>
            <w:gridSpan w:val="3"/>
            <w:vMerge/>
            <w:tcBorders>
              <w:top w:val="nil"/>
              <w:left w:val="nil"/>
              <w:bottom w:val="nil"/>
              <w:right w:val="nil"/>
            </w:tcBorders>
          </w:tcPr>
          <w:p w:rsidR="008E3F15" w:rsidRDefault="008E3F15">
            <w:pPr>
              <w:spacing w:after="160" w:line="259" w:lineRule="auto"/>
              <w:ind w:left="0" w:right="0" w:firstLine="0"/>
            </w:pPr>
          </w:p>
        </w:tc>
        <w:tc>
          <w:tcPr>
            <w:tcW w:w="2543" w:type="dxa"/>
            <w:tcBorders>
              <w:top w:val="single" w:sz="6" w:space="0" w:color="000000"/>
              <w:left w:val="nil"/>
              <w:bottom w:val="nil"/>
              <w:right w:val="single" w:sz="6" w:space="0" w:color="000000"/>
            </w:tcBorders>
          </w:tcPr>
          <w:p w:rsidR="008E3F15" w:rsidRDefault="008E3F15">
            <w:pPr>
              <w:spacing w:after="160" w:line="259" w:lineRule="auto"/>
              <w:ind w:left="0" w:right="0" w:firstLine="0"/>
            </w:pPr>
          </w:p>
        </w:tc>
      </w:tr>
      <w:tr w:rsidR="008E3F15">
        <w:trPr>
          <w:trHeight w:val="308"/>
        </w:trPr>
        <w:tc>
          <w:tcPr>
            <w:tcW w:w="4875" w:type="dxa"/>
            <w:gridSpan w:val="2"/>
            <w:vMerge w:val="restart"/>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w:t>
            </w:r>
          </w:p>
        </w:tc>
        <w:tc>
          <w:tcPr>
            <w:tcW w:w="1620" w:type="dxa"/>
            <w:vMerge w:val="restart"/>
            <w:tcBorders>
              <w:top w:val="nil"/>
              <w:left w:val="single" w:sz="6" w:space="0" w:color="000000"/>
              <w:bottom w:val="single" w:sz="6" w:space="0" w:color="000000"/>
              <w:right w:val="nil"/>
            </w:tcBorders>
          </w:tcPr>
          <w:p w:rsidR="008E3F15" w:rsidRDefault="005F449A">
            <w:pPr>
              <w:spacing w:after="0" w:line="259" w:lineRule="auto"/>
              <w:ind w:left="4" w:right="0" w:firstLine="0"/>
            </w:pPr>
            <w:r>
              <w:rPr>
                <w:bdr w:val="single" w:sz="12" w:space="0" w:color="000000"/>
              </w:rPr>
              <w:t>Метопролол</w:t>
            </w:r>
          </w:p>
          <w:p w:rsidR="008E3F15" w:rsidRDefault="005F449A">
            <w:pPr>
              <w:spacing w:after="0" w:line="259" w:lineRule="auto"/>
              <w:ind w:left="4" w:right="0" w:firstLine="0"/>
              <w:jc w:val="both"/>
            </w:pPr>
            <w:r>
              <w:rPr>
                <w:bdr w:val="single" w:sz="12" w:space="0" w:color="000000"/>
              </w:rPr>
              <w:t>Пропранолол</w:t>
            </w:r>
          </w:p>
        </w:tc>
        <w:tc>
          <w:tcPr>
            <w:tcW w:w="2565" w:type="dxa"/>
            <w:gridSpan w:val="2"/>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25–100 мг 1–2 раза</w:t>
            </w:r>
          </w:p>
        </w:tc>
      </w:tr>
      <w:tr w:rsidR="008E3F15">
        <w:trPr>
          <w:trHeight w:val="330"/>
        </w:trPr>
        <w:tc>
          <w:tcPr>
            <w:tcW w:w="0" w:type="auto"/>
            <w:gridSpan w:val="2"/>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2565" w:type="dxa"/>
            <w:gridSpan w:val="2"/>
            <w:tcBorders>
              <w:top w:val="double" w:sz="6" w:space="0" w:color="000000"/>
              <w:left w:val="single" w:sz="6" w:space="0" w:color="000000"/>
              <w:bottom w:val="single" w:sz="6" w:space="0" w:color="000000"/>
              <w:right w:val="double" w:sz="6" w:space="0" w:color="000000"/>
            </w:tcBorders>
          </w:tcPr>
          <w:p w:rsidR="008E3F15" w:rsidRDefault="005F449A">
            <w:pPr>
              <w:spacing w:after="0" w:line="259" w:lineRule="auto"/>
              <w:ind w:left="2" w:right="0" w:firstLine="0"/>
            </w:pPr>
            <w:r>
              <w:t>40–80 мг 3–4 раза</w:t>
            </w:r>
          </w:p>
        </w:tc>
      </w:tr>
      <w:tr w:rsidR="008E3F15">
        <w:trPr>
          <w:trHeight w:val="330"/>
        </w:trPr>
        <w:tc>
          <w:tcPr>
            <w:tcW w:w="0" w:type="auto"/>
            <w:gridSpan w:val="2"/>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620"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Атенолол</w:t>
            </w:r>
          </w:p>
        </w:tc>
        <w:tc>
          <w:tcPr>
            <w:tcW w:w="2565" w:type="dxa"/>
            <w:gridSpan w:val="2"/>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dr w:val="single" w:sz="12" w:space="0" w:color="000000"/>
              </w:rPr>
              <w:t>50–200 мг однократно</w:t>
            </w:r>
          </w:p>
        </w:tc>
      </w:tr>
      <w:tr w:rsidR="008E3F15">
        <w:trPr>
          <w:trHeight w:val="330"/>
        </w:trPr>
        <w:tc>
          <w:tcPr>
            <w:tcW w:w="0" w:type="auto"/>
            <w:gridSpan w:val="2"/>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6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Карведилол</w:t>
            </w:r>
          </w:p>
        </w:tc>
        <w:tc>
          <w:tcPr>
            <w:tcW w:w="2565" w:type="dxa"/>
            <w:gridSpan w:val="2"/>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6,25–25 мг дважды</w:t>
            </w:r>
          </w:p>
        </w:tc>
      </w:tr>
      <w:tr w:rsidR="008E3F15">
        <w:trPr>
          <w:trHeight w:val="330"/>
        </w:trPr>
        <w:tc>
          <w:tcPr>
            <w:tcW w:w="4875" w:type="dxa"/>
            <w:gridSpan w:val="2"/>
            <w:vMerge w:val="restart"/>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pPr>
            <w:r>
              <w:t>иАПФ</w:t>
            </w:r>
          </w:p>
        </w:tc>
        <w:tc>
          <w:tcPr>
            <w:tcW w:w="16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Каптоприл</w:t>
            </w:r>
          </w:p>
        </w:tc>
        <w:tc>
          <w:tcPr>
            <w:tcW w:w="256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6,25–50 мг дважды</w:t>
            </w:r>
          </w:p>
        </w:tc>
      </w:tr>
      <w:tr w:rsidR="008E3F15">
        <w:trPr>
          <w:trHeight w:val="330"/>
        </w:trPr>
        <w:tc>
          <w:tcPr>
            <w:tcW w:w="0" w:type="auto"/>
            <w:gridSpan w:val="2"/>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620"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pPr>
            <w:r>
              <w:rPr>
                <w:bdr w:val="single" w:sz="12" w:space="0" w:color="000000"/>
              </w:rPr>
              <w:t>Зофеноприл</w:t>
            </w:r>
          </w:p>
          <w:p w:rsidR="008E3F15" w:rsidRDefault="005F449A">
            <w:pPr>
              <w:spacing w:after="0" w:line="259" w:lineRule="auto"/>
              <w:ind w:left="4" w:right="0" w:firstLine="0"/>
            </w:pPr>
            <w:r>
              <w:rPr>
                <w:bdr w:val="single" w:sz="12" w:space="0" w:color="000000"/>
              </w:rPr>
              <w:t>Лизиноприл</w:t>
            </w:r>
          </w:p>
        </w:tc>
        <w:tc>
          <w:tcPr>
            <w:tcW w:w="2565"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7,5–30 мг дважды</w:t>
            </w:r>
          </w:p>
        </w:tc>
      </w:tr>
      <w:tr w:rsidR="008E3F15">
        <w:trPr>
          <w:trHeight w:val="330"/>
        </w:trPr>
        <w:tc>
          <w:tcPr>
            <w:tcW w:w="0" w:type="auto"/>
            <w:gridSpan w:val="2"/>
            <w:vMerge/>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2565"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5–10 мг однократно</w:t>
            </w:r>
          </w:p>
        </w:tc>
      </w:tr>
      <w:tr w:rsidR="008E3F15">
        <w:trPr>
          <w:trHeight w:val="330"/>
        </w:trPr>
        <w:tc>
          <w:tcPr>
            <w:tcW w:w="4875"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Блокаторы рецепторов ангиотензина (БРА)</w:t>
            </w:r>
          </w:p>
        </w:tc>
        <w:tc>
          <w:tcPr>
            <w:tcW w:w="1620"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4" w:right="0" w:firstLine="0"/>
            </w:pPr>
            <w:r>
              <w:t>Валсартан</w:t>
            </w:r>
          </w:p>
        </w:tc>
        <w:tc>
          <w:tcPr>
            <w:tcW w:w="256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20–160 мг дважды</w:t>
            </w:r>
          </w:p>
        </w:tc>
      </w:tr>
    </w:tbl>
    <w:p w:rsidR="008E3F15" w:rsidRDefault="005F449A">
      <w:pPr>
        <w:ind w:left="2" w:right="15"/>
      </w:pPr>
      <w:r>
        <w:t>Пероральные нитраты используют для контроля СК при недостаточной эффективности βадреноблокаторов.</w:t>
      </w:r>
    </w:p>
    <w:p w:rsidR="008E3F15" w:rsidRDefault="005F449A">
      <w:pPr>
        <w:ind w:left="2" w:right="15"/>
      </w:pPr>
      <w:r>
        <w:t>Блокаторы кальциевых каналов (верапамил, дилтиазем) можно использовать для устранения СК или контроля ЧСС при фибрилляции предсердий (ФП), если β-адреноблокаторы неэффективны или противопоказаны. При этом не должно быть симптомов СН, существенной сократите</w:t>
      </w:r>
      <w:r>
        <w:t>льной дисфункции левого желудочка, брадиаритмий.</w:t>
      </w:r>
    </w:p>
    <w:p w:rsidR="008E3F15" w:rsidRDefault="005F449A">
      <w:pPr>
        <w:ind w:left="2" w:right="15"/>
      </w:pPr>
      <w:r>
        <w:t>Нередко в остром периоде ИМ выявляют гипергликемию, чаще вызванную стрессом, а не СД. Наличие гипергликемии ассоциируется с повышением смертности пациентов в критическом состоянии, включая ИМ, поэтому рекоме</w:t>
      </w:r>
      <w:r>
        <w:t>ндуется тщательный мониторинг гликемии, а при уровне &gt;10–11 ммоль/л показано лечение независимо от наличия СД. В палате интенсивной терапии предпочтительнее инфузия инсулина, а в отделении — подкожные инъекции короткого инсулина перед едой. Инфузию проводя</w:t>
      </w:r>
      <w:r>
        <w:t>т со скоростью ≥1,5–2 ед/ч (1 ед инсулина на 10 мл изотонического раствора натрия хлорида). Цель лечения — снижение гликемии до 7,8–10,0 ммоль/л, избегая гипогликемических состояний с гликемией &lt;3,9 ммоль/л. Исследования показывают противоречивые оценки эф</w:t>
      </w:r>
      <w:r>
        <w:t>фективности глюкозо-инсулинокалиевого раствора (CREATE-ECLA; Selker H. et al., 2012; IMMEDIATE).</w:t>
      </w:r>
    </w:p>
    <w:p w:rsidR="008E3F15" w:rsidRDefault="005F449A">
      <w:pPr>
        <w:ind w:left="2" w:right="15"/>
      </w:pPr>
      <w:r>
        <w:t>Назначают лаксативы (лактулоза) для уменьшения натуживания при дефекации; при выраженной тревоге и нарушении сна — транквилизаторы.</w:t>
      </w:r>
    </w:p>
    <w:p w:rsidR="008E3F15" w:rsidRDefault="005F449A">
      <w:pPr>
        <w:ind w:left="2" w:right="15"/>
      </w:pPr>
      <w:r>
        <w:t xml:space="preserve">Диагностические признаки и </w:t>
      </w:r>
      <w:r>
        <w:t xml:space="preserve">лечебные мероприятия при частых осложнениях ИМ приведены в </w:t>
      </w:r>
      <w:r>
        <w:rPr>
          <w:b/>
        </w:rPr>
        <w:t>табл. 1.10.</w:t>
      </w:r>
    </w:p>
    <w:p w:rsidR="008E3F15" w:rsidRDefault="005F449A">
      <w:pPr>
        <w:spacing w:after="31"/>
        <w:ind w:left="2" w:right="15"/>
      </w:pPr>
      <w:r>
        <w:rPr>
          <w:b/>
        </w:rPr>
        <w:t xml:space="preserve">Таблица 1.10. </w:t>
      </w:r>
      <w:r>
        <w:t>Диагностика и лечение осложнений инфаркта мио карда</w:t>
      </w:r>
    </w:p>
    <w:tbl>
      <w:tblPr>
        <w:tblStyle w:val="TableGrid"/>
        <w:tblW w:w="10485" w:type="dxa"/>
        <w:tblInd w:w="30" w:type="dxa"/>
        <w:tblCellMar>
          <w:top w:w="58" w:type="dxa"/>
          <w:left w:w="41" w:type="dxa"/>
          <w:bottom w:w="0" w:type="dxa"/>
          <w:right w:w="51" w:type="dxa"/>
        </w:tblCellMar>
        <w:tblLook w:val="04A0" w:firstRow="1" w:lastRow="0" w:firstColumn="1" w:lastColumn="0" w:noHBand="0" w:noVBand="1"/>
      </w:tblPr>
      <w:tblGrid>
        <w:gridCol w:w="1905"/>
        <w:gridCol w:w="3885"/>
        <w:gridCol w:w="4695"/>
      </w:tblGrid>
      <w:tr w:rsidR="008E3F15">
        <w:trPr>
          <w:trHeight w:val="330"/>
        </w:trPr>
        <w:tc>
          <w:tcPr>
            <w:tcW w:w="19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Локализация</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Диагностика</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Лечение</w:t>
            </w:r>
          </w:p>
        </w:tc>
      </w:tr>
      <w:tr w:rsidR="008E3F15">
        <w:trPr>
          <w:trHeight w:val="810"/>
        </w:trPr>
        <w:tc>
          <w:tcPr>
            <w:tcW w:w="19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Отек легких</w:t>
            </w:r>
          </w:p>
        </w:tc>
        <w:tc>
          <w:tcPr>
            <w:tcW w:w="38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Одышка, ортопноэ, цианоз, влажные хрипы в легких</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Кислород, нитроглицерин (в/в), фуросемид (20–40 мг в/в), морфин, тромболизис, ранняя реваскуляризация</w:t>
            </w:r>
          </w:p>
        </w:tc>
      </w:tr>
      <w:tr w:rsidR="008E3F15">
        <w:trPr>
          <w:trHeight w:val="1530"/>
        </w:trPr>
        <w:tc>
          <w:tcPr>
            <w:tcW w:w="190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4" w:right="0" w:firstLine="0"/>
            </w:pPr>
            <w:r>
              <w:t>Шок</w:t>
            </w:r>
          </w:p>
        </w:tc>
        <w:tc>
          <w:tcPr>
            <w:tcW w:w="38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429" w:firstLine="0"/>
            </w:pPr>
            <w:r>
              <w:t>АДс &lt;90 мм рт.ст., бледная и холодная кожа, нарушение сознания, олигурия &lt;0,5 мл/кг в час</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jc w:val="both"/>
            </w:pPr>
            <w:r>
              <w:t>Вазопрессоры (норэпинефрин, допамин),</w:t>
            </w:r>
          </w:p>
          <w:p w:rsidR="008E3F15" w:rsidRDefault="005F449A">
            <w:pPr>
              <w:spacing w:after="0" w:line="259" w:lineRule="auto"/>
              <w:ind w:left="0" w:right="0" w:firstLine="0"/>
            </w:pPr>
            <w:r>
              <w:t>добутамин, инфузия (нет застоя), реваскуляризация инфарктответственной артерии (тромболизис), устройство Impella, хирургия (разрывы, митральная регургитация)</w:t>
            </w:r>
          </w:p>
        </w:tc>
      </w:tr>
      <w:tr w:rsidR="008E3F15">
        <w:trPr>
          <w:trHeight w:val="330"/>
        </w:trPr>
        <w:tc>
          <w:tcPr>
            <w:tcW w:w="1905" w:type="dxa"/>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jc w:val="both"/>
            </w:pPr>
            <w:r>
              <w:rPr>
                <w:bdr w:val="single" w:sz="12" w:space="0" w:color="000000"/>
              </w:rPr>
              <w:t>Тромбоз сердца</w:t>
            </w:r>
          </w:p>
        </w:tc>
        <w:tc>
          <w:tcPr>
            <w:tcW w:w="3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6" w:right="0" w:firstLine="0"/>
            </w:pPr>
            <w:r>
              <w:t>Эхокардиография</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Варфарин ≥3 мес</w:t>
            </w:r>
          </w:p>
        </w:tc>
      </w:tr>
      <w:tr w:rsidR="008E3F15">
        <w:trPr>
          <w:trHeight w:val="570"/>
        </w:trPr>
        <w:tc>
          <w:tcPr>
            <w:tcW w:w="190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Аневризма сердца</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ЭКГ: «застывший» ↑</w:t>
            </w:r>
            <w:r>
              <w:rPr>
                <w:i/>
              </w:rPr>
              <w:t>ST</w:t>
            </w:r>
            <w:r>
              <w:t>, устойчивая ЖТ, эхокардиография</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Аневризмэктомия при выраженной СН или рефрактерной ЖТ</w:t>
            </w:r>
          </w:p>
        </w:tc>
      </w:tr>
      <w:tr w:rsidR="008E3F15">
        <w:trPr>
          <w:trHeight w:val="1050"/>
        </w:trPr>
        <w:tc>
          <w:tcPr>
            <w:tcW w:w="19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Дисфункция</w:t>
            </w:r>
          </w:p>
          <w:p w:rsidR="008E3F15" w:rsidRDefault="005F449A">
            <w:pPr>
              <w:spacing w:after="0" w:line="259" w:lineRule="auto"/>
              <w:ind w:left="4" w:right="0" w:firstLine="0"/>
            </w:pPr>
            <w:r>
              <w:t>папиллярных мышц</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40" w:firstLine="0"/>
            </w:pPr>
            <w:r>
              <w:t>Одышка, систолический шум, ↓I тона на верхушке, ЭКГ: перегрузка левого предсердия, эхокардиография</w:t>
            </w:r>
          </w:p>
        </w:tc>
        <w:tc>
          <w:tcPr>
            <w:tcW w:w="46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Диуретики, иАПФ, реваскуляризация, хирургия митрального клапана</w:t>
            </w:r>
          </w:p>
        </w:tc>
      </w:tr>
      <w:tr w:rsidR="008E3F15">
        <w:trPr>
          <w:trHeight w:val="1050"/>
        </w:trPr>
        <w:tc>
          <w:tcPr>
            <w:tcW w:w="19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Перикардит</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43" w:firstLine="0"/>
            </w:pPr>
            <w:r>
              <w:t>Дискомфорт позозависимый, при дыхании, шум трения плевры, на ЭКГ ↑</w:t>
            </w:r>
            <w:r>
              <w:rPr>
                <w:i/>
              </w:rPr>
              <w:t>ST</w:t>
            </w:r>
            <w:r>
              <w:t xml:space="preserve"> вогнутый, ↓</w:t>
            </w:r>
            <w:r>
              <w:rPr>
                <w:i/>
              </w:rPr>
              <w:t>PR</w:t>
            </w:r>
            <w:r>
              <w:t>, эхокардиография (выпот в 40%)</w:t>
            </w:r>
          </w:p>
        </w:tc>
        <w:tc>
          <w:tcPr>
            <w:tcW w:w="4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АСК до 650 мг 4 раза, парацетамол</w:t>
            </w:r>
          </w:p>
          <w:p w:rsidR="008E3F15" w:rsidRDefault="005F449A">
            <w:pPr>
              <w:spacing w:after="0" w:line="259" w:lineRule="auto"/>
              <w:ind w:left="0" w:right="0" w:firstLine="0"/>
            </w:pPr>
            <w:r>
              <w:t>500 мг 4 раза, колхицин 0,6 мг 2 раза (рецидивы), антикоагулянты отменить при выпоте</w:t>
            </w:r>
          </w:p>
        </w:tc>
      </w:tr>
      <w:tr w:rsidR="008E3F15">
        <w:trPr>
          <w:trHeight w:val="2228"/>
        </w:trPr>
        <w:tc>
          <w:tcPr>
            <w:tcW w:w="190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4" w:right="0" w:firstLine="0"/>
            </w:pPr>
            <w:r>
              <w:t>ЖТ</w:t>
            </w:r>
          </w:p>
        </w:tc>
        <w:tc>
          <w:tcPr>
            <w:tcW w:w="388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6" w:right="0" w:firstLine="0"/>
            </w:pPr>
            <w:r>
              <w:t>Сердцебиение, гипотензия, одышка, ангинозные боли, на ЭКГ ширококомплексная тахикардия</w:t>
            </w:r>
          </w:p>
        </w:tc>
        <w:tc>
          <w:tcPr>
            <w:tcW w:w="469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16" w:lineRule="auto"/>
              <w:ind w:left="0" w:right="14" w:firstLine="0"/>
            </w:pPr>
            <w:r>
              <w:t>Полиморфная или мономорфная тяжелая ЖТ.</w:t>
            </w:r>
          </w:p>
          <w:p w:rsidR="008E3F15" w:rsidRDefault="005F449A">
            <w:pPr>
              <w:spacing w:after="0" w:line="259" w:lineRule="auto"/>
              <w:ind w:left="0" w:right="0" w:firstLine="0"/>
            </w:pPr>
            <w:r>
              <w:t>Бифазный разряд 100–150–200 Дж.</w:t>
            </w:r>
          </w:p>
          <w:p w:rsidR="008E3F15" w:rsidRDefault="005F449A">
            <w:pPr>
              <w:spacing w:after="0" w:line="216" w:lineRule="auto"/>
              <w:ind w:left="0" w:right="52" w:firstLine="0"/>
            </w:pPr>
            <w:r>
              <w:t>Мономорфная ЖТ нетяжелая: амиодарон 150 мг в/в за 10 мин, повторно 150 мг через 10–15 мин</w:t>
            </w:r>
          </w:p>
          <w:p w:rsidR="008E3F15" w:rsidRDefault="005F449A">
            <w:pPr>
              <w:spacing w:after="0" w:line="259" w:lineRule="auto"/>
              <w:ind w:left="0" w:right="0" w:firstLine="0"/>
            </w:pPr>
            <w:r>
              <w:t>(до 2,2 г/сут).</w:t>
            </w:r>
          </w:p>
          <w:p w:rsidR="008E3F15" w:rsidRDefault="005F449A">
            <w:pPr>
              <w:spacing w:after="0" w:line="259" w:lineRule="auto"/>
              <w:ind w:left="0" w:right="0" w:firstLine="0"/>
            </w:pPr>
            <w:r>
              <w:t>Имплантируемый кардиовертердефибриллятор (ИКД) после 48 ч</w:t>
            </w:r>
          </w:p>
        </w:tc>
      </w:tr>
      <w:tr w:rsidR="008E3F15">
        <w:trPr>
          <w:trHeight w:val="83"/>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1268"/>
        </w:trPr>
        <w:tc>
          <w:tcPr>
            <w:tcW w:w="190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Брадикардия</w:t>
            </w:r>
          </w:p>
        </w:tc>
        <w:tc>
          <w:tcPr>
            <w:tcW w:w="388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t>Атриовентрикулярная блокада 2–</w:t>
            </w:r>
          </w:p>
          <w:p w:rsidR="008E3F15" w:rsidRDefault="005F449A">
            <w:pPr>
              <w:spacing w:after="0" w:line="259" w:lineRule="auto"/>
              <w:ind w:left="6" w:right="54" w:firstLine="0"/>
            </w:pPr>
            <w:r>
              <w:t>3-й степени, синусовая брадикардия &lt;40 в минуту, паузы &gt;3 с</w:t>
            </w:r>
          </w:p>
        </w:tc>
        <w:tc>
          <w:tcPr>
            <w:tcW w:w="46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0" w:firstLine="0"/>
            </w:pPr>
            <w:r>
              <w:t>Гипотензия, острая СН, атропин 0,5–1 мг в/в повторять через 3–5 мин (≤2 мг), допамин начать с 2–5 мкг/кг в минуту</w:t>
            </w:r>
          </w:p>
          <w:p w:rsidR="008E3F15" w:rsidRDefault="005F449A">
            <w:pPr>
              <w:spacing w:after="0" w:line="259" w:lineRule="auto"/>
              <w:ind w:left="0" w:right="0" w:firstLine="0"/>
            </w:pPr>
            <w:r>
              <w:t>(200 мг на 250 мл, 15 мл/ч), кардиостимулятор</w:t>
            </w:r>
          </w:p>
        </w:tc>
      </w:tr>
    </w:tbl>
    <w:p w:rsidR="008E3F15" w:rsidRDefault="005F449A">
      <w:pPr>
        <w:pStyle w:val="Heading1"/>
        <w:ind w:left="2"/>
      </w:pPr>
      <w:r>
        <w:t>Часть I. Сердечно-сосудистые болезни</w:t>
      </w:r>
    </w:p>
    <w:p w:rsidR="008E3F15" w:rsidRDefault="005F449A">
      <w:pPr>
        <w:spacing w:after="179"/>
        <w:ind w:left="2" w:right="4705"/>
      </w:pPr>
      <w:r>
        <w:t xml:space="preserve">Отделение интервенционного лечения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70528"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51943" name="Group 251943"/>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183" name="Shape 2183"/>
                        <wps:cNvSpPr/>
                        <wps:spPr>
                          <a:xfrm>
                            <a:off x="0" y="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09"/>
                                  <a:pt x="57150" y="24755"/>
                                  <a:pt x="57150" y="28575"/>
                                </a:cubicBezTo>
                                <a:cubicBezTo>
                                  <a:pt x="57150" y="32345"/>
                                  <a:pt x="56425" y="35979"/>
                                  <a:pt x="54975" y="39489"/>
                                </a:cubicBezTo>
                                <a:cubicBezTo>
                                  <a:pt x="53525" y="42974"/>
                                  <a:pt x="51460" y="46062"/>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69" y="48754"/>
                                </a:cubicBezTo>
                                <a:cubicBezTo>
                                  <a:pt x="5690" y="46062"/>
                                  <a:pt x="3625" y="42974"/>
                                  <a:pt x="2175" y="39489"/>
                                </a:cubicBezTo>
                                <a:cubicBezTo>
                                  <a:pt x="725" y="35979"/>
                                  <a:pt x="0" y="32345"/>
                                  <a:pt x="0" y="28575"/>
                                </a:cubicBezTo>
                                <a:cubicBezTo>
                                  <a:pt x="0" y="24755"/>
                                  <a:pt x="725" y="21109"/>
                                  <a:pt x="2175" y="17611"/>
                                </a:cubicBezTo>
                                <a:cubicBezTo>
                                  <a:pt x="3625" y="14101"/>
                                  <a:pt x="5690" y="11013"/>
                                  <a:pt x="8369" y="8347"/>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85" name="Shape 2185"/>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09"/>
                                  <a:pt x="57150" y="24755"/>
                                  <a:pt x="57150" y="28575"/>
                                </a:cubicBezTo>
                                <a:cubicBezTo>
                                  <a:pt x="57150" y="32345"/>
                                  <a:pt x="56425" y="35979"/>
                                  <a:pt x="54975" y="39477"/>
                                </a:cubicBezTo>
                                <a:cubicBezTo>
                                  <a:pt x="53525" y="42974"/>
                                  <a:pt x="51460" y="46062"/>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69" y="48754"/>
                                </a:cubicBezTo>
                                <a:cubicBezTo>
                                  <a:pt x="5690" y="46062"/>
                                  <a:pt x="3625" y="42974"/>
                                  <a:pt x="2175" y="39477"/>
                                </a:cubicBezTo>
                                <a:cubicBezTo>
                                  <a:pt x="725" y="35979"/>
                                  <a:pt x="0" y="32345"/>
                                  <a:pt x="0" y="28575"/>
                                </a:cubicBezTo>
                                <a:cubicBezTo>
                                  <a:pt x="0" y="24755"/>
                                  <a:pt x="725" y="21109"/>
                                  <a:pt x="2175" y="17611"/>
                                </a:cubicBezTo>
                                <a:cubicBezTo>
                                  <a:pt x="3625" y="14114"/>
                                  <a:pt x="5690" y="11026"/>
                                  <a:pt x="8369" y="8347"/>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87" name="Shape 2187"/>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13"/>
                                  <a:pt x="53525" y="14101"/>
                                  <a:pt x="54975" y="17599"/>
                                </a:cubicBezTo>
                                <a:cubicBezTo>
                                  <a:pt x="56425" y="21096"/>
                                  <a:pt x="57150" y="24755"/>
                                  <a:pt x="57150" y="28575"/>
                                </a:cubicBezTo>
                                <a:cubicBezTo>
                                  <a:pt x="57150" y="32345"/>
                                  <a:pt x="56425" y="35992"/>
                                  <a:pt x="54975" y="39477"/>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69" y="48778"/>
                                </a:cubicBezTo>
                                <a:cubicBezTo>
                                  <a:pt x="5690" y="46075"/>
                                  <a:pt x="3625" y="42987"/>
                                  <a:pt x="2175" y="39477"/>
                                </a:cubicBezTo>
                                <a:cubicBezTo>
                                  <a:pt x="725" y="35992"/>
                                  <a:pt x="0" y="32345"/>
                                  <a:pt x="0" y="28575"/>
                                </a:cubicBezTo>
                                <a:cubicBezTo>
                                  <a:pt x="0" y="24755"/>
                                  <a:pt x="725" y="21096"/>
                                  <a:pt x="2175" y="17599"/>
                                </a:cubicBezTo>
                                <a:cubicBezTo>
                                  <a:pt x="3625" y="14101"/>
                                  <a:pt x="5690" y="11013"/>
                                  <a:pt x="8369" y="8347"/>
                                </a:cubicBezTo>
                                <a:cubicBezTo>
                                  <a:pt x="11049" y="5655"/>
                                  <a:pt x="14139" y="3584"/>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943" style="width:4.5pt;height:28.5pt;position:absolute;mso-position-horizontal-relative:text;mso-position-horizontal:absolute;margin-left:16.5pt;mso-position-vertical-relative:text;margin-top:2.73828pt;" coordsize="571,3619">
                <v:shape id="Shape 2183" style="position:absolute;width:571;height:571;left:0;top:0;" coordsize="57150,57150" path="m28575,0c32364,0,36009,719,39510,2158c43011,3609,46101,5668,48781,8347c51460,11013,53525,14101,54975,17611c56425,21109,57150,24755,57150,28575c57150,32345,56425,35979,54975,39489c53525,42974,51460,46062,48781,48754c46101,51420,43011,53479,39510,54930c36009,56406,32364,57125,28575,57150c24786,57125,21141,56406,17640,54930c14139,53479,11049,51420,8369,48754c5690,46062,3625,42974,2175,39489c725,35979,0,32345,0,28575c0,24755,725,21109,2175,17611c3625,14101,5690,11013,8369,8347c11049,5668,14139,3609,17640,2158c21141,719,24786,0,28575,0x">
                  <v:stroke weight="0pt" endcap="flat" joinstyle="miter" miterlimit="4" on="false" color="#000000" opacity="0"/>
                  <v:fill on="true" color="#333333"/>
                </v:shape>
                <v:shape id="Shape 2185" style="position:absolute;width:571;height:571;left:0;top:1524;" coordsize="57150,57150" path="m28575,0c32364,0,36009,719,39510,2158c43011,3609,46101,5668,48781,8347c51460,11026,53525,14114,54975,17611c56425,21109,57150,24755,57150,28575c57150,32345,56425,35979,54975,39477c53525,42974,51460,46062,48781,48754c46101,51420,43011,53479,39510,54930c36009,56406,32364,57125,28575,57150c24786,57125,21141,56406,17640,54930c14139,53479,11049,51420,8369,48754c5690,46062,3625,42974,2175,39477c725,35979,0,32345,0,28575c0,24755,725,21109,2175,17611c3625,14114,5690,11026,8369,8347c11049,5668,14139,3609,17640,2158c21141,719,24786,0,28575,0x">
                  <v:stroke weight="0pt" endcap="flat" joinstyle="miter" miterlimit="4" on="false" color="#000000" opacity="0"/>
                  <v:fill on="true" color="#333333"/>
                </v:shape>
                <v:shape id="Shape 2187" style="position:absolute;width:571;height:571;left:0;top:3048;" coordsize="57150,57150" path="m28575,0c32364,0,36009,719,39510,2158c43011,3584,46101,5655,48781,8347c51460,11013,53525,14101,54975,17599c56425,21096,57150,24755,57150,28575c57150,32345,56425,35992,54975,39477c53525,42987,51460,46075,48781,48778c46101,51433,43011,53504,39510,54955c36009,56406,32364,57125,28575,57150c24786,57125,21141,56406,17640,54955c14139,53504,11049,51433,8369,48778c5690,46075,3625,42987,2175,39477c725,35992,0,32345,0,28575c0,24755,725,21096,2175,17599c3625,14101,5690,11013,8369,8347c11049,5655,14139,3584,17640,2158c21141,719,24786,0,28575,0x">
                  <v:stroke weight="0pt" endcap="flat" joinstyle="miter" miterlimit="4" on="false" color="#000000" opacity="0"/>
                  <v:fill on="true" color="#333333"/>
                </v:shape>
                <w10:wrap type="square"/>
              </v:group>
            </w:pict>
          </mc:Fallback>
        </mc:AlternateContent>
      </w:r>
      <w:r>
        <w:t>Коронарная ангиография.</w:t>
      </w:r>
    </w:p>
    <w:p w:rsidR="008E3F15" w:rsidRDefault="005F449A">
      <w:pPr>
        <w:spacing w:after="31"/>
        <w:ind w:left="340" w:right="15"/>
      </w:pPr>
      <w:r>
        <w:t>Мониторинг ЭКГ, АД.</w:t>
      </w:r>
    </w:p>
    <w:p w:rsidR="008E3F15" w:rsidRDefault="005F449A">
      <w:pPr>
        <w:spacing w:after="165"/>
        <w:ind w:left="340" w:right="15"/>
      </w:pPr>
      <w:r>
        <w:t>Шкала риска контрастной нефропатии.</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71552" behindDoc="0" locked="0" layoutInCell="1" allowOverlap="1">
                <wp:simplePos x="0" y="0"/>
                <wp:positionH relativeFrom="column">
                  <wp:posOffset>209550</wp:posOffset>
                </wp:positionH>
                <wp:positionV relativeFrom="paragraph">
                  <wp:posOffset>34776</wp:posOffset>
                </wp:positionV>
                <wp:extent cx="57150" cy="819150"/>
                <wp:effectExtent l="0" t="0" r="0" b="0"/>
                <wp:wrapSquare wrapText="bothSides"/>
                <wp:docPr id="251944" name="Group 251944"/>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190" name="Shape 2190"/>
                        <wps:cNvSpPr/>
                        <wps:spPr>
                          <a:xfrm>
                            <a:off x="0" y="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13"/>
                                  <a:pt x="53525" y="14101"/>
                                  <a:pt x="54975" y="17611"/>
                                </a:cubicBezTo>
                                <a:cubicBezTo>
                                  <a:pt x="56425" y="21109"/>
                                  <a:pt x="57150" y="24755"/>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18"/>
                                  <a:pt x="32364" y="57150"/>
                                  <a:pt x="28575" y="57150"/>
                                </a:cubicBezTo>
                                <a:cubicBezTo>
                                  <a:pt x="24786" y="57150"/>
                                  <a:pt x="21141" y="56418"/>
                                  <a:pt x="17640" y="54955"/>
                                </a:cubicBezTo>
                                <a:cubicBezTo>
                                  <a:pt x="14139" y="53504"/>
                                  <a:pt x="11049" y="51433"/>
                                  <a:pt x="8369" y="48778"/>
                                </a:cubicBezTo>
                                <a:cubicBezTo>
                                  <a:pt x="5690" y="46075"/>
                                  <a:pt x="3625" y="42987"/>
                                  <a:pt x="2175" y="39489"/>
                                </a:cubicBezTo>
                                <a:cubicBezTo>
                                  <a:pt x="725" y="35992"/>
                                  <a:pt x="0" y="32345"/>
                                  <a:pt x="0" y="28575"/>
                                </a:cubicBezTo>
                                <a:cubicBezTo>
                                  <a:pt x="0" y="24755"/>
                                  <a:pt x="725" y="21109"/>
                                  <a:pt x="2175" y="17611"/>
                                </a:cubicBezTo>
                                <a:cubicBezTo>
                                  <a:pt x="3625" y="14101"/>
                                  <a:pt x="5690" y="11013"/>
                                  <a:pt x="8369" y="8347"/>
                                </a:cubicBezTo>
                                <a:cubicBezTo>
                                  <a:pt x="11049" y="5655"/>
                                  <a:pt x="14139" y="3584"/>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92" name="Shape 2192"/>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599"/>
                                </a:cubicBezTo>
                                <a:cubicBezTo>
                                  <a:pt x="56425" y="21109"/>
                                  <a:pt x="57150" y="24755"/>
                                  <a:pt x="57150" y="28575"/>
                                </a:cubicBezTo>
                                <a:cubicBezTo>
                                  <a:pt x="57150" y="32345"/>
                                  <a:pt x="56425" y="35979"/>
                                  <a:pt x="54975" y="39477"/>
                                </a:cubicBezTo>
                                <a:cubicBezTo>
                                  <a:pt x="53525" y="42974"/>
                                  <a:pt x="51460" y="46062"/>
                                  <a:pt x="48781" y="48754"/>
                                </a:cubicBezTo>
                                <a:cubicBezTo>
                                  <a:pt x="46101" y="51420"/>
                                  <a:pt x="43011" y="53479"/>
                                  <a:pt x="39510" y="54955"/>
                                </a:cubicBezTo>
                                <a:cubicBezTo>
                                  <a:pt x="36009" y="56406"/>
                                  <a:pt x="32364" y="57125"/>
                                  <a:pt x="28575" y="57150"/>
                                </a:cubicBezTo>
                                <a:cubicBezTo>
                                  <a:pt x="24786" y="57125"/>
                                  <a:pt x="21141" y="56406"/>
                                  <a:pt x="17640" y="54955"/>
                                </a:cubicBezTo>
                                <a:cubicBezTo>
                                  <a:pt x="14139" y="53479"/>
                                  <a:pt x="11049" y="51420"/>
                                  <a:pt x="8369" y="48754"/>
                                </a:cubicBezTo>
                                <a:cubicBezTo>
                                  <a:pt x="5690" y="46062"/>
                                  <a:pt x="3625" y="42974"/>
                                  <a:pt x="2175" y="39477"/>
                                </a:cubicBezTo>
                                <a:cubicBezTo>
                                  <a:pt x="725" y="35979"/>
                                  <a:pt x="0" y="32345"/>
                                  <a:pt x="0" y="28575"/>
                                </a:cubicBezTo>
                                <a:cubicBezTo>
                                  <a:pt x="0" y="24755"/>
                                  <a:pt x="725" y="21109"/>
                                  <a:pt x="2175" y="17599"/>
                                </a:cubicBezTo>
                                <a:cubicBezTo>
                                  <a:pt x="3625" y="14101"/>
                                  <a:pt x="5690" y="11013"/>
                                  <a:pt x="8369" y="8347"/>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94" name="Shape 2194"/>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09"/>
                                  <a:pt x="57150" y="24755"/>
                                  <a:pt x="57150" y="28575"/>
                                </a:cubicBezTo>
                                <a:cubicBezTo>
                                  <a:pt x="57150" y="32345"/>
                                  <a:pt x="56425" y="35979"/>
                                  <a:pt x="54975" y="39477"/>
                                </a:cubicBezTo>
                                <a:cubicBezTo>
                                  <a:pt x="53525" y="42974"/>
                                  <a:pt x="51460" y="46062"/>
                                  <a:pt x="48781" y="48754"/>
                                </a:cubicBezTo>
                                <a:cubicBezTo>
                                  <a:pt x="46101" y="51420"/>
                                  <a:pt x="43011" y="53479"/>
                                  <a:pt x="39510" y="54955"/>
                                </a:cubicBezTo>
                                <a:cubicBezTo>
                                  <a:pt x="36009" y="56406"/>
                                  <a:pt x="32364" y="57125"/>
                                  <a:pt x="28575" y="57150"/>
                                </a:cubicBezTo>
                                <a:cubicBezTo>
                                  <a:pt x="24786" y="57125"/>
                                  <a:pt x="21141" y="56406"/>
                                  <a:pt x="17640" y="54955"/>
                                </a:cubicBezTo>
                                <a:cubicBezTo>
                                  <a:pt x="14139" y="53479"/>
                                  <a:pt x="11049" y="51420"/>
                                  <a:pt x="8369" y="48754"/>
                                </a:cubicBezTo>
                                <a:cubicBezTo>
                                  <a:pt x="5690" y="46062"/>
                                  <a:pt x="3625" y="42974"/>
                                  <a:pt x="2175" y="39477"/>
                                </a:cubicBezTo>
                                <a:cubicBezTo>
                                  <a:pt x="725" y="35979"/>
                                  <a:pt x="0" y="32345"/>
                                  <a:pt x="0" y="28575"/>
                                </a:cubicBezTo>
                                <a:cubicBezTo>
                                  <a:pt x="0" y="24755"/>
                                  <a:pt x="725" y="21109"/>
                                  <a:pt x="2175" y="17611"/>
                                </a:cubicBezTo>
                                <a:cubicBezTo>
                                  <a:pt x="3625" y="14101"/>
                                  <a:pt x="5690" y="11013"/>
                                  <a:pt x="8369" y="8347"/>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96" name="Shape 2196"/>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26"/>
                                  <a:pt x="53525" y="14114"/>
                                  <a:pt x="54975" y="17611"/>
                                </a:cubicBezTo>
                                <a:cubicBezTo>
                                  <a:pt x="56425" y="21109"/>
                                  <a:pt x="57150" y="24755"/>
                                  <a:pt x="57150" y="28575"/>
                                </a:cubicBezTo>
                                <a:cubicBezTo>
                                  <a:pt x="57150" y="32345"/>
                                  <a:pt x="56425" y="35979"/>
                                  <a:pt x="54975" y="39489"/>
                                </a:cubicBezTo>
                                <a:cubicBezTo>
                                  <a:pt x="53525" y="43011"/>
                                  <a:pt x="51460" y="46100"/>
                                  <a:pt x="48781" y="48778"/>
                                </a:cubicBezTo>
                                <a:cubicBezTo>
                                  <a:pt x="46101" y="51457"/>
                                  <a:pt x="43011" y="53516"/>
                                  <a:pt x="39510" y="54955"/>
                                </a:cubicBezTo>
                                <a:cubicBezTo>
                                  <a:pt x="36009" y="56406"/>
                                  <a:pt x="32364" y="57125"/>
                                  <a:pt x="28575" y="57150"/>
                                </a:cubicBezTo>
                                <a:cubicBezTo>
                                  <a:pt x="24786" y="57125"/>
                                  <a:pt x="21141" y="56406"/>
                                  <a:pt x="17640" y="54955"/>
                                </a:cubicBezTo>
                                <a:cubicBezTo>
                                  <a:pt x="14139" y="53516"/>
                                  <a:pt x="11049" y="51457"/>
                                  <a:pt x="8369" y="48778"/>
                                </a:cubicBezTo>
                                <a:cubicBezTo>
                                  <a:pt x="5690" y="46100"/>
                                  <a:pt x="3625" y="43011"/>
                                  <a:pt x="2175" y="39489"/>
                                </a:cubicBezTo>
                                <a:cubicBezTo>
                                  <a:pt x="725" y="35979"/>
                                  <a:pt x="0" y="32345"/>
                                  <a:pt x="0" y="28575"/>
                                </a:cubicBezTo>
                                <a:cubicBezTo>
                                  <a:pt x="0" y="24755"/>
                                  <a:pt x="725" y="21109"/>
                                  <a:pt x="2175" y="17611"/>
                                </a:cubicBezTo>
                                <a:cubicBezTo>
                                  <a:pt x="3625" y="14114"/>
                                  <a:pt x="5690" y="11026"/>
                                  <a:pt x="8369" y="8372"/>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98" name="Shape 2198"/>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26"/>
                                  <a:pt x="53525" y="14114"/>
                                  <a:pt x="54975" y="17611"/>
                                </a:cubicBezTo>
                                <a:cubicBezTo>
                                  <a:pt x="56425" y="21134"/>
                                  <a:pt x="57150" y="24780"/>
                                  <a:pt x="57150" y="28575"/>
                                </a:cubicBezTo>
                                <a:cubicBezTo>
                                  <a:pt x="57150" y="32345"/>
                                  <a:pt x="56425" y="35979"/>
                                  <a:pt x="54975" y="39489"/>
                                </a:cubicBezTo>
                                <a:cubicBezTo>
                                  <a:pt x="53525" y="42974"/>
                                  <a:pt x="51460" y="46062"/>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69" y="48754"/>
                                </a:cubicBezTo>
                                <a:cubicBezTo>
                                  <a:pt x="5690" y="46062"/>
                                  <a:pt x="3625" y="42974"/>
                                  <a:pt x="2175" y="39489"/>
                                </a:cubicBezTo>
                                <a:cubicBezTo>
                                  <a:pt x="725" y="35979"/>
                                  <a:pt x="0" y="32345"/>
                                  <a:pt x="0" y="28575"/>
                                </a:cubicBezTo>
                                <a:cubicBezTo>
                                  <a:pt x="0" y="24780"/>
                                  <a:pt x="725" y="21134"/>
                                  <a:pt x="2175" y="17611"/>
                                </a:cubicBezTo>
                                <a:cubicBezTo>
                                  <a:pt x="3625" y="14114"/>
                                  <a:pt x="5690" y="11026"/>
                                  <a:pt x="8369" y="8347"/>
                                </a:cubicBezTo>
                                <a:cubicBezTo>
                                  <a:pt x="11049" y="5668"/>
                                  <a:pt x="14139" y="3609"/>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00" name="Shape 2200"/>
                        <wps:cNvSpPr/>
                        <wps:spPr>
                          <a:xfrm>
                            <a:off x="0" y="7620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26"/>
                                  <a:pt x="53525" y="14114"/>
                                  <a:pt x="54975" y="17611"/>
                                </a:cubicBezTo>
                                <a:cubicBezTo>
                                  <a:pt x="56425" y="21109"/>
                                  <a:pt x="57150" y="24755"/>
                                  <a:pt x="57150" y="28575"/>
                                </a:cubicBezTo>
                                <a:cubicBezTo>
                                  <a:pt x="57150" y="32345"/>
                                  <a:pt x="56425" y="35992"/>
                                  <a:pt x="54975" y="39477"/>
                                </a:cubicBezTo>
                                <a:cubicBezTo>
                                  <a:pt x="53525" y="42987"/>
                                  <a:pt x="51460" y="46075"/>
                                  <a:pt x="48781" y="48778"/>
                                </a:cubicBezTo>
                                <a:cubicBezTo>
                                  <a:pt x="46101" y="51457"/>
                                  <a:pt x="43011" y="53516"/>
                                  <a:pt x="39510" y="54955"/>
                                </a:cubicBezTo>
                                <a:cubicBezTo>
                                  <a:pt x="36009" y="56406"/>
                                  <a:pt x="32364" y="57125"/>
                                  <a:pt x="28575" y="57150"/>
                                </a:cubicBezTo>
                                <a:cubicBezTo>
                                  <a:pt x="24786" y="57125"/>
                                  <a:pt x="21141" y="56406"/>
                                  <a:pt x="17640" y="54955"/>
                                </a:cubicBezTo>
                                <a:cubicBezTo>
                                  <a:pt x="14139" y="53516"/>
                                  <a:pt x="11049" y="51457"/>
                                  <a:pt x="8369" y="48778"/>
                                </a:cubicBezTo>
                                <a:cubicBezTo>
                                  <a:pt x="5690" y="46075"/>
                                  <a:pt x="3625" y="42987"/>
                                  <a:pt x="2175" y="39477"/>
                                </a:cubicBezTo>
                                <a:cubicBezTo>
                                  <a:pt x="725" y="35992"/>
                                  <a:pt x="0" y="32345"/>
                                  <a:pt x="0" y="28575"/>
                                </a:cubicBezTo>
                                <a:cubicBezTo>
                                  <a:pt x="0" y="24755"/>
                                  <a:pt x="725" y="21109"/>
                                  <a:pt x="2175" y="17611"/>
                                </a:cubicBezTo>
                                <a:cubicBezTo>
                                  <a:pt x="3625" y="14114"/>
                                  <a:pt x="5690" y="11026"/>
                                  <a:pt x="8369" y="8347"/>
                                </a:cubicBezTo>
                                <a:cubicBezTo>
                                  <a:pt x="11049" y="5655"/>
                                  <a:pt x="14139" y="3584"/>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944" style="width:4.5pt;height:64.5pt;position:absolute;mso-position-horizontal-relative:text;mso-position-horizontal:absolute;margin-left:16.5pt;mso-position-vertical-relative:text;margin-top:2.73828pt;" coordsize="571,8191">
                <v:shape id="Shape 2190" style="position:absolute;width:571;height:571;left:0;top:0;" coordsize="57150,57150" path="m28575,0c32364,0,36009,719,39510,2158c43011,3584,46101,5655,48781,8347c51460,11013,53525,14101,54975,17611c56425,21109,57150,24755,57150,28575c57150,32345,56425,35992,54975,39489c53525,42987,51460,46075,48781,48778c46101,51433,43011,53504,39510,54955c36009,56418,32364,57150,28575,57150c24786,57150,21141,56418,17640,54955c14139,53504,11049,51433,8369,48778c5690,46075,3625,42987,2175,39489c725,35992,0,32345,0,28575c0,24755,725,21109,2175,17611c3625,14101,5690,11013,8369,8347c11049,5655,14139,3584,17640,2158c21141,719,24786,0,28575,0x">
                  <v:stroke weight="0pt" endcap="flat" joinstyle="miter" miterlimit="4" on="false" color="#000000" opacity="0"/>
                  <v:fill on="true" color="#333333"/>
                </v:shape>
                <v:shape id="Shape 2192" style="position:absolute;width:571;height:571;left:0;top:1524;" coordsize="57150,57150" path="m28575,0c32364,0,36009,719,39510,2158c43011,3609,46101,5668,48781,8347c51460,11013,53525,14101,54975,17599c56425,21109,57150,24755,57150,28575c57150,32345,56425,35979,54975,39477c53525,42974,51460,46062,48781,48754c46101,51420,43011,53479,39510,54955c36009,56406,32364,57125,28575,57150c24786,57125,21141,56406,17640,54955c14139,53479,11049,51420,8369,48754c5690,46062,3625,42974,2175,39477c725,35979,0,32345,0,28575c0,24755,725,21109,2175,17599c3625,14101,5690,11013,8369,8347c11049,5668,14139,3609,17640,2158c21141,719,24786,0,28575,0x">
                  <v:stroke weight="0pt" endcap="flat" joinstyle="miter" miterlimit="4" on="false" color="#000000" opacity="0"/>
                  <v:fill on="true" color="#333333"/>
                </v:shape>
                <v:shape id="Shape 2194" style="position:absolute;width:571;height:571;left:0;top:3048;" coordsize="57150,57150" path="m28575,0c32364,0,36009,719,39510,2158c43011,3609,46101,5668,48781,8347c51460,11013,53525,14101,54975,17611c56425,21109,57150,24755,57150,28575c57150,32345,56425,35979,54975,39477c53525,42974,51460,46062,48781,48754c46101,51420,43011,53479,39510,54955c36009,56406,32364,57125,28575,57150c24786,57125,21141,56406,17640,54955c14139,53479,11049,51420,8369,48754c5690,46062,3625,42974,2175,39477c725,35979,0,32345,0,28575c0,24755,725,21109,2175,17611c3625,14101,5690,11013,8369,8347c11049,5668,14139,3609,17640,2158c21141,719,24786,0,28575,0x">
                  <v:stroke weight="0pt" endcap="flat" joinstyle="miter" miterlimit="4" on="false" color="#000000" opacity="0"/>
                  <v:fill on="true" color="#333333"/>
                </v:shape>
                <v:shape id="Shape 2196" style="position:absolute;width:571;height:571;left:0;top:4572;" coordsize="57150,57150" path="m28575,0c32364,0,36009,719,39510,2158c43011,3609,46101,5668,48781,8372c51460,11026,53525,14114,54975,17611c56425,21109,57150,24755,57150,28575c57150,32345,56425,35979,54975,39489c53525,43011,51460,46100,48781,48778c46101,51457,43011,53516,39510,54955c36009,56406,32364,57125,28575,57150c24786,57125,21141,56406,17640,54955c14139,53516,11049,51457,8369,48778c5690,46100,3625,43011,2175,39489c725,35979,0,32345,0,28575c0,24755,725,21109,2175,17611c3625,14114,5690,11026,8369,8372c11049,5668,14139,3609,17640,2158c21141,719,24786,0,28575,0x">
                  <v:stroke weight="0pt" endcap="flat" joinstyle="miter" miterlimit="4" on="false" color="#000000" opacity="0"/>
                  <v:fill on="true" color="#333333"/>
                </v:shape>
                <v:shape id="Shape 2198" style="position:absolute;width:571;height:571;left:0;top:6096;" coordsize="57150,57150" path="m28575,0c32364,0,36009,719,39510,2158c43011,3609,46101,5668,48781,8347c51460,11026,53525,14114,54975,17611c56425,21134,57150,24780,57150,28575c57150,32345,56425,35979,54975,39489c53525,42974,51460,46062,48781,48754c46101,51420,43011,53479,39510,54930c36009,56406,32364,57125,28575,57150c24786,57125,21141,56406,17640,54930c14139,53479,11049,51420,8369,48754c5690,46062,3625,42974,2175,39489c725,35979,0,32345,0,28575c0,24780,725,21134,2175,17611c3625,14114,5690,11026,8369,8347c11049,5668,14139,3609,17640,2158c21141,719,24786,0,28575,0x">
                  <v:stroke weight="0pt" endcap="flat" joinstyle="miter" miterlimit="4" on="false" color="#000000" opacity="0"/>
                  <v:fill on="true" color="#333333"/>
                </v:shape>
                <v:shape id="Shape 2200" style="position:absolute;width:571;height:571;left:0;top:7620;" coordsize="57150,57150" path="m28575,0c32364,0,36009,719,39510,2158c43011,3584,46101,5655,48781,8347c51460,11026,53525,14114,54975,17611c56425,21109,57150,24755,57150,28575c57150,32345,56425,35992,54975,39477c53525,42987,51460,46075,48781,48778c46101,51457,43011,53516,39510,54955c36009,56406,32364,57125,28575,57150c24786,57125,21141,56406,17640,54955c14139,53516,11049,51457,8369,48778c5690,46075,3625,42987,2175,39477c725,35992,0,32345,0,28575c0,24755,725,21109,2175,17611c3625,14114,5690,11026,8369,8347c11049,5655,14139,3584,17640,2158c21141,719,24786,0,28575,0x">
                  <v:stroke weight="0pt" endcap="flat" joinstyle="miter" miterlimit="4" on="false" color="#000000" opacity="0"/>
                  <v:fill on="true" color="#333333"/>
                </v:shape>
                <w10:wrap type="square"/>
              </v:group>
            </w:pict>
          </mc:Fallback>
        </mc:AlternateContent>
      </w:r>
      <w:r>
        <w:t>Реваскуляризация инфаркт-ответственной артерии.</w:t>
      </w:r>
    </w:p>
    <w:p w:rsidR="008E3F15" w:rsidRDefault="005F449A">
      <w:pPr>
        <w:spacing w:after="31"/>
        <w:ind w:left="340" w:right="15"/>
      </w:pPr>
      <w:r>
        <w:t>Расширенная многососудистая реваск</w:t>
      </w:r>
      <w:r>
        <w:t>уляризация (до 45 сут).</w:t>
      </w:r>
    </w:p>
    <w:p w:rsidR="008E3F15" w:rsidRDefault="005F449A">
      <w:pPr>
        <w:spacing w:after="31"/>
        <w:ind w:left="340" w:right="15"/>
      </w:pPr>
      <w:r>
        <w:t>АСК.</w:t>
      </w:r>
    </w:p>
    <w:p w:rsidR="008E3F15" w:rsidRDefault="005F449A">
      <w:pPr>
        <w:spacing w:after="179"/>
        <w:ind w:left="340" w:right="2661"/>
      </w:pPr>
      <w:r>
        <w:t>Прасугрел, или тикагрелор, или клопидогрел в нагрузочной дозе. НФГ, эноксапарин натрия или бивалирудин. Статины.</w:t>
      </w:r>
    </w:p>
    <w:p w:rsidR="008E3F15" w:rsidRDefault="005F449A">
      <w:pPr>
        <w:ind w:left="2" w:right="15"/>
      </w:pPr>
      <w:r>
        <w:rPr>
          <w:b/>
        </w:rPr>
        <w:t xml:space="preserve">Диагностика. </w:t>
      </w:r>
      <w:r>
        <w:t>Выявление ИМ основано на сердечных биомаркерах, типичной ЭКГ и клинике, в то время как ангиография не может надежно оценить нестабильность и тромбоз атеросклеротической бляшки.</w:t>
      </w:r>
    </w:p>
    <w:p w:rsidR="008E3F15" w:rsidRDefault="005F449A">
      <w:pPr>
        <w:ind w:left="2" w:right="15"/>
      </w:pPr>
      <w:r>
        <w:t>При ангиографии у трети пациентов с ОКСбп</w:t>
      </w:r>
      <w:r>
        <w:rPr>
          <w:i/>
        </w:rPr>
        <w:t>ST</w:t>
      </w:r>
      <w:r>
        <w:t xml:space="preserve"> определяется полная окклюзия корона</w:t>
      </w:r>
      <w:r>
        <w:t>рной артерии с более тяжелой клиникой и худшим прогнозом (Hung C. et al., 2018).</w:t>
      </w:r>
    </w:p>
    <w:p w:rsidR="008E3F15" w:rsidRDefault="005F449A">
      <w:pPr>
        <w:ind w:left="2" w:right="15"/>
      </w:pPr>
      <w:r>
        <w:t>Ложноположительная диагностика ИМп</w:t>
      </w:r>
      <w:r>
        <w:rPr>
          <w:i/>
        </w:rPr>
        <w:t>ST</w:t>
      </w:r>
      <w:r>
        <w:t xml:space="preserve"> без сосудистого повреждения при ангиографии может встречаться в трети случаев, чаще у пациентов с заболеванием сердца, СН, гипертрофией левого желудочка, употреблением наркотических веществ (амфетамин, кокаин, марихуана, героин) (McCabe J. et al., 2012).</w:t>
      </w:r>
    </w:p>
    <w:p w:rsidR="008E3F15" w:rsidRDefault="005F449A">
      <w:pPr>
        <w:ind w:left="2" w:right="190"/>
      </w:pPr>
      <w:r>
        <w:t>Необходимо стремиться к быстрейшей реваскуляризации мио карда у пациентов с ИМп</w:t>
      </w:r>
      <w:r>
        <w:rPr>
          <w:i/>
        </w:rPr>
        <w:t xml:space="preserve">ST </w:t>
      </w:r>
      <w:r>
        <w:t>в период до 60 мин от установления диагноза ИМп</w:t>
      </w:r>
      <w:r>
        <w:rPr>
          <w:i/>
        </w:rPr>
        <w:t>ST</w:t>
      </w:r>
      <w:r>
        <w:t>. Решение о реваскуляризации при острой коронарной окклюзии принимает оператор, и обычно не требуется совещания с кардиокоман</w:t>
      </w:r>
      <w:r>
        <w:t>дой. Возраст, выраженная дисфункция почек, другая тяжелая коморбидность не являются основанием для отказа от жизнесберегающего коронарного вмешательства. Для оценки риска контраст-индуцированного повреждения почек (повышение креатинина плазмы на ≥26,5 мкмо</w:t>
      </w:r>
      <w:r>
        <w:t>ль/л в течение 48 ч или олигурия &lt;0,5 мл/кг в час &gt;6 ч подряд) можно использовать шкалы, например шкалу риска контрастной нефропатии. В случае высокого риска проводятся профилактические мероприятия: уменьшение дозы контраста,</w:t>
      </w:r>
    </w:p>
    <w:p w:rsidR="008E3F15" w:rsidRDefault="005F449A">
      <w:pPr>
        <w:ind w:left="2" w:right="15"/>
      </w:pPr>
      <w:r>
        <w:t>использование изо- и низкоосом</w:t>
      </w:r>
      <w:r>
        <w:t>олярных контрастов, проведение гидратации изотоническим раствором натрия хлорида, ограничение приема потенциально нефротоксических препаратов.</w:t>
      </w:r>
    </w:p>
    <w:p w:rsidR="008E3F15" w:rsidRDefault="005F449A">
      <w:pPr>
        <w:ind w:left="2" w:right="177"/>
      </w:pPr>
      <w:r>
        <w:t>Около трети пациентов с острым ИМ не имеют значимой коронарной обструкции (&lt;50%). В этих случаях наряду с разрыво</w:t>
      </w:r>
      <w:r>
        <w:t>м бляшки причиной ИМ могут быть эпикардиальный или микроваскулярный спазм, коронарная эмболия, расслоение артерии и другие причины ишемического повреждения мио карда, описываемые в рамках ИМ 2-го типа. С помощью магнитно-резонансной томографии можно выявит</w:t>
      </w:r>
      <w:r>
        <w:t>ь неишемические повреждения мио карда (мио кардит, структурные кардиомиопатии, кардиомиопатия Такоцубо). Также возможно повышение тропонина несердечной природы (острое повреждение почек).</w:t>
      </w:r>
    </w:p>
    <w:p w:rsidR="008E3F15" w:rsidRDefault="005F449A">
      <w:pPr>
        <w:ind w:left="2" w:right="15"/>
      </w:pPr>
      <w:r>
        <w:rPr>
          <w:b/>
        </w:rPr>
        <w:t xml:space="preserve">Лечение. </w:t>
      </w:r>
      <w:r>
        <w:t>Инвазивное лечение с помощью баллонной ангиопластики и стен</w:t>
      </w:r>
      <w:r>
        <w:t>тирования проводится пациентам с ИМп</w:t>
      </w:r>
      <w:r>
        <w:rPr>
          <w:i/>
        </w:rPr>
        <w:t>ST</w:t>
      </w:r>
      <w:r>
        <w:t xml:space="preserve"> и пациентам с ОКСбп</w:t>
      </w:r>
      <w:r>
        <w:rPr>
          <w:i/>
        </w:rPr>
        <w:t>ST</w:t>
      </w:r>
      <w:r>
        <w:t xml:space="preserve"> высокого риска.</w:t>
      </w:r>
    </w:p>
    <w:p w:rsidR="008E3F15" w:rsidRDefault="005F449A">
      <w:pPr>
        <w:ind w:left="2" w:right="403"/>
      </w:pPr>
      <w:r>
        <w:rPr>
          <w:i/>
        </w:rPr>
        <w:t>Реваскуляризация ИМпST</w:t>
      </w:r>
      <w:r>
        <w:t xml:space="preserve"> Особенно эффективно снижает смертность первичное (без тромболизиса) ЧКВ по сравнению с тромболизисом у пациентов с ИМп</w:t>
      </w:r>
      <w:r>
        <w:rPr>
          <w:i/>
        </w:rPr>
        <w:t>ST</w:t>
      </w:r>
      <w:r>
        <w:t xml:space="preserve">, тяжелой острой СН, высоким риском </w:t>
      </w:r>
      <w:r>
        <w:t>неблагоприятного исхода, при передней локализации повреждения. В крупных исследованиях госпитальная смертность после коронарных вмешательств составила около 5% (Menees D. et al., 2013; Nallamothu B. et al., 2015).</w:t>
      </w:r>
    </w:p>
    <w:p w:rsidR="008E3F15" w:rsidRDefault="005F449A">
      <w:pPr>
        <w:ind w:left="2" w:right="15"/>
      </w:pPr>
      <w:r>
        <w:t xml:space="preserve">Быстрое снижение </w:t>
      </w:r>
      <w:r>
        <w:rPr>
          <w:i/>
        </w:rPr>
        <w:t>ST</w:t>
      </w:r>
      <w:r>
        <w:t xml:space="preserve"> (&gt;50–70% через 30 мин)</w:t>
      </w:r>
      <w:r>
        <w:t xml:space="preserve"> ассоциируется с лучшим прогнозом, аналогично пациентам после тромблизиса (Spitaleri G. et al., 2018).</w:t>
      </w:r>
    </w:p>
    <w:p w:rsidR="008E3F15" w:rsidRDefault="005F449A">
      <w:pPr>
        <w:spacing w:after="31"/>
        <w:ind w:left="2" w:right="15"/>
      </w:pPr>
      <w:r>
        <w:t>Доступ через лучевую артерию эффективнее и безопаснее катетеризации бедренной артерии</w:t>
      </w:r>
    </w:p>
    <w:p w:rsidR="008E3F15" w:rsidRDefault="005F449A">
      <w:pPr>
        <w:ind w:left="2" w:right="15"/>
      </w:pPr>
      <w:r>
        <w:t xml:space="preserve">(MATRIX, Andò G. et al., 2015). Вместе с тем спазм лучевой артерии </w:t>
      </w:r>
      <w:r>
        <w:t>и выраженный атеросклероз периферических сосудов могут заставить оператора предпочесть бедренный доступ.</w:t>
      </w:r>
    </w:p>
    <w:p w:rsidR="008E3F15" w:rsidRDefault="005F449A">
      <w:pPr>
        <w:ind w:left="2" w:right="15"/>
      </w:pPr>
      <w:r>
        <w:t>Рутинная ручная аспирация тромба перед ЧКВ при ИМп</w:t>
      </w:r>
      <w:r>
        <w:rPr>
          <w:i/>
        </w:rPr>
        <w:t>ST</w:t>
      </w:r>
      <w:r>
        <w:t>, направленная на предупреждение дистальных тромбоэмболий с ухудшением прогноза, не снизила смертно</w:t>
      </w:r>
      <w:r>
        <w:t>сти и частоты реинфарктов в исследованиях TASTE и TOTAL. Эффективность спасительной аспирации тромба после неэффективного или осложненного ЧКВ недостаточно изучена.</w:t>
      </w:r>
    </w:p>
    <w:p w:rsidR="008E3F15" w:rsidRDefault="005F449A">
      <w:pPr>
        <w:ind w:left="2" w:right="15"/>
      </w:pPr>
      <w:r>
        <w:t>Стентирование не влияет существенно на смертность и риск реинфарктов, но снижает частоту по</w:t>
      </w:r>
      <w:r>
        <w:t>следующих реваскуляризаций (Cochrane review).</w:t>
      </w:r>
    </w:p>
    <w:p w:rsidR="008E3F15" w:rsidRDefault="005F449A">
      <w:pPr>
        <w:ind w:left="2" w:right="15"/>
      </w:pPr>
      <w:r>
        <w:t>По данным метаанализа рандомизированных исследований, стенты, выделяющие антипролиферативные препараты, позволяют уменьшить долгосрочную частоту повторных реваскуляризаций по сравнению с голометаллическими стен</w:t>
      </w:r>
      <w:r>
        <w:t>тами (Chichareon P. et al., 2019). Современные стенты, выделяющие лекарства, реже вызывают тромбоз, который характеризуется тяжелым ИМ.</w:t>
      </w:r>
    </w:p>
    <w:p w:rsidR="008E3F15" w:rsidRDefault="005F449A">
      <w:pPr>
        <w:spacing w:after="31"/>
        <w:ind w:left="2" w:right="15"/>
      </w:pPr>
      <w:r>
        <w:t>После тромболизиса, независимо от его эффективности, целесообразно проведение в период</w:t>
      </w:r>
    </w:p>
    <w:p w:rsidR="008E3F15" w:rsidRDefault="005F449A">
      <w:pPr>
        <w:ind w:left="2" w:right="15"/>
      </w:pPr>
      <w:r>
        <w:t>2–24 ч КГ и при наличии стеноза в</w:t>
      </w:r>
      <w:r>
        <w:t>ыполнить ЧКВ. Такой фармакоинвазивный подход позволяет снизить частоту ишемических событий, ИМ, особенно у пациентов высокого риска. Если не удалось выполнить КГ в первые сутки, процедуру проводят позднее в период госпитализации.</w:t>
      </w:r>
    </w:p>
    <w:p w:rsidR="008E3F15" w:rsidRDefault="005F449A">
      <w:pPr>
        <w:spacing w:after="359"/>
        <w:ind w:left="2" w:right="203"/>
      </w:pPr>
      <w:r>
        <w:t>В случае ухудшения состоян</w:t>
      </w:r>
      <w:r>
        <w:t>ия после успешного тромболизиса выполняется экстренное ЧКВ. Расширенная многососудистая реваскуляризация позволяет снизить риск сердечнососудистых событий и должна быть выполнена у пациентов со стабильной гемодинамикой во время процедуры, в течение госпита</w:t>
      </w:r>
      <w:r>
        <w:t>лизации или 45 сут после восстановления кровотока по инфаркт-ответственной артерии (MULTISTARS AMI; FIRE; COMPLETE). Однако у пациентов с шоком расширенная реваскуляризация повысила раннюю смертность (CULPRIT-SHOCK).</w:t>
      </w:r>
    </w:p>
    <w:p w:rsidR="008E3F15" w:rsidRDefault="005F449A">
      <w:pPr>
        <w:pStyle w:val="Heading1"/>
        <w:ind w:left="2"/>
      </w:pPr>
      <w:r>
        <w:t>Часть I. Сердечно-сосудистые болезни</w:t>
      </w:r>
    </w:p>
    <w:p w:rsidR="008E3F15" w:rsidRDefault="005F449A">
      <w:pPr>
        <w:ind w:left="2" w:right="15"/>
      </w:pPr>
      <w:r>
        <w:t>После успешной реваскуляризации пациентов c ИМп</w:t>
      </w:r>
      <w:r>
        <w:rPr>
          <w:i/>
        </w:rPr>
        <w:t>ST</w:t>
      </w:r>
      <w:r>
        <w:t xml:space="preserve"> низкого риска (возраст &lt;70 лет, ФВЛЖ &gt;45%, поражение 1–2 сосудов, нет стойкой аритмии, шкала Zwolle ≤3) ранняя выписка из больницы через 2–3 сут с включением в программу реабилитации не увеличила смертность</w:t>
      </w:r>
      <w:r>
        <w:t xml:space="preserve"> и частоту регоспитализаций (Gong W. et al., 2018).</w:t>
      </w:r>
    </w:p>
    <w:p w:rsidR="008E3F15" w:rsidRDefault="005F449A">
      <w:pPr>
        <w:ind w:left="2" w:right="169"/>
      </w:pPr>
      <w:r>
        <w:t>У 2% пациентов после открытия крупной субэпикардиальной артерии кровоснабжение в мио карде не восстанавливается (феномен no-reflow) вследствие микроваскулярной обструкции (микроэмболия, спазм), ишемическо</w:t>
      </w:r>
      <w:r>
        <w:t>го или реперфузионного повреждения мио карда, что приводит к повышению смертности и риска госпитализаций с СН.</w:t>
      </w:r>
    </w:p>
    <w:p w:rsidR="008E3F15" w:rsidRDefault="005F449A">
      <w:pPr>
        <w:ind w:left="2" w:right="15"/>
      </w:pPr>
      <w:r>
        <w:rPr>
          <w:i/>
        </w:rPr>
        <w:t>Реваскуляризация ОКСбпST.</w:t>
      </w:r>
      <w:r>
        <w:t xml:space="preserve"> У пациентов с ОКСбп</w:t>
      </w:r>
      <w:r>
        <w:rPr>
          <w:i/>
        </w:rPr>
        <w:t>ST</w:t>
      </w:r>
      <w:r>
        <w:t xml:space="preserve"> связь между временем реваскуляризации и улучшением прогноза не столь очевидна, как при ИМп</w:t>
      </w:r>
      <w:r>
        <w:rPr>
          <w:i/>
        </w:rPr>
        <w:t>ST</w:t>
      </w:r>
      <w:r>
        <w:t>. Ран</w:t>
      </w:r>
      <w:r>
        <w:t>нее ЧКВ (до 24 ч) у пациентов с ОКСбп</w:t>
      </w:r>
      <w:r>
        <w:rPr>
          <w:i/>
        </w:rPr>
        <w:t>ST</w:t>
      </w:r>
      <w:r>
        <w:t xml:space="preserve"> может снизить частоту рецидивов ишемии мио карда, длительность госпитализации, возможно, смертность у пациентов высокого риска (Jobs A. et al., 2017; Kite T. et al., 2022).</w:t>
      </w:r>
    </w:p>
    <w:p w:rsidR="008E3F15" w:rsidRDefault="005F449A">
      <w:pPr>
        <w:spacing w:after="165"/>
        <w:ind w:left="2" w:right="15"/>
      </w:pPr>
      <w:r>
        <w:t>Основанием для выбора инвазивного лечения с</w:t>
      </w:r>
      <w:r>
        <w:t>читают высокий риск осложнений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672576" behindDoc="0" locked="0" layoutInCell="1" allowOverlap="1">
                <wp:simplePos x="0" y="0"/>
                <wp:positionH relativeFrom="column">
                  <wp:posOffset>209550</wp:posOffset>
                </wp:positionH>
                <wp:positionV relativeFrom="paragraph">
                  <wp:posOffset>34776</wp:posOffset>
                </wp:positionV>
                <wp:extent cx="438150" cy="1885938"/>
                <wp:effectExtent l="0" t="0" r="0" b="0"/>
                <wp:wrapSquare wrapText="bothSides"/>
                <wp:docPr id="250319" name="Group 250319"/>
                <wp:cNvGraphicFramePr/>
                <a:graphic xmlns:a="http://schemas.openxmlformats.org/drawingml/2006/main">
                  <a:graphicData uri="http://schemas.microsoft.com/office/word/2010/wordprocessingGroup">
                    <wpg:wgp>
                      <wpg:cNvGrpSpPr/>
                      <wpg:grpSpPr>
                        <a:xfrm>
                          <a:off x="0" y="0"/>
                          <a:ext cx="438150" cy="1885938"/>
                          <a:chOff x="0" y="0"/>
                          <a:chExt cx="438150" cy="1885938"/>
                        </a:xfrm>
                      </wpg:grpSpPr>
                      <wps:wsp>
                        <wps:cNvPr id="2326" name="Shape 2326"/>
                        <wps:cNvSpPr/>
                        <wps:spPr>
                          <a:xfrm>
                            <a:off x="0" y="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26"/>
                                  <a:pt x="53525" y="14101"/>
                                  <a:pt x="54975" y="17611"/>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69" y="48778"/>
                                </a:cubicBezTo>
                                <a:cubicBezTo>
                                  <a:pt x="5690" y="46075"/>
                                  <a:pt x="3625" y="42987"/>
                                  <a:pt x="2175" y="39489"/>
                                </a:cubicBezTo>
                                <a:cubicBezTo>
                                  <a:pt x="725" y="35992"/>
                                  <a:pt x="0" y="32345"/>
                                  <a:pt x="0" y="28575"/>
                                </a:cubicBezTo>
                                <a:cubicBezTo>
                                  <a:pt x="0" y="24780"/>
                                  <a:pt x="725" y="21134"/>
                                  <a:pt x="2175" y="17611"/>
                                </a:cubicBezTo>
                                <a:cubicBezTo>
                                  <a:pt x="3625" y="14101"/>
                                  <a:pt x="5690" y="11026"/>
                                  <a:pt x="8369" y="8372"/>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28" name="Shape 2328"/>
                        <wps:cNvSpPr/>
                        <wps:spPr>
                          <a:xfrm>
                            <a:off x="381000" y="152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79"/>
                                  <a:pt x="54975" y="39477"/>
                                </a:cubicBezTo>
                                <a:cubicBezTo>
                                  <a:pt x="53525" y="42974"/>
                                  <a:pt x="51460" y="46062"/>
                                  <a:pt x="48781" y="48754"/>
                                </a:cubicBezTo>
                                <a:cubicBezTo>
                                  <a:pt x="46101" y="51433"/>
                                  <a:pt x="43011" y="53504"/>
                                  <a:pt x="39510" y="54930"/>
                                </a:cubicBezTo>
                                <a:cubicBezTo>
                                  <a:pt x="36009" y="56406"/>
                                  <a:pt x="32364" y="57125"/>
                                  <a:pt x="28575" y="57150"/>
                                </a:cubicBezTo>
                                <a:cubicBezTo>
                                  <a:pt x="24786" y="57125"/>
                                  <a:pt x="21141" y="56406"/>
                                  <a:pt x="17640" y="54930"/>
                                </a:cubicBezTo>
                                <a:cubicBezTo>
                                  <a:pt x="14139" y="53504"/>
                                  <a:pt x="11049" y="51433"/>
                                  <a:pt x="8370" y="48754"/>
                                </a:cubicBezTo>
                                <a:cubicBezTo>
                                  <a:pt x="5690" y="46062"/>
                                  <a:pt x="3625" y="42974"/>
                                  <a:pt x="2175" y="39477"/>
                                </a:cubicBezTo>
                                <a:cubicBezTo>
                                  <a:pt x="725" y="35979"/>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30" name="Shape 2330"/>
                        <wps:cNvSpPr/>
                        <wps:spPr>
                          <a:xfrm>
                            <a:off x="381000" y="3048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09"/>
                                  <a:pt x="57150" y="24755"/>
                                  <a:pt x="57150" y="28575"/>
                                </a:cubicBezTo>
                                <a:cubicBezTo>
                                  <a:pt x="57150" y="32345"/>
                                  <a:pt x="56425" y="35992"/>
                                  <a:pt x="54975" y="39477"/>
                                </a:cubicBezTo>
                                <a:cubicBezTo>
                                  <a:pt x="53525" y="42974"/>
                                  <a:pt x="51460" y="46062"/>
                                  <a:pt x="48781" y="48754"/>
                                </a:cubicBezTo>
                                <a:cubicBezTo>
                                  <a:pt x="46101" y="51433"/>
                                  <a:pt x="43011" y="53504"/>
                                  <a:pt x="39510" y="54930"/>
                                </a:cubicBezTo>
                                <a:cubicBezTo>
                                  <a:pt x="36009" y="56406"/>
                                  <a:pt x="32364" y="57125"/>
                                  <a:pt x="28575" y="57150"/>
                                </a:cubicBezTo>
                                <a:cubicBezTo>
                                  <a:pt x="24786" y="57125"/>
                                  <a:pt x="21141" y="56406"/>
                                  <a:pt x="17640" y="54930"/>
                                </a:cubicBezTo>
                                <a:cubicBezTo>
                                  <a:pt x="14139" y="53504"/>
                                  <a:pt x="11049" y="51433"/>
                                  <a:pt x="8370" y="48754"/>
                                </a:cubicBezTo>
                                <a:cubicBezTo>
                                  <a:pt x="5690" y="46062"/>
                                  <a:pt x="3625" y="42974"/>
                                  <a:pt x="2175" y="39477"/>
                                </a:cubicBezTo>
                                <a:cubicBezTo>
                                  <a:pt x="725" y="35992"/>
                                  <a:pt x="0" y="32345"/>
                                  <a:pt x="0" y="28575"/>
                                </a:cubicBezTo>
                                <a:cubicBezTo>
                                  <a:pt x="0" y="24755"/>
                                  <a:pt x="725" y="21109"/>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32" name="Shape 2332"/>
                        <wps:cNvSpPr/>
                        <wps:spPr>
                          <a:xfrm>
                            <a:off x="381000" y="457200"/>
                            <a:ext cx="57150" cy="57150"/>
                          </a:xfrm>
                          <a:custGeom>
                            <a:avLst/>
                            <a:gdLst/>
                            <a:ahLst/>
                            <a:cxnLst/>
                            <a:rect l="0" t="0" r="0" b="0"/>
                            <a:pathLst>
                              <a:path w="57150" h="57150">
                                <a:moveTo>
                                  <a:pt x="28575" y="0"/>
                                </a:moveTo>
                                <a:cubicBezTo>
                                  <a:pt x="32364" y="0"/>
                                  <a:pt x="36009" y="719"/>
                                  <a:pt x="39510" y="2170"/>
                                </a:cubicBezTo>
                                <a:cubicBezTo>
                                  <a:pt x="43011" y="3609"/>
                                  <a:pt x="46101" y="5668"/>
                                  <a:pt x="48781" y="8372"/>
                                </a:cubicBezTo>
                                <a:cubicBezTo>
                                  <a:pt x="51460" y="11050"/>
                                  <a:pt x="53525" y="14139"/>
                                  <a:pt x="54975" y="17636"/>
                                </a:cubicBezTo>
                                <a:cubicBezTo>
                                  <a:pt x="56425" y="21109"/>
                                  <a:pt x="57150" y="24755"/>
                                  <a:pt x="57150" y="28575"/>
                                </a:cubicBezTo>
                                <a:cubicBezTo>
                                  <a:pt x="57150" y="32345"/>
                                  <a:pt x="56425" y="35992"/>
                                  <a:pt x="54975" y="39489"/>
                                </a:cubicBezTo>
                                <a:cubicBezTo>
                                  <a:pt x="53525" y="42987"/>
                                  <a:pt x="51460" y="46075"/>
                                  <a:pt x="48781" y="48778"/>
                                </a:cubicBezTo>
                                <a:cubicBezTo>
                                  <a:pt x="46101" y="51433"/>
                                  <a:pt x="43011" y="53504"/>
                                  <a:pt x="39510" y="54967"/>
                                </a:cubicBezTo>
                                <a:cubicBezTo>
                                  <a:pt x="36009" y="56406"/>
                                  <a:pt x="32364" y="57125"/>
                                  <a:pt x="28575" y="57150"/>
                                </a:cubicBezTo>
                                <a:cubicBezTo>
                                  <a:pt x="24786" y="57125"/>
                                  <a:pt x="21141" y="56406"/>
                                  <a:pt x="17640" y="54967"/>
                                </a:cubicBezTo>
                                <a:cubicBezTo>
                                  <a:pt x="14139" y="53504"/>
                                  <a:pt x="11049" y="51433"/>
                                  <a:pt x="8370" y="48778"/>
                                </a:cubicBezTo>
                                <a:cubicBezTo>
                                  <a:pt x="5690" y="46075"/>
                                  <a:pt x="3625" y="42987"/>
                                  <a:pt x="2175" y="39489"/>
                                </a:cubicBezTo>
                                <a:cubicBezTo>
                                  <a:pt x="725" y="35992"/>
                                  <a:pt x="0" y="32345"/>
                                  <a:pt x="0" y="28575"/>
                                </a:cubicBezTo>
                                <a:cubicBezTo>
                                  <a:pt x="0" y="24755"/>
                                  <a:pt x="725" y="21109"/>
                                  <a:pt x="2175" y="17636"/>
                                </a:cubicBezTo>
                                <a:cubicBezTo>
                                  <a:pt x="3625" y="14139"/>
                                  <a:pt x="5690" y="11050"/>
                                  <a:pt x="8370" y="8372"/>
                                </a:cubicBezTo>
                                <a:cubicBezTo>
                                  <a:pt x="11049" y="5668"/>
                                  <a:pt x="14139" y="3609"/>
                                  <a:pt x="17640" y="2170"/>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35" name="Shape 2335"/>
                        <wps:cNvSpPr/>
                        <wps:spPr>
                          <a:xfrm>
                            <a:off x="381000" y="762000"/>
                            <a:ext cx="57150" cy="57150"/>
                          </a:xfrm>
                          <a:custGeom>
                            <a:avLst/>
                            <a:gdLst/>
                            <a:ahLst/>
                            <a:cxnLst/>
                            <a:rect l="0" t="0" r="0" b="0"/>
                            <a:pathLst>
                              <a:path w="57150" h="57150">
                                <a:moveTo>
                                  <a:pt x="28575" y="0"/>
                                </a:moveTo>
                                <a:cubicBezTo>
                                  <a:pt x="32364" y="0"/>
                                  <a:pt x="36009" y="707"/>
                                  <a:pt x="39510" y="2133"/>
                                </a:cubicBezTo>
                                <a:cubicBezTo>
                                  <a:pt x="43011" y="3609"/>
                                  <a:pt x="46101" y="5668"/>
                                  <a:pt x="48781" y="8347"/>
                                </a:cubicBezTo>
                                <a:cubicBezTo>
                                  <a:pt x="51460" y="11013"/>
                                  <a:pt x="53525" y="14101"/>
                                  <a:pt x="54975" y="17611"/>
                                </a:cubicBezTo>
                                <a:cubicBezTo>
                                  <a:pt x="56425" y="21109"/>
                                  <a:pt x="57150" y="24755"/>
                                  <a:pt x="57150" y="28575"/>
                                </a:cubicBezTo>
                                <a:cubicBezTo>
                                  <a:pt x="57150" y="32345"/>
                                  <a:pt x="56425" y="35979"/>
                                  <a:pt x="54975" y="39477"/>
                                </a:cubicBezTo>
                                <a:cubicBezTo>
                                  <a:pt x="53525" y="42974"/>
                                  <a:pt x="51460" y="46062"/>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70" y="48754"/>
                                </a:cubicBezTo>
                                <a:cubicBezTo>
                                  <a:pt x="5690" y="46062"/>
                                  <a:pt x="3625" y="42974"/>
                                  <a:pt x="2175" y="39477"/>
                                </a:cubicBezTo>
                                <a:cubicBezTo>
                                  <a:pt x="725" y="35979"/>
                                  <a:pt x="0" y="32345"/>
                                  <a:pt x="0" y="28575"/>
                                </a:cubicBezTo>
                                <a:cubicBezTo>
                                  <a:pt x="0" y="24755"/>
                                  <a:pt x="725" y="21109"/>
                                  <a:pt x="2175" y="17611"/>
                                </a:cubicBezTo>
                                <a:cubicBezTo>
                                  <a:pt x="3625" y="14101"/>
                                  <a:pt x="5690" y="11013"/>
                                  <a:pt x="8370" y="8347"/>
                                </a:cubicBezTo>
                                <a:cubicBezTo>
                                  <a:pt x="11049" y="5668"/>
                                  <a:pt x="14139" y="3609"/>
                                  <a:pt x="17640" y="2133"/>
                                </a:cubicBezTo>
                                <a:cubicBezTo>
                                  <a:pt x="21141" y="707"/>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37" name="Shape 2337"/>
                        <wps:cNvSpPr/>
                        <wps:spPr>
                          <a:xfrm>
                            <a:off x="381000" y="914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077"/>
                                  <a:pt x="54975" y="17599"/>
                                </a:cubicBezTo>
                                <a:cubicBezTo>
                                  <a:pt x="56425" y="21109"/>
                                  <a:pt x="57150" y="24755"/>
                                  <a:pt x="57150" y="28575"/>
                                </a:cubicBezTo>
                                <a:cubicBezTo>
                                  <a:pt x="57150" y="32345"/>
                                  <a:pt x="56425" y="35979"/>
                                  <a:pt x="54975" y="39489"/>
                                </a:cubicBezTo>
                                <a:cubicBezTo>
                                  <a:pt x="53525" y="42974"/>
                                  <a:pt x="51460" y="46062"/>
                                  <a:pt x="48781" y="48754"/>
                                </a:cubicBezTo>
                                <a:cubicBezTo>
                                  <a:pt x="46101" y="51420"/>
                                  <a:pt x="43011" y="53479"/>
                                  <a:pt x="39510" y="54930"/>
                                </a:cubicBezTo>
                                <a:cubicBezTo>
                                  <a:pt x="36009" y="56406"/>
                                  <a:pt x="32364" y="57125"/>
                                  <a:pt x="28575" y="57150"/>
                                </a:cubicBezTo>
                                <a:cubicBezTo>
                                  <a:pt x="24786" y="57125"/>
                                  <a:pt x="21141" y="56406"/>
                                  <a:pt x="17640" y="54930"/>
                                </a:cubicBezTo>
                                <a:cubicBezTo>
                                  <a:pt x="14139" y="53479"/>
                                  <a:pt x="11049" y="51420"/>
                                  <a:pt x="8370" y="48754"/>
                                </a:cubicBezTo>
                                <a:cubicBezTo>
                                  <a:pt x="5690" y="46062"/>
                                  <a:pt x="3625" y="42974"/>
                                  <a:pt x="2175" y="39489"/>
                                </a:cubicBezTo>
                                <a:cubicBezTo>
                                  <a:pt x="725" y="35979"/>
                                  <a:pt x="0" y="32345"/>
                                  <a:pt x="0" y="28575"/>
                                </a:cubicBezTo>
                                <a:cubicBezTo>
                                  <a:pt x="0" y="24755"/>
                                  <a:pt x="725" y="21109"/>
                                  <a:pt x="2175" y="17599"/>
                                </a:cubicBezTo>
                                <a:cubicBezTo>
                                  <a:pt x="3625" y="14077"/>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39" name="Shape 2339"/>
                        <wps:cNvSpPr/>
                        <wps:spPr>
                          <a:xfrm>
                            <a:off x="381000" y="10668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26"/>
                                  <a:pt x="53525" y="14114"/>
                                  <a:pt x="54975" y="17611"/>
                                </a:cubicBezTo>
                                <a:cubicBezTo>
                                  <a:pt x="56425" y="21109"/>
                                  <a:pt x="57150" y="24755"/>
                                  <a:pt x="57150" y="28575"/>
                                </a:cubicBezTo>
                                <a:cubicBezTo>
                                  <a:pt x="57150" y="32345"/>
                                  <a:pt x="56425" y="35992"/>
                                  <a:pt x="54975" y="39477"/>
                                </a:cubicBezTo>
                                <a:cubicBezTo>
                                  <a:pt x="53525" y="42987"/>
                                  <a:pt x="51460" y="46075"/>
                                  <a:pt x="48781" y="48754"/>
                                </a:cubicBezTo>
                                <a:cubicBezTo>
                                  <a:pt x="46101" y="51420"/>
                                  <a:pt x="43011" y="53479"/>
                                  <a:pt x="39510" y="54930"/>
                                </a:cubicBezTo>
                                <a:cubicBezTo>
                                  <a:pt x="36009" y="56381"/>
                                  <a:pt x="32364" y="57125"/>
                                  <a:pt x="28575" y="57150"/>
                                </a:cubicBezTo>
                                <a:cubicBezTo>
                                  <a:pt x="24786" y="57125"/>
                                  <a:pt x="21141" y="56381"/>
                                  <a:pt x="17640" y="54930"/>
                                </a:cubicBezTo>
                                <a:cubicBezTo>
                                  <a:pt x="14139" y="53479"/>
                                  <a:pt x="11049" y="51420"/>
                                  <a:pt x="8370" y="48754"/>
                                </a:cubicBezTo>
                                <a:cubicBezTo>
                                  <a:pt x="5690" y="46075"/>
                                  <a:pt x="3625" y="42987"/>
                                  <a:pt x="2175" y="39477"/>
                                </a:cubicBezTo>
                                <a:cubicBezTo>
                                  <a:pt x="725" y="35992"/>
                                  <a:pt x="0" y="32345"/>
                                  <a:pt x="0" y="28575"/>
                                </a:cubicBezTo>
                                <a:cubicBezTo>
                                  <a:pt x="0" y="24755"/>
                                  <a:pt x="725" y="21109"/>
                                  <a:pt x="2175" y="17611"/>
                                </a:cubicBezTo>
                                <a:cubicBezTo>
                                  <a:pt x="3625" y="14114"/>
                                  <a:pt x="5690" y="11026"/>
                                  <a:pt x="8370" y="8347"/>
                                </a:cubicBezTo>
                                <a:cubicBezTo>
                                  <a:pt x="11049" y="5655"/>
                                  <a:pt x="14139" y="3584"/>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5" name="Shape 2345"/>
                        <wps:cNvSpPr/>
                        <wps:spPr>
                          <a:xfrm>
                            <a:off x="0" y="1219200"/>
                            <a:ext cx="57150" cy="57150"/>
                          </a:xfrm>
                          <a:custGeom>
                            <a:avLst/>
                            <a:gdLst/>
                            <a:ahLst/>
                            <a:cxnLst/>
                            <a:rect l="0" t="0" r="0" b="0"/>
                            <a:pathLst>
                              <a:path w="57150" h="57150">
                                <a:moveTo>
                                  <a:pt x="28575" y="0"/>
                                </a:moveTo>
                                <a:cubicBezTo>
                                  <a:pt x="32364" y="0"/>
                                  <a:pt x="36009" y="719"/>
                                  <a:pt x="39510" y="2158"/>
                                </a:cubicBezTo>
                                <a:cubicBezTo>
                                  <a:pt x="43011" y="3584"/>
                                  <a:pt x="46101" y="5655"/>
                                  <a:pt x="48781" y="8347"/>
                                </a:cubicBezTo>
                                <a:cubicBezTo>
                                  <a:pt x="51460" y="11026"/>
                                  <a:pt x="53525" y="14114"/>
                                  <a:pt x="54975" y="17599"/>
                                </a:cubicBezTo>
                                <a:cubicBezTo>
                                  <a:pt x="56425" y="21109"/>
                                  <a:pt x="57150" y="24755"/>
                                  <a:pt x="57150" y="28575"/>
                                </a:cubicBezTo>
                                <a:cubicBezTo>
                                  <a:pt x="57150" y="32333"/>
                                  <a:pt x="56425" y="35954"/>
                                  <a:pt x="54975" y="39477"/>
                                </a:cubicBezTo>
                                <a:cubicBezTo>
                                  <a:pt x="53525" y="42974"/>
                                  <a:pt x="51460" y="46062"/>
                                  <a:pt x="48781" y="48754"/>
                                </a:cubicBezTo>
                                <a:cubicBezTo>
                                  <a:pt x="46101" y="51420"/>
                                  <a:pt x="43011" y="53479"/>
                                  <a:pt x="39510" y="54955"/>
                                </a:cubicBezTo>
                                <a:cubicBezTo>
                                  <a:pt x="36009" y="56381"/>
                                  <a:pt x="32364" y="57125"/>
                                  <a:pt x="28575" y="57150"/>
                                </a:cubicBezTo>
                                <a:cubicBezTo>
                                  <a:pt x="24786" y="57125"/>
                                  <a:pt x="21141" y="56381"/>
                                  <a:pt x="17640" y="54955"/>
                                </a:cubicBezTo>
                                <a:cubicBezTo>
                                  <a:pt x="14139" y="53479"/>
                                  <a:pt x="11049" y="51420"/>
                                  <a:pt x="8369" y="48754"/>
                                </a:cubicBezTo>
                                <a:cubicBezTo>
                                  <a:pt x="5690" y="46062"/>
                                  <a:pt x="3625" y="42974"/>
                                  <a:pt x="2175" y="39477"/>
                                </a:cubicBezTo>
                                <a:cubicBezTo>
                                  <a:pt x="725" y="35954"/>
                                  <a:pt x="0" y="32333"/>
                                  <a:pt x="0" y="28575"/>
                                </a:cubicBezTo>
                                <a:cubicBezTo>
                                  <a:pt x="0" y="24755"/>
                                  <a:pt x="725" y="21109"/>
                                  <a:pt x="2175" y="17599"/>
                                </a:cubicBezTo>
                                <a:cubicBezTo>
                                  <a:pt x="3625" y="14114"/>
                                  <a:pt x="5690" y="11026"/>
                                  <a:pt x="8369" y="8347"/>
                                </a:cubicBezTo>
                                <a:cubicBezTo>
                                  <a:pt x="11049" y="5655"/>
                                  <a:pt x="14139" y="3584"/>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7" name="Shape 2347"/>
                        <wps:cNvSpPr/>
                        <wps:spPr>
                          <a:xfrm>
                            <a:off x="381000" y="1371600"/>
                            <a:ext cx="57150" cy="57150"/>
                          </a:xfrm>
                          <a:custGeom>
                            <a:avLst/>
                            <a:gdLst/>
                            <a:ahLst/>
                            <a:cxnLst/>
                            <a:rect l="0" t="0" r="0" b="0"/>
                            <a:pathLst>
                              <a:path w="57150" h="57150">
                                <a:moveTo>
                                  <a:pt x="28575" y="0"/>
                                </a:moveTo>
                                <a:cubicBezTo>
                                  <a:pt x="32364" y="0"/>
                                  <a:pt x="36009" y="719"/>
                                  <a:pt x="39510" y="2158"/>
                                </a:cubicBezTo>
                                <a:cubicBezTo>
                                  <a:pt x="43011" y="3609"/>
                                  <a:pt x="46101" y="5668"/>
                                  <a:pt x="48781" y="8372"/>
                                </a:cubicBezTo>
                                <a:cubicBezTo>
                                  <a:pt x="51460" y="11050"/>
                                  <a:pt x="53525" y="14139"/>
                                  <a:pt x="54975" y="17611"/>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55"/>
                                </a:cubicBezTo>
                                <a:cubicBezTo>
                                  <a:pt x="36009" y="56406"/>
                                  <a:pt x="32364" y="57125"/>
                                  <a:pt x="28575" y="57150"/>
                                </a:cubicBezTo>
                                <a:cubicBezTo>
                                  <a:pt x="24786" y="57125"/>
                                  <a:pt x="21141" y="56406"/>
                                  <a:pt x="17640" y="54955"/>
                                </a:cubicBezTo>
                                <a:cubicBezTo>
                                  <a:pt x="14139" y="53504"/>
                                  <a:pt x="11049" y="51433"/>
                                  <a:pt x="8370" y="48778"/>
                                </a:cubicBezTo>
                                <a:cubicBezTo>
                                  <a:pt x="5690" y="46075"/>
                                  <a:pt x="3625" y="42987"/>
                                  <a:pt x="2175" y="39489"/>
                                </a:cubicBezTo>
                                <a:cubicBezTo>
                                  <a:pt x="725" y="35992"/>
                                  <a:pt x="0" y="32345"/>
                                  <a:pt x="0" y="28575"/>
                                </a:cubicBezTo>
                                <a:cubicBezTo>
                                  <a:pt x="0" y="24780"/>
                                  <a:pt x="725" y="21134"/>
                                  <a:pt x="2175" y="17611"/>
                                </a:cubicBezTo>
                                <a:cubicBezTo>
                                  <a:pt x="3625" y="14139"/>
                                  <a:pt x="5690" y="11050"/>
                                  <a:pt x="8370" y="8372"/>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0" name="Shape 2350"/>
                        <wps:cNvSpPr/>
                        <wps:spPr>
                          <a:xfrm>
                            <a:off x="381000" y="15240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92"/>
                                  <a:pt x="54975" y="39489"/>
                                </a:cubicBezTo>
                                <a:cubicBezTo>
                                  <a:pt x="53525" y="42987"/>
                                  <a:pt x="51460" y="46075"/>
                                  <a:pt x="48781" y="48778"/>
                                </a:cubicBezTo>
                                <a:cubicBezTo>
                                  <a:pt x="46101" y="51433"/>
                                  <a:pt x="43011" y="53504"/>
                                  <a:pt x="39510" y="54930"/>
                                </a:cubicBezTo>
                                <a:cubicBezTo>
                                  <a:pt x="36009" y="56406"/>
                                  <a:pt x="32364" y="57125"/>
                                  <a:pt x="28575" y="57150"/>
                                </a:cubicBezTo>
                                <a:cubicBezTo>
                                  <a:pt x="24786" y="57125"/>
                                  <a:pt x="21141" y="56406"/>
                                  <a:pt x="17640" y="54930"/>
                                </a:cubicBezTo>
                                <a:cubicBezTo>
                                  <a:pt x="14139" y="53504"/>
                                  <a:pt x="11049" y="51433"/>
                                  <a:pt x="8370" y="48778"/>
                                </a:cubicBezTo>
                                <a:cubicBezTo>
                                  <a:pt x="5690" y="46075"/>
                                  <a:pt x="3625" y="42987"/>
                                  <a:pt x="2175" y="39489"/>
                                </a:cubicBezTo>
                                <a:cubicBezTo>
                                  <a:pt x="725" y="35992"/>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4" name="Shape 2354"/>
                        <wps:cNvSpPr/>
                        <wps:spPr>
                          <a:xfrm>
                            <a:off x="381000" y="1676400"/>
                            <a:ext cx="57150" cy="57150"/>
                          </a:xfrm>
                          <a:custGeom>
                            <a:avLst/>
                            <a:gdLst/>
                            <a:ahLst/>
                            <a:cxnLst/>
                            <a:rect l="0" t="0" r="0" b="0"/>
                            <a:pathLst>
                              <a:path w="57150" h="57150">
                                <a:moveTo>
                                  <a:pt x="28575" y="0"/>
                                </a:moveTo>
                                <a:cubicBezTo>
                                  <a:pt x="32364" y="0"/>
                                  <a:pt x="36009" y="719"/>
                                  <a:pt x="39510" y="2158"/>
                                </a:cubicBezTo>
                                <a:cubicBezTo>
                                  <a:pt x="43011" y="3609"/>
                                  <a:pt x="46101" y="5668"/>
                                  <a:pt x="48781" y="8347"/>
                                </a:cubicBezTo>
                                <a:cubicBezTo>
                                  <a:pt x="51460" y="11013"/>
                                  <a:pt x="53525" y="14101"/>
                                  <a:pt x="54975" y="17611"/>
                                </a:cubicBezTo>
                                <a:cubicBezTo>
                                  <a:pt x="56425" y="21134"/>
                                  <a:pt x="57150" y="24780"/>
                                  <a:pt x="57150" y="28575"/>
                                </a:cubicBezTo>
                                <a:cubicBezTo>
                                  <a:pt x="57150" y="32345"/>
                                  <a:pt x="56425" y="35992"/>
                                  <a:pt x="54975" y="39489"/>
                                </a:cubicBezTo>
                                <a:cubicBezTo>
                                  <a:pt x="53525" y="42974"/>
                                  <a:pt x="51460" y="46062"/>
                                  <a:pt x="48781" y="48754"/>
                                </a:cubicBezTo>
                                <a:cubicBezTo>
                                  <a:pt x="46101" y="51433"/>
                                  <a:pt x="43011" y="53504"/>
                                  <a:pt x="39510" y="54930"/>
                                </a:cubicBezTo>
                                <a:cubicBezTo>
                                  <a:pt x="36009" y="56406"/>
                                  <a:pt x="32364" y="57125"/>
                                  <a:pt x="28575" y="57150"/>
                                </a:cubicBezTo>
                                <a:cubicBezTo>
                                  <a:pt x="24786" y="57125"/>
                                  <a:pt x="21141" y="56406"/>
                                  <a:pt x="17640" y="54930"/>
                                </a:cubicBezTo>
                                <a:cubicBezTo>
                                  <a:pt x="14139" y="53504"/>
                                  <a:pt x="11049" y="51433"/>
                                  <a:pt x="8370" y="48754"/>
                                </a:cubicBezTo>
                                <a:cubicBezTo>
                                  <a:pt x="5690" y="46062"/>
                                  <a:pt x="3625" y="42974"/>
                                  <a:pt x="2175" y="39489"/>
                                </a:cubicBezTo>
                                <a:cubicBezTo>
                                  <a:pt x="725" y="35992"/>
                                  <a:pt x="0" y="32345"/>
                                  <a:pt x="0" y="28575"/>
                                </a:cubicBezTo>
                                <a:cubicBezTo>
                                  <a:pt x="0" y="24780"/>
                                  <a:pt x="725" y="21134"/>
                                  <a:pt x="2175" y="17611"/>
                                </a:cubicBezTo>
                                <a:cubicBezTo>
                                  <a:pt x="3625" y="14101"/>
                                  <a:pt x="5690" y="11013"/>
                                  <a:pt x="8370" y="8347"/>
                                </a:cubicBezTo>
                                <a:cubicBezTo>
                                  <a:pt x="11049" y="5668"/>
                                  <a:pt x="14139" y="3609"/>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8" name="Shape 2358"/>
                        <wps:cNvSpPr/>
                        <wps:spPr>
                          <a:xfrm>
                            <a:off x="381000" y="1828788"/>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6016"/>
                                  <a:pt x="54975" y="39489"/>
                                </a:cubicBezTo>
                                <a:cubicBezTo>
                                  <a:pt x="53525" y="42987"/>
                                  <a:pt x="51460" y="46062"/>
                                  <a:pt x="48781" y="48766"/>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70" y="48766"/>
                                </a:cubicBezTo>
                                <a:cubicBezTo>
                                  <a:pt x="5690" y="46062"/>
                                  <a:pt x="3625" y="42987"/>
                                  <a:pt x="2175" y="39489"/>
                                </a:cubicBezTo>
                                <a:cubicBezTo>
                                  <a:pt x="725" y="36016"/>
                                  <a:pt x="0" y="32370"/>
                                  <a:pt x="0" y="28575"/>
                                </a:cubicBezTo>
                                <a:cubicBezTo>
                                  <a:pt x="0" y="24780"/>
                                  <a:pt x="725" y="21134"/>
                                  <a:pt x="2175" y="17636"/>
                                </a:cubicBezTo>
                                <a:cubicBezTo>
                                  <a:pt x="3625" y="14114"/>
                                  <a:pt x="5690" y="11013"/>
                                  <a:pt x="8370" y="8359"/>
                                </a:cubicBezTo>
                                <a:cubicBezTo>
                                  <a:pt x="11049" y="5655"/>
                                  <a:pt x="14139" y="3597"/>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0319" style="width:34.5pt;height:148.499pt;position:absolute;mso-position-horizontal-relative:text;mso-position-horizontal:absolute;margin-left:16.5pt;mso-position-vertical-relative:text;margin-top:2.73828pt;" coordsize="4381,18859">
                <v:shape id="Shape 2326" style="position:absolute;width:571;height:571;left:0;top:0;" coordsize="57150,57150" path="m28575,0c32364,0,36009,719,39510,2158c43011,3609,46101,5668,48781,8372c51460,11026,53525,14101,54975,17611c56425,21134,57150,24780,57150,28575c57150,32345,56425,35992,54975,39489c53525,42987,51460,46075,48781,48778c46101,51433,43011,53504,39510,54955c36009,56406,32364,57125,28575,57150c24786,57125,21141,56406,17640,54955c14139,53504,11049,51433,8369,48778c5690,46075,3625,42987,2175,39489c725,35992,0,32345,0,28575c0,24780,725,21134,2175,17611c3625,14101,5690,11026,8369,8372c11049,5668,14139,3609,17640,2158c21141,719,24786,0,28575,0x">
                  <v:stroke weight="0pt" endcap="flat" joinstyle="miter" miterlimit="10" on="false" color="#000000" opacity="0"/>
                  <v:fill on="true" color="#333333"/>
                </v:shape>
                <v:shape id="Shape 2328" style="position:absolute;width:571;height:571;left:3810;top:1524;" coordsize="57150,57150" path="m28575,0c32364,0,36009,719,39510,2158c43011,3609,46101,5668,48781,8347c51460,11013,53525,14101,54975,17611c56425,21134,57150,24780,57150,28575c57150,32345,56425,35979,54975,39477c53525,42974,51460,46062,48781,48754c46101,51433,43011,53504,39510,54930c36009,56406,32364,57125,28575,57150c24786,57125,21141,56406,17640,54930c14139,53504,11049,51433,8370,48754c5690,46062,3625,42974,2175,39477c725,35979,0,32345,0,28575c0,24780,725,21134,2175,17611c3625,14101,5690,11013,8370,8347c11049,5668,14139,3609,17640,2158c21141,719,24786,0,28575,0x">
                  <v:stroke weight="0pt" endcap="flat" joinstyle="miter" miterlimit="10" on="false" color="#000000" opacity="0"/>
                  <v:fill on="true" color="#333333"/>
                </v:shape>
                <v:shape id="Shape 2330" style="position:absolute;width:571;height:571;left:3810;top:3048;" coordsize="57150,57150" path="m28575,0c32364,0,36009,719,39510,2158c43011,3609,46101,5668,48781,8347c51460,11013,53525,14101,54975,17611c56425,21109,57150,24755,57150,28575c57150,32345,56425,35992,54975,39477c53525,42974,51460,46062,48781,48754c46101,51433,43011,53504,39510,54930c36009,56406,32364,57125,28575,57150c24786,57125,21141,56406,17640,54930c14139,53504,11049,51433,8370,48754c5690,46062,3625,42974,2175,39477c725,35992,0,32345,0,28575c0,24755,725,21109,2175,17611c3625,14101,5690,11013,8370,8347c11049,5668,14139,3609,17640,2158c21141,719,24786,0,28575,0x">
                  <v:stroke weight="0pt" endcap="flat" joinstyle="miter" miterlimit="10" on="false" color="#000000" opacity="0"/>
                  <v:fill on="true" color="#333333"/>
                </v:shape>
                <v:shape id="Shape 2332" style="position:absolute;width:571;height:571;left:3810;top:4572;" coordsize="57150,57150" path="m28575,0c32364,0,36009,719,39510,2170c43011,3609,46101,5668,48781,8372c51460,11050,53525,14139,54975,17636c56425,21109,57150,24755,57150,28575c57150,32345,56425,35992,54975,39489c53525,42987,51460,46075,48781,48778c46101,51433,43011,53504,39510,54967c36009,56406,32364,57125,28575,57150c24786,57125,21141,56406,17640,54967c14139,53504,11049,51433,8370,48778c5690,46075,3625,42987,2175,39489c725,35992,0,32345,0,28575c0,24755,725,21109,2175,17636c3625,14139,5690,11050,8370,8372c11049,5668,14139,3609,17640,2170c21141,719,24786,0,28575,0x">
                  <v:stroke weight="0pt" endcap="flat" joinstyle="miter" miterlimit="10" on="false" color="#000000" opacity="0"/>
                  <v:fill on="true" color="#333333"/>
                </v:shape>
                <v:shape id="Shape 2335" style="position:absolute;width:571;height:571;left:3810;top:7620;" coordsize="57150,57150" path="m28575,0c32364,0,36009,707,39510,2133c43011,3609,46101,5668,48781,8347c51460,11013,53525,14101,54975,17611c56425,21109,57150,24755,57150,28575c57150,32345,56425,35979,54975,39477c53525,42974,51460,46062,48781,48754c46101,51420,43011,53479,39510,54930c36009,56406,32364,57125,28575,57150c24786,57125,21141,56406,17640,54930c14139,53479,11049,51420,8370,48754c5690,46062,3625,42974,2175,39477c725,35979,0,32345,0,28575c0,24755,725,21109,2175,17611c3625,14101,5690,11013,8370,8347c11049,5668,14139,3609,17640,2133c21141,707,24786,0,28575,0x">
                  <v:stroke weight="0pt" endcap="flat" joinstyle="miter" miterlimit="10" on="false" color="#000000" opacity="0"/>
                  <v:fill on="true" color="#333333"/>
                </v:shape>
                <v:shape id="Shape 2337" style="position:absolute;width:571;height:571;left:3810;top:9144;" coordsize="57150,57150" path="m28575,0c32364,0,36009,719,39510,2158c43011,3609,46101,5668,48781,8347c51460,11013,53525,14077,54975,17599c56425,21109,57150,24755,57150,28575c57150,32345,56425,35979,54975,39489c53525,42974,51460,46062,48781,48754c46101,51420,43011,53479,39510,54930c36009,56406,32364,57125,28575,57150c24786,57125,21141,56406,17640,54930c14139,53479,11049,51420,8370,48754c5690,46062,3625,42974,2175,39489c725,35979,0,32345,0,28575c0,24755,725,21109,2175,17599c3625,14077,5690,11013,8370,8347c11049,5668,14139,3609,17640,2158c21141,719,24786,0,28575,0x">
                  <v:stroke weight="0pt" endcap="flat" joinstyle="miter" miterlimit="10" on="false" color="#000000" opacity="0"/>
                  <v:fill on="true" color="#333333"/>
                </v:shape>
                <v:shape id="Shape 2339" style="position:absolute;width:571;height:571;left:3810;top:10668;" coordsize="57150,57150" path="m28575,0c32364,0,36009,719,39510,2158c43011,3584,46101,5655,48781,8347c51460,11026,53525,14114,54975,17611c56425,21109,57150,24755,57150,28575c57150,32345,56425,35992,54975,39477c53525,42987,51460,46075,48781,48754c46101,51420,43011,53479,39510,54930c36009,56381,32364,57125,28575,57150c24786,57125,21141,56381,17640,54930c14139,53479,11049,51420,8370,48754c5690,46075,3625,42987,2175,39477c725,35992,0,32345,0,28575c0,24755,725,21109,2175,17611c3625,14114,5690,11026,8370,8347c11049,5655,14139,3584,17640,2158c21141,719,24786,0,28575,0x">
                  <v:stroke weight="0pt" endcap="flat" joinstyle="miter" miterlimit="10" on="false" color="#000000" opacity="0"/>
                  <v:fill on="true" color="#333333"/>
                </v:shape>
                <v:shape id="Shape 2345" style="position:absolute;width:571;height:571;left:0;top:12192;" coordsize="57150,57150" path="m28575,0c32364,0,36009,719,39510,2158c43011,3584,46101,5655,48781,8347c51460,11026,53525,14114,54975,17599c56425,21109,57150,24755,57150,28575c57150,32333,56425,35954,54975,39477c53525,42974,51460,46062,48781,48754c46101,51420,43011,53479,39510,54955c36009,56381,32364,57125,28575,57150c24786,57125,21141,56381,17640,54955c14139,53479,11049,51420,8369,48754c5690,46062,3625,42974,2175,39477c725,35954,0,32333,0,28575c0,24755,725,21109,2175,17599c3625,14114,5690,11026,8369,8347c11049,5655,14139,3584,17640,2158c21141,719,24786,0,28575,0x">
                  <v:stroke weight="0pt" endcap="flat" joinstyle="miter" miterlimit="10" on="false" color="#000000" opacity="0"/>
                  <v:fill on="true" color="#333333"/>
                </v:shape>
                <v:shape id="Shape 2347" style="position:absolute;width:571;height:571;left:3810;top:13716;" coordsize="57150,57150" path="m28575,0c32364,0,36009,719,39510,2158c43011,3609,46101,5668,48781,8372c51460,11050,53525,14139,54975,17611c56425,21134,57150,24780,57150,28575c57150,32345,56425,35992,54975,39489c53525,42987,51460,46075,48781,48778c46101,51433,43011,53504,39510,54955c36009,56406,32364,57125,28575,57150c24786,57125,21141,56406,17640,54955c14139,53504,11049,51433,8370,48778c5690,46075,3625,42987,2175,39489c725,35992,0,32345,0,28575c0,24780,725,21134,2175,17611c3625,14139,5690,11050,8370,8372c11049,5668,14139,3609,17640,2158c21141,719,24786,0,28575,0x">
                  <v:stroke weight="0pt" endcap="flat" joinstyle="miter" miterlimit="10" on="false" color="#000000" opacity="0"/>
                  <v:fill on="true" color="#333333"/>
                </v:shape>
                <v:shape id="Shape 2350" style="position:absolute;width:571;height:571;left:3810;top:15240;" coordsize="57150,57150" path="m28575,0c32364,0,36009,719,39510,2158c43011,3609,46101,5668,48781,8347c51460,11013,53525,14101,54975,17611c56425,21134,57150,24780,57150,28575c57150,32345,56425,35992,54975,39489c53525,42987,51460,46075,48781,48778c46101,51433,43011,53504,39510,54930c36009,56406,32364,57125,28575,57150c24786,57125,21141,56406,17640,54930c14139,53504,11049,51433,8370,48778c5690,46075,3625,42987,2175,39489c725,35992,0,32345,0,28575c0,24780,725,21134,2175,17611c3625,14101,5690,11013,8370,8347c11049,5668,14139,3609,17640,2158c21141,719,24786,0,28575,0x">
                  <v:stroke weight="0pt" endcap="flat" joinstyle="miter" miterlimit="10" on="false" color="#000000" opacity="0"/>
                  <v:fill on="true" color="#333333"/>
                </v:shape>
                <v:shape id="Shape 2354" style="position:absolute;width:571;height:571;left:3810;top:16764;" coordsize="57150,57150" path="m28575,0c32364,0,36009,719,39510,2158c43011,3609,46101,5668,48781,8347c51460,11013,53525,14101,54975,17611c56425,21134,57150,24780,57150,28575c57150,32345,56425,35992,54975,39489c53525,42974,51460,46062,48781,48754c46101,51433,43011,53504,39510,54930c36009,56406,32364,57125,28575,57150c24786,57125,21141,56406,17640,54930c14139,53504,11049,51433,8370,48754c5690,46062,3625,42974,2175,39489c725,35992,0,32345,0,28575c0,24780,725,21134,2175,17611c3625,14101,5690,11013,8370,8347c11049,5668,14139,3609,17640,2158c21141,719,24786,0,28575,0x">
                  <v:stroke weight="0pt" endcap="flat" joinstyle="miter" miterlimit="10" on="false" color="#000000" opacity="0"/>
                  <v:fill on="true" color="#333333"/>
                </v:shape>
                <v:shape id="Shape 2358" style="position:absolute;width:571;height:571;left:3810;top:18287;" coordsize="57150,57150" path="m28575,0c32364,0,36009,744,39510,2158c43011,3597,46101,5655,48781,8359c51460,11013,53525,14114,54975,17636c56425,21134,57150,24780,57150,28575c57150,32370,56425,36016,54975,39489c53525,42987,51460,46062,48781,48766c46101,51445,43011,53504,39510,54967c36009,56406,32364,57150,28575,57150c24786,57150,21141,56406,17640,54967c14139,53504,11049,51445,8370,48766c5690,46062,3625,42987,2175,39489c725,36016,0,32370,0,28575c0,24780,725,21134,2175,17636c3625,14114,5690,11013,8370,8359c11049,5655,14139,3597,17640,2158c21141,744,24786,0,28575,0x">
                  <v:stroke weight="0pt" endcap="flat" joinstyle="miter" miterlimit="10" on="false" color="#000000" opacity="0"/>
                  <v:fill on="true" color="#333333"/>
                </v:shape>
                <w10:wrap type="square"/>
              </v:group>
            </w:pict>
          </mc:Fallback>
        </mc:AlternateContent>
      </w:r>
      <w:r>
        <w:rPr>
          <w:i/>
        </w:rPr>
        <w:t>Экстренное лечение (до 2 ч):</w:t>
      </w:r>
    </w:p>
    <w:p w:rsidR="008E3F15" w:rsidRDefault="005F449A">
      <w:pPr>
        <w:ind w:left="340" w:right="2730"/>
      </w:pPr>
      <w:r>
        <w:t>нестабильная гемодинамика или кардиогенный шок; острая СН, обусловленная ишемией миокарда;</w:t>
      </w:r>
    </w:p>
    <w:p w:rsidR="008E3F15" w:rsidRDefault="005F449A">
      <w:pPr>
        <w:ind w:left="340" w:right="15"/>
      </w:pPr>
      <w:r>
        <w:t>рецидивирующие/рефрактерные ангинозные боли, несмотря на медикаментозное лечение;</w:t>
      </w:r>
    </w:p>
    <w:p w:rsidR="008E3F15" w:rsidRDefault="005F449A">
      <w:pPr>
        <w:ind w:left="340" w:right="3047"/>
      </w:pPr>
      <w:r>
        <w:t>жизнеугрожающая</w:t>
      </w:r>
      <w:r>
        <w:t xml:space="preserve"> аритмия; механические осложнения ИМ; рецидивирующие изменения </w:t>
      </w:r>
      <w:r>
        <w:rPr>
          <w:i/>
        </w:rPr>
        <w:t>ST–T</w:t>
      </w:r>
      <w:r>
        <w:t xml:space="preserve">, особенно подъем </w:t>
      </w:r>
      <w:r>
        <w:rPr>
          <w:i/>
        </w:rPr>
        <w:t>ST</w:t>
      </w:r>
      <w:r>
        <w:t>.</w:t>
      </w:r>
    </w:p>
    <w:p w:rsidR="008E3F15" w:rsidRDefault="005F449A">
      <w:pPr>
        <w:spacing w:line="259" w:lineRule="auto"/>
        <w:ind w:left="602" w:right="0"/>
      </w:pPr>
      <w:r>
        <w:rPr>
          <w:i/>
        </w:rPr>
        <w:t>Раннее лечение (до 24 ч):</w:t>
      </w:r>
    </w:p>
    <w:p w:rsidR="008E3F15" w:rsidRDefault="005F449A">
      <w:pPr>
        <w:spacing w:after="179"/>
        <w:ind w:left="340" w:right="2643"/>
      </w:pPr>
      <w:r>
        <w:t xml:space="preserve">ИМ без подъема </w:t>
      </w:r>
      <w:r>
        <w:rPr>
          <w:i/>
        </w:rPr>
        <w:t xml:space="preserve">ST, диагностированный по алгоритму ESC; </w:t>
      </w:r>
      <w:r>
        <w:t>динамические измерения</w:t>
      </w:r>
      <w:r>
        <w:rPr>
          <w:i/>
        </w:rPr>
        <w:t xml:space="preserve"> ST–T</w:t>
      </w:r>
      <w:r>
        <w:t xml:space="preserve">; преходящий подъем </w:t>
      </w:r>
      <w:r>
        <w:rPr>
          <w:i/>
        </w:rPr>
        <w:t>ST</w:t>
      </w:r>
      <w:r>
        <w:t>; шкала GRACE &gt;140.</w:t>
      </w:r>
    </w:p>
    <w:p w:rsidR="008E3F15" w:rsidRDefault="005F449A">
      <w:pPr>
        <w:ind w:left="2" w:right="315"/>
      </w:pPr>
      <w:r>
        <w:t>У пациентов с ОКСбп</w:t>
      </w:r>
      <w:r>
        <w:rPr>
          <w:i/>
        </w:rPr>
        <w:t>ST</w:t>
      </w:r>
      <w:r>
        <w:t xml:space="preserve"> также можно сразу выполнить многососудистое ЧКВ, что может снизить отдаленные риски сердечно-сосудистых событий (BIOVASC; Siebert V. et al., 2019). </w:t>
      </w:r>
      <w:r>
        <w:rPr>
          <w:i/>
        </w:rPr>
        <w:t>Коронарное шунтирование</w:t>
      </w:r>
      <w:r>
        <w:t xml:space="preserve"> показано пациентам с анатомией коронарных сосудов, не подходящ</w:t>
      </w:r>
      <w:r>
        <w:t>их для ЧКВ, с сохраняющейся ишемией мио карда, кардиогенным шоком, тяжелой СН или другими факторами высокого риска. Около 7–10% пациентов с ОКСбп</w:t>
      </w:r>
      <w:r>
        <w:rPr>
          <w:i/>
        </w:rPr>
        <w:t xml:space="preserve">ST </w:t>
      </w:r>
      <w:r>
        <w:t>проводят КШ, обычно на 3-й день госпитализации (Elbaz-Greener G. et al., 2020; Case B. et al., 2020). За 5–7</w:t>
      </w:r>
      <w:r>
        <w:t xml:space="preserve"> дней до хирургии отменяют второй антиагрегант.</w:t>
      </w:r>
    </w:p>
    <w:p w:rsidR="008E3F15" w:rsidRDefault="005F449A">
      <w:pPr>
        <w:ind w:left="2" w:right="15"/>
      </w:pPr>
      <w:r>
        <w:t xml:space="preserve">КШ используется также при необходимости коррекции механических дефектов (разрыв межжелудочковой перегородки, папиллярных мышц, свободной стенки желудочка). </w:t>
      </w:r>
      <w:r>
        <w:rPr>
          <w:i/>
        </w:rPr>
        <w:t>Медикаментозное лечение.</w:t>
      </w:r>
      <w:r>
        <w:t xml:space="preserve"> Для предупреждения повторно</w:t>
      </w:r>
      <w:r>
        <w:t>го тромбоза коронарных артерий, риск которого возрастает при стентировании, проводят лечение двумя антиагрегантами (АСК + ингибитор Р2Y</w:t>
      </w:r>
      <w:r>
        <w:rPr>
          <w:sz w:val="31"/>
          <w:vertAlign w:val="subscript"/>
        </w:rPr>
        <w:t>12</w:t>
      </w:r>
      <w:r>
        <w:t>-рецепторов тромбоцитов).</w:t>
      </w:r>
    </w:p>
    <w:p w:rsidR="008E3F15" w:rsidRDefault="005F449A">
      <w:pPr>
        <w:ind w:left="2" w:right="15"/>
      </w:pPr>
      <w:r>
        <w:t>В случаях стентирования предпочтение отдают более активным и быстродействующим ингибиторам Р2</w:t>
      </w:r>
      <w:r>
        <w:t>Y</w:t>
      </w:r>
      <w:r>
        <w:rPr>
          <w:sz w:val="31"/>
          <w:vertAlign w:val="subscript"/>
        </w:rPr>
        <w:t>12</w:t>
      </w:r>
      <w:r>
        <w:t>-рецепторов тромбоцитов тикагрелору или прасугрелу. Последний выглядит более эффективным у пациентов, которым планируется ЧКВ (ISAR-REACT 5,</w:t>
      </w:r>
    </w:p>
    <w:p w:rsidR="008E3F15" w:rsidRDefault="005F449A">
      <w:pPr>
        <w:spacing w:after="31"/>
        <w:ind w:left="2" w:right="15"/>
      </w:pPr>
      <w:r>
        <w:t>Baldetti L. et al., 2020).</w:t>
      </w:r>
    </w:p>
    <w:p w:rsidR="008E3F15" w:rsidRDefault="005F449A">
      <w:pPr>
        <w:ind w:left="2" w:right="15"/>
      </w:pPr>
      <w:r>
        <w:t>Пациентам с ИМп</w:t>
      </w:r>
      <w:r>
        <w:rPr>
          <w:i/>
        </w:rPr>
        <w:t>ST</w:t>
      </w:r>
      <w:r>
        <w:t xml:space="preserve"> перед ЧКВ рекомендуют антиагрегант в нагрузочной дозе: 60 мг прасуг</w:t>
      </w:r>
      <w:r>
        <w:t>рела, или 180 мг тикагрелора, или 600 мг клопидогрела. Прасугрел не показан пациентам с инсультом или транзиторной ишемической атакой, а в возрасте старше 75 лет или при массе тела до 60 кг ежедневную дозу уменьшают с 10 до 5 мг.</w:t>
      </w:r>
    </w:p>
    <w:p w:rsidR="008E3F15" w:rsidRDefault="005F449A">
      <w:pPr>
        <w:ind w:left="2" w:right="15"/>
      </w:pPr>
      <w:r>
        <w:t>Во время процедуры проводится инфузия НФГ или внутривенно вводится эноксапарин натрия (0,5 мг/кг), а после вмешательства без осложнений антикоагулянты не назначаются. Эноксапарин натрия может эффективнее снижать смертность и риск кровотечений, чем НФГ, у п</w:t>
      </w:r>
      <w:r>
        <w:t>ациентов c ИМп</w:t>
      </w:r>
      <w:r>
        <w:rPr>
          <w:i/>
        </w:rPr>
        <w:t>ST</w:t>
      </w:r>
      <w:r>
        <w:t xml:space="preserve"> (Silvain J. et al., 2012).</w:t>
      </w:r>
    </w:p>
    <w:p w:rsidR="008E3F15" w:rsidRDefault="005F449A">
      <w:pPr>
        <w:ind w:left="2" w:right="15"/>
      </w:pPr>
      <w:r>
        <w:t>При ОКСбп</w:t>
      </w:r>
      <w:r>
        <w:rPr>
          <w:i/>
        </w:rPr>
        <w:t>ST</w:t>
      </w:r>
      <w:r>
        <w:t>, если пациент получает фондапаринукс натрия, то перед ЧКВ дополнительно вводится НФГ 85 ед/кг для более эффективной профилактики тромбоза катетера (FUTURA/OASIS-8).</w:t>
      </w:r>
    </w:p>
    <w:p w:rsidR="008E3F15" w:rsidRDefault="005F449A">
      <w:pPr>
        <w:ind w:left="2" w:right="15"/>
      </w:pPr>
      <w:r>
        <w:t>Высокие дозы статинов (аторвастатин</w:t>
      </w:r>
      <w:r>
        <w:t xml:space="preserve"> 80 мг или розувастатин 40 мг в течение суток) могут снизить риск перипроцедурных сердечно-сосудистых событий у пациентов с ОКС (SECURE-</w:t>
      </w:r>
    </w:p>
    <w:p w:rsidR="008E3F15" w:rsidRDefault="005F449A">
      <w:pPr>
        <w:spacing w:after="345"/>
        <w:ind w:left="2" w:right="15"/>
      </w:pPr>
      <w:r>
        <w:t>PCI; Benjo A. et al., 2015).</w:t>
      </w:r>
    </w:p>
    <w:p w:rsidR="008E3F15" w:rsidRDefault="005F449A">
      <w:pPr>
        <w:pStyle w:val="Heading1"/>
        <w:ind w:left="2"/>
      </w:pPr>
      <w:r>
        <w:t>Часть I. Сердечно-сосудистые болезни</w:t>
      </w:r>
    </w:p>
    <w:p w:rsidR="008E3F15" w:rsidRDefault="005F449A">
      <w:pPr>
        <w:spacing w:after="179"/>
        <w:ind w:left="2" w:right="5762"/>
      </w:pPr>
      <w:r>
        <w:t xml:space="preserve">Кардиологическое отделение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73600"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64393" name="Group 264393"/>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420" name="Shape 2420"/>
                        <wps:cNvSpPr/>
                        <wps:spPr>
                          <a:xfrm>
                            <a:off x="0" y="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11"/>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11"/>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22" name="Shape 2422"/>
                        <wps:cNvSpPr/>
                        <wps:spPr>
                          <a:xfrm>
                            <a:off x="0" y="1524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38"/>
                                  <a:pt x="53525" y="14139"/>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36"/>
                                </a:cubicBezTo>
                                <a:cubicBezTo>
                                  <a:pt x="3625" y="14139"/>
                                  <a:pt x="5690" y="11038"/>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24" name="Shape 2424"/>
                        <wps:cNvSpPr/>
                        <wps:spPr>
                          <a:xfrm>
                            <a:off x="0" y="304800"/>
                            <a:ext cx="57150" cy="57150"/>
                          </a:xfrm>
                          <a:custGeom>
                            <a:avLst/>
                            <a:gdLst/>
                            <a:ahLst/>
                            <a:cxnLst/>
                            <a:rect l="0" t="0" r="0" b="0"/>
                            <a:pathLst>
                              <a:path w="57150" h="57150">
                                <a:moveTo>
                                  <a:pt x="28575" y="0"/>
                                </a:moveTo>
                                <a:cubicBezTo>
                                  <a:pt x="32364" y="0"/>
                                  <a:pt x="36009" y="744"/>
                                  <a:pt x="39510" y="2158"/>
                                </a:cubicBezTo>
                                <a:cubicBezTo>
                                  <a:pt x="43011" y="3621"/>
                                  <a:pt x="46101" y="5680"/>
                                  <a:pt x="48781" y="8384"/>
                                </a:cubicBezTo>
                                <a:cubicBezTo>
                                  <a:pt x="51460" y="11038"/>
                                  <a:pt x="53525" y="14139"/>
                                  <a:pt x="54975" y="17636"/>
                                </a:cubicBezTo>
                                <a:cubicBezTo>
                                  <a:pt x="56425" y="21134"/>
                                  <a:pt x="57150" y="24780"/>
                                  <a:pt x="57150" y="28575"/>
                                </a:cubicBezTo>
                                <a:cubicBezTo>
                                  <a:pt x="57150" y="32370"/>
                                  <a:pt x="56425" y="35992"/>
                                  <a:pt x="54975" y="39514"/>
                                </a:cubicBezTo>
                                <a:cubicBezTo>
                                  <a:pt x="53525" y="43011"/>
                                  <a:pt x="51460" y="46112"/>
                                  <a:pt x="48781" y="48791"/>
                                </a:cubicBezTo>
                                <a:cubicBezTo>
                                  <a:pt x="46101" y="51470"/>
                                  <a:pt x="43011" y="53529"/>
                                  <a:pt x="39510" y="54967"/>
                                </a:cubicBezTo>
                                <a:cubicBezTo>
                                  <a:pt x="36009" y="56406"/>
                                  <a:pt x="32364" y="57150"/>
                                  <a:pt x="28575" y="57150"/>
                                </a:cubicBezTo>
                                <a:cubicBezTo>
                                  <a:pt x="24786" y="57150"/>
                                  <a:pt x="21141" y="56406"/>
                                  <a:pt x="17640" y="54967"/>
                                </a:cubicBezTo>
                                <a:cubicBezTo>
                                  <a:pt x="14139" y="53529"/>
                                  <a:pt x="11049" y="51470"/>
                                  <a:pt x="8369" y="48791"/>
                                </a:cubicBezTo>
                                <a:cubicBezTo>
                                  <a:pt x="5690" y="46112"/>
                                  <a:pt x="3625" y="43011"/>
                                  <a:pt x="2175" y="39514"/>
                                </a:cubicBezTo>
                                <a:cubicBezTo>
                                  <a:pt x="725" y="35992"/>
                                  <a:pt x="0" y="32370"/>
                                  <a:pt x="0" y="28575"/>
                                </a:cubicBezTo>
                                <a:cubicBezTo>
                                  <a:pt x="0" y="24780"/>
                                  <a:pt x="725" y="21134"/>
                                  <a:pt x="2175" y="17636"/>
                                </a:cubicBezTo>
                                <a:cubicBezTo>
                                  <a:pt x="3625" y="14139"/>
                                  <a:pt x="5690" y="11038"/>
                                  <a:pt x="8369" y="8384"/>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4393" style="width:4.5pt;height:28.5pt;position:absolute;mso-position-horizontal-relative:text;mso-position-horizontal:absolute;margin-left:16.5pt;mso-position-vertical-relative:text;margin-top:2.73828pt;" coordsize="571,3619">
                <v:shape id="Shape 2420" style="position:absolute;width:571;height:571;left:0;top:0;" coordsize="57150,57150" path="m28575,0c32364,0,36009,744,39510,2158c43011,3621,46101,5680,48781,8359c51460,11013,53525,14114,54975,17611c56425,21134,57150,24780,57150,28575c57150,32370,56425,35992,54975,39489c53525,42987,51460,46062,48781,48766c46101,51420,43011,53504,39510,54967c36009,56406,32364,57150,28575,57150c24786,57150,21141,56406,17640,54967c14139,53504,11049,51420,8369,48766c5690,46062,3625,42987,2175,39489c725,35992,0,32370,0,28575c0,24780,725,21134,2175,17611c3625,14114,5690,11013,8369,8359c11049,5680,14139,3621,17640,2158c21141,744,24786,0,28575,0x">
                  <v:stroke weight="0pt" endcap="flat" joinstyle="miter" miterlimit="10" on="false" color="#000000" opacity="0"/>
                  <v:fill on="true" color="#333333"/>
                </v:shape>
                <v:shape id="Shape 2422" style="position:absolute;width:571;height:571;left:0;top:1524;" coordsize="57150,57150" path="m28575,0c32364,0,36009,744,39510,2158c43011,3621,46101,5680,48781,8359c51460,11038,53525,14139,54975,17636c56425,21134,57150,24780,57150,28575c57150,32370,56425,35992,54975,39489c53525,42987,51460,46062,48781,48766c46101,51420,43011,53504,39510,54967c36009,56406,32364,57150,28575,57150c24786,57150,21141,56406,17640,54967c14139,53504,11049,51420,8369,48766c5690,46062,3625,42987,2175,39489c725,35992,0,32370,0,28575c0,24780,725,21134,2175,17636c3625,14139,5690,11038,8369,8359c11049,5680,14139,3621,17640,2158c21141,744,24786,0,28575,0x">
                  <v:stroke weight="0pt" endcap="flat" joinstyle="miter" miterlimit="10" on="false" color="#000000" opacity="0"/>
                  <v:fill on="true" color="#333333"/>
                </v:shape>
                <v:shape id="Shape 2424" style="position:absolute;width:571;height:571;left:0;top:3048;" coordsize="57150,57150" path="m28575,0c32364,0,36009,744,39510,2158c43011,3621,46101,5680,48781,8384c51460,11038,53525,14139,54975,17636c56425,21134,57150,24780,57150,28575c57150,32370,56425,35992,54975,39514c53525,43011,51460,46112,48781,48791c46101,51470,43011,53529,39510,54967c36009,56406,32364,57150,28575,57150c24786,57150,21141,56406,17640,54967c14139,53529,11049,51470,8369,48791c5690,46112,3625,43011,2175,39514c725,35992,0,32370,0,28575c0,24780,725,21134,2175,17636c3625,14139,5690,11038,8369,8384c11049,5680,14139,3621,17640,2158c21141,744,24786,0,28575,0x">
                  <v:stroke weight="0pt" endcap="flat" joinstyle="miter" miterlimit="10" on="false" color="#000000" opacity="0"/>
                  <v:fill on="true" color="#333333"/>
                </v:shape>
                <w10:wrap type="square"/>
              </v:group>
            </w:pict>
          </mc:Fallback>
        </mc:AlternateContent>
      </w:r>
      <w:r>
        <w:t>ЭКГ в динамик</w:t>
      </w:r>
      <w:r>
        <w:t>е.</w:t>
      </w:r>
    </w:p>
    <w:p w:rsidR="008E3F15" w:rsidRDefault="005F449A">
      <w:pPr>
        <w:spacing w:after="31"/>
        <w:ind w:left="340" w:right="15"/>
      </w:pPr>
      <w:r>
        <w:t>Липидограмма.</w:t>
      </w:r>
    </w:p>
    <w:p w:rsidR="008E3F15" w:rsidRDefault="005F449A">
      <w:pPr>
        <w:spacing w:after="165"/>
        <w:ind w:left="340" w:right="15"/>
      </w:pPr>
      <w:r>
        <w:t>Стресс-тест</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74624" behindDoc="0" locked="0" layoutInCell="1" allowOverlap="1">
                <wp:simplePos x="0" y="0"/>
                <wp:positionH relativeFrom="column">
                  <wp:posOffset>209550</wp:posOffset>
                </wp:positionH>
                <wp:positionV relativeFrom="paragraph">
                  <wp:posOffset>34776</wp:posOffset>
                </wp:positionV>
                <wp:extent cx="57150" cy="1123950"/>
                <wp:effectExtent l="0" t="0" r="0" b="0"/>
                <wp:wrapSquare wrapText="bothSides"/>
                <wp:docPr id="264394" name="Group 264394"/>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2427" name="Shape 2427"/>
                        <wps:cNvSpPr/>
                        <wps:spPr>
                          <a:xfrm>
                            <a:off x="0" y="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29" name="Shape 2429"/>
                        <wps:cNvSpPr/>
                        <wps:spPr>
                          <a:xfrm>
                            <a:off x="0" y="1524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489"/>
                                </a:cubicBezTo>
                                <a:cubicBezTo>
                                  <a:pt x="725" y="35992"/>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1" name="Shape 2431"/>
                        <wps:cNvSpPr/>
                        <wps:spPr>
                          <a:xfrm>
                            <a:off x="0" y="3048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6016"/>
                                  <a:pt x="54975" y="39514"/>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514"/>
                                </a:cubicBezTo>
                                <a:cubicBezTo>
                                  <a:pt x="725" y="36016"/>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3" name="Shape 2433"/>
                        <wps:cNvSpPr/>
                        <wps:spPr>
                          <a:xfrm>
                            <a:off x="0" y="4572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6016"/>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6016"/>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5" name="Shape 2435"/>
                        <wps:cNvSpPr/>
                        <wps:spPr>
                          <a:xfrm>
                            <a:off x="0" y="6096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11"/>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11"/>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 name="Shape 2437"/>
                        <wps:cNvSpPr/>
                        <wps:spPr>
                          <a:xfrm>
                            <a:off x="0" y="762000"/>
                            <a:ext cx="57150" cy="57150"/>
                          </a:xfrm>
                          <a:custGeom>
                            <a:avLst/>
                            <a:gdLst/>
                            <a:ahLst/>
                            <a:cxnLst/>
                            <a:rect l="0" t="0" r="0" b="0"/>
                            <a:pathLst>
                              <a:path w="57150" h="57150">
                                <a:moveTo>
                                  <a:pt x="28575" y="0"/>
                                </a:moveTo>
                                <a:cubicBezTo>
                                  <a:pt x="32364" y="0"/>
                                  <a:pt x="36009" y="744"/>
                                  <a:pt x="39510" y="2183"/>
                                </a:cubicBezTo>
                                <a:cubicBezTo>
                                  <a:pt x="43011" y="3621"/>
                                  <a:pt x="46101" y="5680"/>
                                  <a:pt x="48781" y="8384"/>
                                </a:cubicBezTo>
                                <a:cubicBezTo>
                                  <a:pt x="51460" y="11038"/>
                                  <a:pt x="53525" y="14139"/>
                                  <a:pt x="54975" y="17636"/>
                                </a:cubicBezTo>
                                <a:cubicBezTo>
                                  <a:pt x="56425" y="21134"/>
                                  <a:pt x="57150" y="24780"/>
                                  <a:pt x="57150" y="28575"/>
                                </a:cubicBezTo>
                                <a:cubicBezTo>
                                  <a:pt x="57150" y="32370"/>
                                  <a:pt x="56425" y="35992"/>
                                  <a:pt x="54975" y="39514"/>
                                </a:cubicBezTo>
                                <a:cubicBezTo>
                                  <a:pt x="53525" y="43011"/>
                                  <a:pt x="51460" y="46112"/>
                                  <a:pt x="48781" y="48791"/>
                                </a:cubicBezTo>
                                <a:cubicBezTo>
                                  <a:pt x="46101" y="51445"/>
                                  <a:pt x="43011" y="53504"/>
                                  <a:pt x="39510" y="54992"/>
                                </a:cubicBezTo>
                                <a:cubicBezTo>
                                  <a:pt x="36009" y="56406"/>
                                  <a:pt x="32364" y="57150"/>
                                  <a:pt x="28575" y="57150"/>
                                </a:cubicBezTo>
                                <a:cubicBezTo>
                                  <a:pt x="24786" y="57150"/>
                                  <a:pt x="21141" y="56406"/>
                                  <a:pt x="17640" y="54992"/>
                                </a:cubicBezTo>
                                <a:cubicBezTo>
                                  <a:pt x="14139" y="53504"/>
                                  <a:pt x="11049" y="51445"/>
                                  <a:pt x="8369" y="48791"/>
                                </a:cubicBezTo>
                                <a:cubicBezTo>
                                  <a:pt x="5690" y="46112"/>
                                  <a:pt x="3625" y="43011"/>
                                  <a:pt x="2175" y="39514"/>
                                </a:cubicBezTo>
                                <a:cubicBezTo>
                                  <a:pt x="725" y="35992"/>
                                  <a:pt x="0" y="32370"/>
                                  <a:pt x="0" y="28575"/>
                                </a:cubicBezTo>
                                <a:cubicBezTo>
                                  <a:pt x="0" y="24780"/>
                                  <a:pt x="725" y="21134"/>
                                  <a:pt x="2175" y="17636"/>
                                </a:cubicBezTo>
                                <a:cubicBezTo>
                                  <a:pt x="3625" y="14139"/>
                                  <a:pt x="5690" y="11038"/>
                                  <a:pt x="8369" y="8384"/>
                                </a:cubicBezTo>
                                <a:cubicBezTo>
                                  <a:pt x="11049" y="5680"/>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9" name="Shape 2439"/>
                        <wps:cNvSpPr/>
                        <wps:spPr>
                          <a:xfrm>
                            <a:off x="0" y="9144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514"/>
                                </a:cubicBezTo>
                                <a:cubicBezTo>
                                  <a:pt x="53525" y="43011"/>
                                  <a:pt x="51460" y="46087"/>
                                  <a:pt x="48781" y="48791"/>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69" y="48791"/>
                                </a:cubicBezTo>
                                <a:cubicBezTo>
                                  <a:pt x="5690" y="46087"/>
                                  <a:pt x="3625" y="43011"/>
                                  <a:pt x="2175" y="39514"/>
                                </a:cubicBezTo>
                                <a:cubicBezTo>
                                  <a:pt x="725" y="35992"/>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1" name="Shape 2441"/>
                        <wps:cNvSpPr/>
                        <wps:spPr>
                          <a:xfrm>
                            <a:off x="0" y="10668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38"/>
                                  <a:pt x="53525" y="14139"/>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36"/>
                                </a:cubicBezTo>
                                <a:cubicBezTo>
                                  <a:pt x="3625" y="14139"/>
                                  <a:pt x="5690" y="11038"/>
                                  <a:pt x="8369" y="8359"/>
                                </a:cubicBezTo>
                                <a:cubicBezTo>
                                  <a:pt x="11049" y="5680"/>
                                  <a:pt x="14139" y="3621"/>
                                  <a:pt x="17640" y="2158"/>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4394" style="width:4.5pt;height:88.5pt;position:absolute;mso-position-horizontal-relative:text;mso-position-horizontal:absolute;margin-left:16.5pt;mso-position-vertical-relative:text;margin-top:2.73828pt;" coordsize="571,11239">
                <v:shape id="Shape 2427" style="position:absolute;width:571;height:571;left:0;top:0;" coordsize="57150,57150" path="m28575,0c32364,0,36009,744,39510,2158c43011,3597,46101,5655,48781,8359c51460,11013,53525,14114,54975,17636c56425,21134,57150,24780,57150,28575c57150,32370,56425,35992,54975,39489c53525,43011,51460,46087,48781,48766c46101,51420,43011,53504,39510,54967c36009,56406,32364,57150,28575,57150c24786,57150,21141,56406,17640,54967c14139,53504,11049,51420,8369,48766c5690,46087,3625,43011,2175,39489c725,35992,0,32370,0,28575c0,24780,725,21134,2175,17636c3625,14114,5690,11013,8369,8359c11049,5655,14139,3597,17640,2158c21141,744,24786,0,28575,0x">
                  <v:stroke weight="0pt" endcap="flat" joinstyle="miter" miterlimit="10" on="false" color="#000000" opacity="0"/>
                  <v:fill on="true" color="#333333"/>
                </v:shape>
                <v:shape id="Shape 2429" style="position:absolute;width:571;height:571;left:0;top:1524;" coordsize="57150,57150" path="m28575,0c32364,0,36009,744,39510,2158c43011,3621,46101,5680,48781,8359c51460,11013,53525,14114,54975,17636c56425,21134,57150,24780,57150,28575c57150,32370,56425,35992,54975,39489c53525,42987,51460,46062,48781,48766c46101,51445,43011,53504,39510,54942c36009,56406,32364,57150,28575,57150c24786,57150,21141,56406,17640,54942c14139,53504,11049,51445,8369,48766c5690,46062,3625,42987,2175,39489c725,35992,0,32370,0,28575c0,24780,725,21134,2175,17636c3625,14114,5690,11013,8369,8359c11049,5680,14139,3621,17640,2158c21141,744,24786,0,28575,0x">
                  <v:stroke weight="0pt" endcap="flat" joinstyle="miter" miterlimit="10" on="false" color="#000000" opacity="0"/>
                  <v:fill on="true" color="#333333"/>
                </v:shape>
                <v:shape id="Shape 2431" style="position:absolute;width:571;height:571;left:0;top:3048;" coordsize="57150,57150" path="m28575,0c32364,0,36009,744,39510,2158c43011,3621,46101,5680,48781,8359c51460,11013,53525,14114,54975,17636c56425,21134,57150,24780,57150,28575c57150,32370,56425,36016,54975,39514c53525,42987,51460,46062,48781,48766c46101,51445,43011,53504,39510,54942c36009,56406,32364,57150,28575,57150c24786,57150,21141,56406,17640,54942c14139,53504,11049,51445,8369,48766c5690,46062,3625,42987,2175,39514c725,36016,0,32370,0,28575c0,24780,725,21134,2175,17636c3625,14114,5690,11013,8369,8359c11049,5680,14139,3621,17640,2158c21141,744,24786,0,28575,0x">
                  <v:stroke weight="0pt" endcap="flat" joinstyle="miter" miterlimit="10" on="false" color="#000000" opacity="0"/>
                  <v:fill on="true" color="#333333"/>
                </v:shape>
                <v:shape id="Shape 2433" style="position:absolute;width:571;height:571;left:0;top:4572;" coordsize="57150,57150" path="m28575,0c32364,0,36009,744,39510,2158c43011,3597,46101,5655,48781,8359c51460,11013,53525,14114,54975,17636c56425,21134,57150,24780,57150,28575c57150,32370,56425,36016,54975,39489c53525,42987,51460,46062,48781,48766c46101,51420,43011,53504,39510,54967c36009,56406,32364,57150,28575,57150c24786,57150,21141,56406,17640,54967c14139,53504,11049,51420,8369,48766c5690,46062,3625,42987,2175,39489c725,36016,0,32370,0,28575c0,24780,725,21134,2175,17636c3625,14114,5690,11013,8369,8359c11049,5655,14139,3597,17640,2158c21141,744,24786,0,28575,0x">
                  <v:stroke weight="0pt" endcap="flat" joinstyle="miter" miterlimit="10" on="false" color="#000000" opacity="0"/>
                  <v:fill on="true" color="#333333"/>
                </v:shape>
                <v:shape id="Shape 2435" style="position:absolute;width:571;height:571;left:0;top:6096;" coordsize="57150,57150" path="m28575,0c32364,0,36009,744,39510,2158c43011,3621,46101,5680,48781,8359c51460,11013,53525,14114,54975,17611c56425,21134,57150,24780,57150,28575c57150,32370,56425,35992,54975,39489c53525,42987,51460,46062,48781,48766c46101,51420,43011,53504,39510,54967c36009,56406,32364,57150,28575,57150c24786,57150,21141,56406,17640,54967c14139,53504,11049,51420,8369,48766c5690,46062,3625,42987,2175,39489c725,35992,0,32370,0,28575c0,24780,725,21134,2175,17611c3625,14114,5690,11013,8369,8359c11049,5680,14139,3621,17640,2158c21141,744,24786,0,28575,0x">
                  <v:stroke weight="0pt" endcap="flat" joinstyle="miter" miterlimit="10" on="false" color="#000000" opacity="0"/>
                  <v:fill on="true" color="#333333"/>
                </v:shape>
                <v:shape id="Shape 2437" style="position:absolute;width:571;height:571;left:0;top:7620;" coordsize="57150,57150" path="m28575,0c32364,0,36009,744,39510,2183c43011,3621,46101,5680,48781,8384c51460,11038,53525,14139,54975,17636c56425,21134,57150,24780,57150,28575c57150,32370,56425,35992,54975,39514c53525,43011,51460,46112,48781,48791c46101,51445,43011,53504,39510,54992c36009,56406,32364,57150,28575,57150c24786,57150,21141,56406,17640,54992c14139,53504,11049,51445,8369,48791c5690,46112,3625,43011,2175,39514c725,35992,0,32370,0,28575c0,24780,725,21134,2175,17636c3625,14139,5690,11038,8369,8384c11049,5680,14139,3621,17640,2183c21141,744,24786,0,28575,0x">
                  <v:stroke weight="0pt" endcap="flat" joinstyle="miter" miterlimit="10" on="false" color="#000000" opacity="0"/>
                  <v:fill on="true" color="#333333"/>
                </v:shape>
                <v:shape id="Shape 2439" style="position:absolute;width:571;height:571;left:0;top:9144;" coordsize="57150,57150" path="m28575,0c32364,0,36009,744,39510,2158c43011,3621,46101,5680,48781,8359c51460,11013,53525,14114,54975,17636c56425,21134,57150,24780,57150,28575c57150,32370,56425,35992,54975,39514c53525,43011,51460,46087,48781,48791c46101,51445,43011,53504,39510,54967c36009,56406,32364,57150,28575,57150c24786,57150,21141,56406,17640,54967c14139,53504,11049,51445,8369,48791c5690,46087,3625,43011,2175,39514c725,35992,0,32370,0,28575c0,24780,725,21134,2175,17636c3625,14114,5690,11013,8369,8359c11049,5680,14139,3621,17640,2158c21141,744,24786,0,28575,0x">
                  <v:stroke weight="0pt" endcap="flat" joinstyle="miter" miterlimit="10" on="false" color="#000000" opacity="0"/>
                  <v:fill on="true" color="#333333"/>
                </v:shape>
                <v:shape id="Shape 2441" style="position:absolute;width:571;height:571;left:0;top:10668;" coordsize="57150,57150" path="m28575,0c32364,0,36009,744,39510,2158c43011,3621,46101,5680,48781,8359c51460,11038,53525,14139,54975,17636c56425,21134,57150,24780,57150,28575c57150,32370,56425,35992,54975,39489c53525,42987,51460,46062,48781,48766c46101,51420,43011,53504,39510,54942c36009,56406,32364,57150,28575,57150c24786,57150,21141,56406,17640,54942c14139,53504,11049,51420,8369,48766c5690,46062,3625,42987,2175,39489c725,35992,0,32370,0,28575c0,24780,725,21134,2175,17636c3625,14139,5690,11038,8369,8359c11049,5680,14139,3621,17640,2158c21141,744,24786,0,28575,0x">
                  <v:stroke weight="0pt" endcap="flat" joinstyle="miter" miterlimit="10" on="false" color="#000000" opacity="0"/>
                  <v:fill on="true" color="#333333"/>
                </v:shape>
                <w10:wrap type="square"/>
              </v:group>
            </w:pict>
          </mc:Fallback>
        </mc:AlternateContent>
      </w:r>
      <w:r>
        <w:t>АСК.</w:t>
      </w:r>
    </w:p>
    <w:p w:rsidR="008E3F15" w:rsidRDefault="005F449A">
      <w:pPr>
        <w:ind w:left="340" w:right="4901"/>
      </w:pPr>
      <w:r>
        <w:t>Прасугрел, или тикагрелор, или клопидогрел. β-Адреноблокаторы. иАПФ (валсартан при непереносимости).</w:t>
      </w:r>
    </w:p>
    <w:p w:rsidR="008E3F15" w:rsidRDefault="005F449A">
      <w:pPr>
        <w:spacing w:after="31"/>
        <w:ind w:left="340" w:right="15"/>
      </w:pPr>
      <w:r>
        <w:t>Статины.</w:t>
      </w:r>
    </w:p>
    <w:p w:rsidR="008E3F15" w:rsidRDefault="005F449A">
      <w:pPr>
        <w:spacing w:after="31"/>
        <w:ind w:left="340" w:right="15"/>
      </w:pPr>
      <w:r>
        <w:t>Отказ от курения.</w:t>
      </w:r>
    </w:p>
    <w:p w:rsidR="008E3F15" w:rsidRDefault="005F449A">
      <w:pPr>
        <w:spacing w:after="31"/>
        <w:ind w:left="340" w:right="15"/>
      </w:pPr>
      <w:r>
        <w:t>Физическая и психологическая реабилитация.</w:t>
      </w:r>
    </w:p>
    <w:p w:rsidR="008E3F15" w:rsidRDefault="005F449A">
      <w:pPr>
        <w:spacing w:after="165"/>
        <w:ind w:left="340" w:right="15"/>
      </w:pPr>
      <w:r>
        <w:t xml:space="preserve">По показаниям: аМКР (ФВЛЖ ≤40% + симптомы </w:t>
      </w:r>
      <w:r>
        <w:t>СН или СД), оральные антикоагулянты.</w:t>
      </w:r>
    </w:p>
    <w:p w:rsidR="008E3F15" w:rsidRDefault="005F449A">
      <w:pPr>
        <w:ind w:left="2" w:right="15"/>
      </w:pPr>
      <w:r>
        <w:rPr>
          <w:b/>
        </w:rPr>
        <w:t>Диагностика.</w:t>
      </w:r>
      <w:r>
        <w:t xml:space="preserve"> Проводится контроль ЭКГ с интервалом 2–3 сут, оценка липидограммы. Перед выпиской целесообразно выполнение стресс-теста на фоне проводимого лечения для оценки коронарной обструкции и необходимости реваскуля</w:t>
      </w:r>
      <w:r>
        <w:t>ризации.</w:t>
      </w:r>
    </w:p>
    <w:p w:rsidR="008E3F15" w:rsidRDefault="005F449A">
      <w:pPr>
        <w:ind w:left="2" w:right="15"/>
      </w:pPr>
      <w:r>
        <w:t xml:space="preserve">В выписном эпикризе важно отразить диагностические критерии ИМ, особенно при формах без подъема </w:t>
      </w:r>
      <w:r>
        <w:rPr>
          <w:i/>
        </w:rPr>
        <w:t>ST</w:t>
      </w:r>
      <w:r>
        <w:t>.</w:t>
      </w:r>
    </w:p>
    <w:p w:rsidR="008E3F15" w:rsidRDefault="005F449A">
      <w:pPr>
        <w:ind w:left="2" w:right="15"/>
      </w:pPr>
      <w:r>
        <w:rPr>
          <w:b/>
        </w:rPr>
        <w:t>Лечение.</w:t>
      </w:r>
      <w:r>
        <w:t xml:space="preserve"> Цель лечения — минимизация симптомов, контроль факторов нагрузки на мио кард (ЧСС 50–60 в мин, АД 130–140/80–90 мм рт.ст.) и факторов риск</w:t>
      </w:r>
      <w:r>
        <w:t>а, реабилитация. СК, рецидивирующая ишемия мио карда или повторный ИМ после реперфузии требуют неотложной КГ и реваскуляризации при наличии показаний, более активного лечения. АСК в дозе 75–100 мг/сут пациенты принимают постоянно. Мини мально эффективная д</w:t>
      </w:r>
      <w:r>
        <w:t>оза АСК позволяет снизить риск гастроинтестинальных осложнений. Не рекомендуется назначение препарата АСК с оксидом магния ввиду недостаточной изученности данной комбинации и возможного снижения всасывания АСК.</w:t>
      </w:r>
    </w:p>
    <w:p w:rsidR="008E3F15" w:rsidRDefault="005F449A">
      <w:pPr>
        <w:ind w:left="2" w:right="121"/>
      </w:pPr>
      <w:r>
        <w:t>Вторым антиагрегантом назначают тикагрелор 90 мг дважды или прасугрел 10 мг или клопидогрел 75 мг однократно. В этом случае доза АСК не должна превышать 100 мг/сут. Важное значение имеют β-адреноблокаторы, особенно в первый год терапии и при сниженной ФВЛЖ</w:t>
      </w:r>
      <w:r>
        <w:t>. Эффект β-адреноблокаторов не всегда возрастает при увеличении доз до уровня, использованного в рандомизированных исследованиях, и может быть достаточным даже в дозе &gt;25–50% от целевой (OBTAIN; Pedersen S. et al., 2023).</w:t>
      </w:r>
    </w:p>
    <w:p w:rsidR="008E3F15" w:rsidRDefault="005F449A">
      <w:pPr>
        <w:spacing w:after="179"/>
        <w:ind w:left="2" w:right="15"/>
      </w:pPr>
      <w:r>
        <w:t>Противопоказаниями к назначению β-</w:t>
      </w:r>
      <w:r>
        <w:t>адреноблокаторов считают следующие состояния (ACC/AHA, ESC):</w:t>
      </w:r>
    </w:p>
    <w:p w:rsidR="008E3F15" w:rsidRDefault="005F449A">
      <w:pPr>
        <w:ind w:left="340" w:right="4329"/>
      </w:pPr>
      <w:r>
        <w:rPr>
          <w:rFonts w:ascii="Calibri" w:eastAsia="Calibri" w:hAnsi="Calibri" w:cs="Calibri"/>
          <w:noProof/>
          <w:color w:val="000000"/>
          <w:sz w:val="22"/>
        </w:rPr>
        <mc:AlternateContent>
          <mc:Choice Requires="wpg">
            <w:drawing>
              <wp:anchor distT="0" distB="0" distL="114300" distR="114300" simplePos="0" relativeHeight="251675648" behindDoc="0" locked="0" layoutInCell="1" allowOverlap="1">
                <wp:simplePos x="0" y="0"/>
                <wp:positionH relativeFrom="column">
                  <wp:posOffset>209550</wp:posOffset>
                </wp:positionH>
                <wp:positionV relativeFrom="paragraph">
                  <wp:posOffset>34776</wp:posOffset>
                </wp:positionV>
                <wp:extent cx="57150" cy="971550"/>
                <wp:effectExtent l="0" t="0" r="0" b="0"/>
                <wp:wrapSquare wrapText="bothSides"/>
                <wp:docPr id="271574" name="Group 271574"/>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2547" name="Shape 2547"/>
                        <wps:cNvSpPr/>
                        <wps:spPr>
                          <a:xfrm>
                            <a:off x="0" y="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514"/>
                                </a:cubicBezTo>
                                <a:cubicBezTo>
                                  <a:pt x="725" y="35992"/>
                                  <a:pt x="0" y="32370"/>
                                  <a:pt x="0" y="28575"/>
                                </a:cubicBezTo>
                                <a:cubicBezTo>
                                  <a:pt x="0" y="24780"/>
                                  <a:pt x="725" y="21134"/>
                                  <a:pt x="2175" y="17611"/>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49" name="Shape 2549"/>
                        <wps:cNvSpPr/>
                        <wps:spPr>
                          <a:xfrm>
                            <a:off x="0" y="1524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38"/>
                                  <a:pt x="53525" y="14139"/>
                                  <a:pt x="54975" y="17636"/>
                                </a:cubicBezTo>
                                <a:cubicBezTo>
                                  <a:pt x="56425" y="21134"/>
                                  <a:pt x="57150" y="24780"/>
                                  <a:pt x="57150" y="28575"/>
                                </a:cubicBezTo>
                                <a:cubicBezTo>
                                  <a:pt x="57150" y="32370"/>
                                  <a:pt x="56425" y="35992"/>
                                  <a:pt x="54975" y="39464"/>
                                </a:cubicBezTo>
                                <a:cubicBezTo>
                                  <a:pt x="53525" y="42987"/>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36"/>
                                </a:cubicBezTo>
                                <a:cubicBezTo>
                                  <a:pt x="3625" y="14139"/>
                                  <a:pt x="5690" y="11038"/>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51" name="Shape 2551"/>
                        <wps:cNvSpPr/>
                        <wps:spPr>
                          <a:xfrm>
                            <a:off x="0" y="304800"/>
                            <a:ext cx="57150" cy="57150"/>
                          </a:xfrm>
                          <a:custGeom>
                            <a:avLst/>
                            <a:gdLst/>
                            <a:ahLst/>
                            <a:cxnLst/>
                            <a:rect l="0" t="0" r="0" b="0"/>
                            <a:pathLst>
                              <a:path w="57150" h="57150">
                                <a:moveTo>
                                  <a:pt x="28575" y="0"/>
                                </a:moveTo>
                                <a:cubicBezTo>
                                  <a:pt x="32364" y="0"/>
                                  <a:pt x="36009" y="744"/>
                                  <a:pt x="39510" y="2158"/>
                                </a:cubicBezTo>
                                <a:cubicBezTo>
                                  <a:pt x="43011" y="3597"/>
                                  <a:pt x="46101" y="5680"/>
                                  <a:pt x="48781" y="8384"/>
                                </a:cubicBezTo>
                                <a:cubicBezTo>
                                  <a:pt x="51460" y="11038"/>
                                  <a:pt x="53525" y="14139"/>
                                  <a:pt x="54975" y="17636"/>
                                </a:cubicBezTo>
                                <a:cubicBezTo>
                                  <a:pt x="56425" y="21134"/>
                                  <a:pt x="57150" y="24780"/>
                                  <a:pt x="57150" y="28575"/>
                                </a:cubicBezTo>
                                <a:cubicBezTo>
                                  <a:pt x="57150" y="32370"/>
                                  <a:pt x="56425" y="36016"/>
                                  <a:pt x="54975" y="39489"/>
                                </a:cubicBezTo>
                                <a:cubicBezTo>
                                  <a:pt x="53525" y="43011"/>
                                  <a:pt x="51460" y="46087"/>
                                  <a:pt x="48781" y="48791"/>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69" y="48791"/>
                                </a:cubicBezTo>
                                <a:cubicBezTo>
                                  <a:pt x="5690" y="46087"/>
                                  <a:pt x="3625" y="43011"/>
                                  <a:pt x="2175" y="39489"/>
                                </a:cubicBezTo>
                                <a:cubicBezTo>
                                  <a:pt x="725" y="36016"/>
                                  <a:pt x="0" y="32370"/>
                                  <a:pt x="0" y="28575"/>
                                </a:cubicBezTo>
                                <a:cubicBezTo>
                                  <a:pt x="0" y="24780"/>
                                  <a:pt x="725" y="21134"/>
                                  <a:pt x="2175" y="17636"/>
                                </a:cubicBezTo>
                                <a:cubicBezTo>
                                  <a:pt x="3625" y="14139"/>
                                  <a:pt x="5690" y="11038"/>
                                  <a:pt x="8369" y="8384"/>
                                </a:cubicBezTo>
                                <a:cubicBezTo>
                                  <a:pt x="11049" y="5680"/>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53" name="Shape 2553"/>
                        <wps:cNvSpPr/>
                        <wps:spPr>
                          <a:xfrm>
                            <a:off x="0" y="4572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38"/>
                                  <a:pt x="53525" y="14139"/>
                                  <a:pt x="54975" y="17611"/>
                                </a:cubicBezTo>
                                <a:cubicBezTo>
                                  <a:pt x="56425" y="21134"/>
                                  <a:pt x="57150" y="24780"/>
                                  <a:pt x="57150" y="28575"/>
                                </a:cubicBezTo>
                                <a:cubicBezTo>
                                  <a:pt x="57150" y="32370"/>
                                  <a:pt x="56425" y="36016"/>
                                  <a:pt x="54975" y="39514"/>
                                </a:cubicBezTo>
                                <a:cubicBezTo>
                                  <a:pt x="53525" y="43011"/>
                                  <a:pt x="51460" y="46087"/>
                                  <a:pt x="48781" y="48791"/>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69" y="48791"/>
                                </a:cubicBezTo>
                                <a:cubicBezTo>
                                  <a:pt x="5690" y="46087"/>
                                  <a:pt x="3625" y="43011"/>
                                  <a:pt x="2175" y="39514"/>
                                </a:cubicBezTo>
                                <a:cubicBezTo>
                                  <a:pt x="725" y="36016"/>
                                  <a:pt x="0" y="32370"/>
                                  <a:pt x="0" y="28575"/>
                                </a:cubicBezTo>
                                <a:cubicBezTo>
                                  <a:pt x="0" y="24780"/>
                                  <a:pt x="725" y="21134"/>
                                  <a:pt x="2175" y="17611"/>
                                </a:cubicBezTo>
                                <a:cubicBezTo>
                                  <a:pt x="3625" y="14139"/>
                                  <a:pt x="5690" y="11038"/>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55" name="Shape 2555"/>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3011"/>
                                  <a:pt x="51460" y="46087"/>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87"/>
                                  <a:pt x="3625" y="43011"/>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57" name="Shape 2557"/>
                        <wps:cNvSpPr/>
                        <wps:spPr>
                          <a:xfrm>
                            <a:off x="0" y="7620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489"/>
                                </a:cubicBezTo>
                                <a:cubicBezTo>
                                  <a:pt x="725" y="35992"/>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559" name="Shape 2559"/>
                        <wps:cNvSpPr/>
                        <wps:spPr>
                          <a:xfrm>
                            <a:off x="0" y="914400"/>
                            <a:ext cx="57150" cy="57150"/>
                          </a:xfrm>
                          <a:custGeom>
                            <a:avLst/>
                            <a:gdLst/>
                            <a:ahLst/>
                            <a:cxnLst/>
                            <a:rect l="0" t="0" r="0" b="0"/>
                            <a:pathLst>
                              <a:path w="57150" h="57150">
                                <a:moveTo>
                                  <a:pt x="28575" y="0"/>
                                </a:moveTo>
                                <a:cubicBezTo>
                                  <a:pt x="32364" y="0"/>
                                  <a:pt x="36009" y="719"/>
                                  <a:pt x="39510" y="2158"/>
                                </a:cubicBezTo>
                                <a:cubicBezTo>
                                  <a:pt x="43011" y="3572"/>
                                  <a:pt x="46101" y="5655"/>
                                  <a:pt x="48781" y="8334"/>
                                </a:cubicBezTo>
                                <a:cubicBezTo>
                                  <a:pt x="51460" y="11013"/>
                                  <a:pt x="53525" y="14114"/>
                                  <a:pt x="54975" y="17636"/>
                                </a:cubicBezTo>
                                <a:cubicBezTo>
                                  <a:pt x="56425" y="21134"/>
                                  <a:pt x="57150" y="24780"/>
                                  <a:pt x="57150" y="28575"/>
                                </a:cubicBezTo>
                                <a:cubicBezTo>
                                  <a:pt x="57150" y="32370"/>
                                  <a:pt x="56425" y="36016"/>
                                  <a:pt x="54975" y="39514"/>
                                </a:cubicBezTo>
                                <a:cubicBezTo>
                                  <a:pt x="53525" y="43011"/>
                                  <a:pt x="51460" y="46087"/>
                                  <a:pt x="48781" y="48791"/>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91"/>
                                </a:cubicBezTo>
                                <a:cubicBezTo>
                                  <a:pt x="5690" y="46087"/>
                                  <a:pt x="3625" y="43011"/>
                                  <a:pt x="2175" y="39514"/>
                                </a:cubicBezTo>
                                <a:cubicBezTo>
                                  <a:pt x="725" y="36016"/>
                                  <a:pt x="0" y="32370"/>
                                  <a:pt x="0" y="28575"/>
                                </a:cubicBezTo>
                                <a:cubicBezTo>
                                  <a:pt x="0" y="24780"/>
                                  <a:pt x="725" y="21134"/>
                                  <a:pt x="2175" y="17636"/>
                                </a:cubicBezTo>
                                <a:cubicBezTo>
                                  <a:pt x="3625" y="14114"/>
                                  <a:pt x="5690" y="11013"/>
                                  <a:pt x="8369" y="8334"/>
                                </a:cubicBezTo>
                                <a:cubicBezTo>
                                  <a:pt x="11049" y="5655"/>
                                  <a:pt x="14139" y="3572"/>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574" style="width:4.5pt;height:76.5pt;position:absolute;mso-position-horizontal-relative:text;mso-position-horizontal:absolute;margin-left:16.5pt;mso-position-vertical-relative:text;margin-top:2.73828pt;" coordsize="571,9715">
                <v:shape id="Shape 2547" style="position:absolute;width:571;height:571;left:0;top:0;" coordsize="57150,57150" path="m28575,0c32364,0,36009,744,39510,2158c43011,3621,46101,5680,48781,8359c51460,11013,53525,14114,54975,17636c56425,21134,57150,24780,57150,28575c57150,32370,56425,35992,54975,39489c53525,42987,51460,46062,48781,48766c46101,51420,43011,53504,39510,54942c36009,56406,32364,57150,28575,57150c24786,57150,21141,56406,17640,54942c14139,53504,11049,51420,8369,48766c5690,46062,3625,42987,2175,39514c725,35992,0,32370,0,28575c0,24780,725,21134,2175,17611c3625,14114,5690,11013,8369,8359c11049,5680,14139,3621,17640,2158c21141,744,24786,0,28575,0x">
                  <v:stroke weight="0pt" endcap="flat" joinstyle="miter" miterlimit="4" on="false" color="#000000" opacity="0"/>
                  <v:fill on="true" color="#333333"/>
                </v:shape>
                <v:shape id="Shape 2549" style="position:absolute;width:571;height:571;left:0;top:1524;" coordsize="57150,57150" path="m28575,0c32364,0,36009,744,39510,2158c43011,3621,46101,5680,48781,8359c51460,11038,53525,14139,54975,17636c56425,21134,57150,24780,57150,28575c57150,32370,56425,35992,54975,39464c53525,42987,51460,46062,48781,48766c46101,51420,43011,53504,39510,54942c36009,56406,32364,57150,28575,57150c24786,57150,21141,56406,17640,54942c14139,53504,11049,51420,8369,48766c5690,46062,3625,42987,2175,39489c725,35992,0,32370,0,28575c0,24780,725,21134,2175,17636c3625,14139,5690,11038,8369,8359c11049,5680,14139,3621,17640,2158c21141,744,24786,0,28575,0x">
                  <v:stroke weight="0pt" endcap="flat" joinstyle="miter" miterlimit="4" on="false" color="#000000" opacity="0"/>
                  <v:fill on="true" color="#333333"/>
                </v:shape>
                <v:shape id="Shape 2551" style="position:absolute;width:571;height:571;left:0;top:3048;" coordsize="57150,57150" path="m28575,0c32364,0,36009,744,39510,2158c43011,3597,46101,5680,48781,8384c51460,11038,53525,14139,54975,17636c56425,21134,57150,24780,57150,28575c57150,32370,56425,36016,54975,39489c53525,43011,51460,46087,48781,48791c46101,51445,43011,53504,39510,54967c36009,56406,32364,57150,28575,57150c24786,57150,21141,56406,17640,54967c14139,53504,11049,51445,8369,48791c5690,46087,3625,43011,2175,39489c725,36016,0,32370,0,28575c0,24780,725,21134,2175,17636c3625,14139,5690,11038,8369,8384c11049,5680,14139,3597,17640,2158c21141,744,24786,0,28575,0x">
                  <v:stroke weight="0pt" endcap="flat" joinstyle="miter" miterlimit="4" on="false" color="#000000" opacity="0"/>
                  <v:fill on="true" color="#333333"/>
                </v:shape>
                <v:shape id="Shape 2553" style="position:absolute;width:571;height:571;left:0;top:4572;" coordsize="57150,57150" path="m28575,0c32364,0,36009,744,39510,2158c43011,3597,46101,5655,48781,8359c51460,11038,53525,14139,54975,17611c56425,21134,57150,24780,57150,28575c57150,32370,56425,36016,54975,39514c53525,43011,51460,46087,48781,48791c46101,51445,43011,53504,39510,54967c36009,56406,32364,57150,28575,57150c24786,57150,21141,56406,17640,54967c14139,53504,11049,51445,8369,48791c5690,46087,3625,43011,2175,39514c725,36016,0,32370,0,28575c0,24780,725,21134,2175,17611c3625,14139,5690,11038,8369,8359c11049,5655,14139,3597,17640,2158c21141,744,24786,0,28575,0x">
                  <v:stroke weight="0pt" endcap="flat" joinstyle="miter" miterlimit="4" on="false" color="#000000" opacity="0"/>
                  <v:fill on="true" color="#333333"/>
                </v:shape>
                <v:shape id="Shape 2555" style="position:absolute;width:571;height:571;left:0;top:6096;" coordsize="57150,57150" path="m28575,0c32364,0,36009,719,39510,2158c43011,3597,46101,5655,48781,8359c51460,11013,53525,14114,54975,17636c56425,21134,57150,24780,57150,28575c57150,32370,56425,35992,54975,39489c53525,43011,51460,46087,48781,48766c46101,51445,43011,53504,39510,54942c36009,56406,32364,57150,28575,57150c24786,57150,21141,56406,17640,54942c14139,53504,11049,51445,8369,48766c5690,46087,3625,43011,2175,39489c725,35992,0,32370,0,28575c0,24780,725,21134,2175,17636c3625,14114,5690,11013,8369,8359c11049,5655,14139,3597,17640,2158c21141,719,24786,0,28575,0x">
                  <v:stroke weight="0pt" endcap="flat" joinstyle="miter" miterlimit="4" on="false" color="#000000" opacity="0"/>
                  <v:fill on="true" color="#333333"/>
                </v:shape>
                <v:shape id="Shape 2557" style="position:absolute;width:571;height:571;left:0;top:7620;" coordsize="57150,57150" path="m28575,0c32364,0,36009,719,39510,2158c43011,3621,46101,5680,48781,8359c51460,11013,53525,14114,54975,17636c56425,21134,57150,24780,57150,28575c57150,32370,56425,35992,54975,39489c53525,42987,51460,46062,48781,48766c46101,51445,43011,53504,39510,54942c36009,56406,32364,57150,28575,57150c24786,57150,21141,56406,17640,54942c14139,53504,11049,51445,8369,48766c5690,46062,3625,42987,2175,39489c725,35992,0,32370,0,28575c0,24780,725,21134,2175,17636c3625,14114,5690,11013,8369,8359c11049,5680,14139,3621,17640,2158c21141,744,24786,0,28575,0x">
                  <v:stroke weight="0pt" endcap="flat" joinstyle="miter" miterlimit="4" on="false" color="#000000" opacity="0"/>
                  <v:fill on="true" color="#333333"/>
                </v:shape>
                <v:shape id="Shape 2559" style="position:absolute;width:571;height:571;left:0;top:9144;" coordsize="57150,57150" path="m28575,0c32364,0,36009,719,39510,2158c43011,3572,46101,5655,48781,8334c51460,11013,53525,14114,54975,17636c56425,21134,57150,24780,57150,28575c57150,32370,56425,36016,54975,39514c53525,43011,51460,46087,48781,48791c46101,51445,43011,53504,39510,54942c36009,56406,32364,57150,28575,57150c24786,57150,21141,56406,17640,54942c14139,53504,11049,51445,8369,48791c5690,46087,3625,43011,2175,39514c725,36016,0,32370,0,28575c0,24780,725,21134,2175,17636c3625,14114,5690,11013,8369,8334c11049,5655,14139,3572,17640,2158c21141,719,24786,0,28575,0x">
                  <v:stroke weight="0pt" endcap="flat" joinstyle="miter" miterlimit="4" on="false" color="#000000" opacity="0"/>
                  <v:fill on="true" color="#333333"/>
                </v:shape>
                <w10:wrap type="square"/>
              </v:group>
            </w:pict>
          </mc:Fallback>
        </mc:AlternateContent>
      </w:r>
      <w:r>
        <w:t>лабильная бронхиальная обструкция; брадикардия (особенно симптомная) &lt;50 в 1 мин;</w:t>
      </w:r>
    </w:p>
    <w:p w:rsidR="008E3F15" w:rsidRDefault="005F449A">
      <w:pPr>
        <w:spacing w:after="31"/>
        <w:ind w:left="340" w:right="15"/>
      </w:pPr>
      <w:r>
        <w:t>дисфункция синусового узла;</w:t>
      </w:r>
    </w:p>
    <w:p w:rsidR="008E3F15" w:rsidRDefault="005F449A">
      <w:pPr>
        <w:spacing w:after="179"/>
        <w:ind w:left="340" w:right="1241"/>
      </w:pPr>
      <w:r>
        <w:t>АВ-блокада 2–3-й степени (особенно проксимальная) без кардиостимулятора; артериальна</w:t>
      </w:r>
      <w:r>
        <w:t>я гипотензия (особенно симптомная) &lt;100 мм рт.ст.; острая СН с низким сердечным выбросом; признаки сниженной перфузии периферических органов и тканей.</w:t>
      </w:r>
    </w:p>
    <w:p w:rsidR="008E3F15" w:rsidRDefault="005F449A">
      <w:pPr>
        <w:ind w:left="2" w:right="176"/>
      </w:pPr>
      <w:r>
        <w:t>иАПФ целесообразно назначить всем пациентам с ИМп</w:t>
      </w:r>
      <w:r>
        <w:rPr>
          <w:i/>
        </w:rPr>
        <w:t>ST</w:t>
      </w:r>
      <w:r>
        <w:t xml:space="preserve"> с титрованием препарата до целевой дозы. В случае неп</w:t>
      </w:r>
      <w:r>
        <w:t>ереносимости иАПФ (обычно вследствие кашля) рекомендуют валсартан.</w:t>
      </w:r>
    </w:p>
    <w:p w:rsidR="008E3F15" w:rsidRDefault="005F449A">
      <w:pPr>
        <w:ind w:left="2" w:right="461"/>
      </w:pPr>
      <w:r>
        <w:t>У пациентов с застоем в легких или СНнФВ сакубитрил + валсартан не улучшил прогноз по сравнению с рамиприлом (PARADISE-MI).</w:t>
      </w:r>
    </w:p>
    <w:p w:rsidR="008E3F15" w:rsidRDefault="005F449A">
      <w:pPr>
        <w:ind w:left="2" w:right="15"/>
      </w:pPr>
      <w:r>
        <w:t>При СНнФВ или СД добавляют аМКР (50 мг эплеренона, 25 мг спиронол</w:t>
      </w:r>
      <w:r>
        <w:t>актона). По данным исследования REMINDER, эплеренон после ИМп</w:t>
      </w:r>
      <w:r>
        <w:rPr>
          <w:i/>
        </w:rPr>
        <w:t>ST</w:t>
      </w:r>
      <w:r>
        <w:t xml:space="preserve"> без СН уменьшил на 42% риск сердечнососудистых смертей и повторных госпитализаций в течение 2 лет.</w:t>
      </w:r>
    </w:p>
    <w:p w:rsidR="008E3F15" w:rsidRDefault="005F449A">
      <w:pPr>
        <w:ind w:left="2" w:right="573"/>
      </w:pPr>
      <w:r>
        <w:t>Рекомендуют снизить уровень холестерина липопротеинов низкой плотности (ХС ЛНП) в плазме кров</w:t>
      </w:r>
      <w:r>
        <w:t>и до ≥50% от исходного и &lt;1,4 ммоль/л с помощью интенсивной терапии статинами (аторвастатин 80 мг, розувастатин 20–40 мг). Эффективность раннего (до 14 сут от начала ИМ) назначения статинов не установлена (Cochrane Review).</w:t>
      </w:r>
    </w:p>
    <w:p w:rsidR="008E3F15" w:rsidRDefault="005F449A">
      <w:pPr>
        <w:ind w:left="2" w:right="169"/>
      </w:pPr>
      <w:r>
        <w:t xml:space="preserve">Физическая активность пациентов </w:t>
      </w:r>
      <w:r>
        <w:t>зависит от тяжести заболевания и функциональных возможностей пациентов (</w:t>
      </w:r>
      <w:r>
        <w:rPr>
          <w:b/>
        </w:rPr>
        <w:t>табл. 1.11</w:t>
      </w:r>
      <w:r>
        <w:t>). Представляется целесообразным использовать шкалы прогноза, поскольку предложенная классификация тяжести болезни (</w:t>
      </w:r>
      <w:r>
        <w:rPr>
          <w:b/>
        </w:rPr>
        <w:t>табл. 1.12</w:t>
      </w:r>
      <w:r>
        <w:t>) не валидизирована.</w:t>
      </w:r>
    </w:p>
    <w:p w:rsidR="008E3F15" w:rsidRDefault="005F449A">
      <w:pPr>
        <w:spacing w:after="31"/>
        <w:ind w:left="2" w:right="15"/>
      </w:pPr>
      <w:r>
        <w:rPr>
          <w:b/>
        </w:rPr>
        <w:t xml:space="preserve">Таблица 1.11. </w:t>
      </w:r>
      <w:r>
        <w:t>Программы физ</w:t>
      </w:r>
      <w:r>
        <w:t>ической активизации пациентов с инфарктом мио карда</w:t>
      </w:r>
    </w:p>
    <w:tbl>
      <w:tblPr>
        <w:tblStyle w:val="TableGrid"/>
        <w:tblW w:w="10485" w:type="dxa"/>
        <w:tblInd w:w="30" w:type="dxa"/>
        <w:tblCellMar>
          <w:top w:w="58" w:type="dxa"/>
          <w:left w:w="38" w:type="dxa"/>
          <w:bottom w:w="0" w:type="dxa"/>
          <w:right w:w="44" w:type="dxa"/>
        </w:tblCellMar>
        <w:tblLook w:val="04A0" w:firstRow="1" w:lastRow="0" w:firstColumn="1" w:lastColumn="0" w:noHBand="0" w:noVBand="1"/>
      </w:tblPr>
      <w:tblGrid>
        <w:gridCol w:w="1035"/>
        <w:gridCol w:w="7305"/>
        <w:gridCol w:w="405"/>
        <w:gridCol w:w="495"/>
        <w:gridCol w:w="600"/>
        <w:gridCol w:w="645"/>
      </w:tblGrid>
      <w:tr w:rsidR="008E3F15">
        <w:trPr>
          <w:trHeight w:val="353"/>
        </w:trPr>
        <w:tc>
          <w:tcPr>
            <w:tcW w:w="103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jc w:val="both"/>
            </w:pPr>
            <w:r>
              <w:rPr>
                <w:b/>
              </w:rPr>
              <w:t>Ступень</w:t>
            </w:r>
          </w:p>
        </w:tc>
        <w:tc>
          <w:tcPr>
            <w:tcW w:w="730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rPr>
                <w:b/>
              </w:rPr>
              <w:t>Активность</w:t>
            </w:r>
          </w:p>
        </w:tc>
        <w:tc>
          <w:tcPr>
            <w:tcW w:w="2145" w:type="dxa"/>
            <w:gridSpan w:val="4"/>
            <w:tcBorders>
              <w:top w:val="single" w:sz="6" w:space="0" w:color="000000"/>
              <w:left w:val="nil"/>
              <w:bottom w:val="single" w:sz="6" w:space="0" w:color="000000"/>
              <w:right w:val="single" w:sz="6" w:space="0" w:color="000000"/>
            </w:tcBorders>
          </w:tcPr>
          <w:p w:rsidR="008E3F15" w:rsidRDefault="005F449A">
            <w:pPr>
              <w:spacing w:after="0" w:line="259" w:lineRule="auto"/>
              <w:ind w:left="3" w:right="0" w:firstLine="0"/>
            </w:pPr>
            <w:r>
              <w:rPr>
                <w:b/>
                <w:bdr w:val="single" w:sz="12" w:space="0" w:color="000000"/>
              </w:rPr>
              <w:t>Программа, сут</w:t>
            </w:r>
          </w:p>
        </w:tc>
      </w:tr>
      <w:tr w:rsidR="008E3F15">
        <w:trPr>
          <w:trHeight w:val="548"/>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0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7</w:t>
            </w:r>
          </w:p>
        </w:tc>
        <w:tc>
          <w:tcPr>
            <w:tcW w:w="49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10</w:t>
            </w:r>
          </w:p>
        </w:tc>
        <w:tc>
          <w:tcPr>
            <w:tcW w:w="60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14</w:t>
            </w:r>
          </w:p>
        </w:tc>
        <w:tc>
          <w:tcPr>
            <w:tcW w:w="6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18–</w:t>
            </w:r>
          </w:p>
          <w:p w:rsidR="008E3F15" w:rsidRDefault="005F449A">
            <w:pPr>
              <w:spacing w:after="0" w:line="259" w:lineRule="auto"/>
              <w:ind w:left="6" w:right="0" w:firstLine="0"/>
            </w:pPr>
            <w:r>
              <w:rPr>
                <w:b/>
              </w:rPr>
              <w:t>21</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Ia</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Постельный режим, повороты на бок, приподнятое изголовье 2–3 раза до 10 мин</w:t>
            </w:r>
          </w:p>
        </w:tc>
        <w:tc>
          <w:tcPr>
            <w:tcW w:w="4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1</w:t>
            </w:r>
          </w:p>
        </w:tc>
        <w:tc>
          <w:tcPr>
            <w:tcW w:w="4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1</w:t>
            </w:r>
          </w:p>
        </w:tc>
        <w:tc>
          <w:tcPr>
            <w:tcW w:w="6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w:t>
            </w:r>
          </w:p>
        </w:tc>
        <w:tc>
          <w:tcPr>
            <w:tcW w:w="6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1</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Iб</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Сидеть в кресле до 10–20 мин 2–3 раза, прием пищи сидя, пользоваться прикроватной тумбой</w:t>
            </w:r>
          </w:p>
        </w:tc>
        <w:tc>
          <w:tcPr>
            <w:tcW w:w="4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2</w:t>
            </w:r>
          </w:p>
        </w:tc>
        <w:tc>
          <w:tcPr>
            <w:tcW w:w="4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t>2–3</w:t>
            </w:r>
          </w:p>
        </w:tc>
        <w:tc>
          <w:tcPr>
            <w:tcW w:w="6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2–3</w:t>
            </w:r>
          </w:p>
        </w:tc>
        <w:tc>
          <w:tcPr>
            <w:tcW w:w="6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2–3</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IIа</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Сидеть в кресле большую часть дня, на кресле- каталке в туалет, ходить рядом с кроватью</w:t>
            </w:r>
          </w:p>
        </w:tc>
        <w:tc>
          <w:tcPr>
            <w:tcW w:w="4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jc w:val="both"/>
            </w:pPr>
            <w:r>
              <w:t>3–</w:t>
            </w:r>
          </w:p>
          <w:p w:rsidR="008E3F15" w:rsidRDefault="005F449A">
            <w:pPr>
              <w:spacing w:after="0" w:line="259" w:lineRule="auto"/>
              <w:ind w:left="3" w:right="0" w:firstLine="0"/>
            </w:pPr>
            <w:r>
              <w:t>4</w:t>
            </w:r>
          </w:p>
        </w:tc>
        <w:tc>
          <w:tcPr>
            <w:tcW w:w="4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t>4–6</w:t>
            </w:r>
          </w:p>
        </w:tc>
        <w:tc>
          <w:tcPr>
            <w:tcW w:w="6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4–8</w:t>
            </w:r>
          </w:p>
        </w:tc>
        <w:tc>
          <w:tcPr>
            <w:tcW w:w="6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t>4–10</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IIб</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687" w:firstLine="0"/>
            </w:pPr>
            <w:r>
              <w:t>Ходьба по палате, прием пищи за столом, в общий туалет с сопровождением</w:t>
            </w:r>
          </w:p>
        </w:tc>
        <w:tc>
          <w:tcPr>
            <w:tcW w:w="4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5</w:t>
            </w:r>
          </w:p>
        </w:tc>
        <w:tc>
          <w:tcPr>
            <w:tcW w:w="4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t>7–8</w:t>
            </w:r>
          </w:p>
        </w:tc>
        <w:tc>
          <w:tcPr>
            <w:tcW w:w="6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9–10</w:t>
            </w:r>
          </w:p>
        </w:tc>
        <w:tc>
          <w:tcPr>
            <w:tcW w:w="6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11–</w:t>
            </w:r>
          </w:p>
          <w:p w:rsidR="008E3F15" w:rsidRDefault="005F449A">
            <w:pPr>
              <w:spacing w:after="0" w:line="259" w:lineRule="auto"/>
              <w:ind w:left="6" w:right="0" w:firstLine="0"/>
            </w:pPr>
            <w:r>
              <w:t>12</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III</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893" w:firstLine="0"/>
            </w:pPr>
            <w:r>
              <w:t>Прогулки по коридору под наблюдением 50–200 м в 2– 3 приема, душ, освоение лестницы, общий туалет</w:t>
            </w:r>
          </w:p>
        </w:tc>
        <w:tc>
          <w:tcPr>
            <w:tcW w:w="4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jc w:val="both"/>
            </w:pPr>
            <w:r>
              <w:t>6–</w:t>
            </w:r>
          </w:p>
          <w:p w:rsidR="008E3F15" w:rsidRDefault="005F449A">
            <w:pPr>
              <w:spacing w:after="0" w:line="259" w:lineRule="auto"/>
              <w:ind w:left="3" w:right="0" w:firstLine="0"/>
            </w:pPr>
            <w:r>
              <w:t>7</w:t>
            </w:r>
          </w:p>
        </w:tc>
        <w:tc>
          <w:tcPr>
            <w:tcW w:w="4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9–</w:t>
            </w:r>
          </w:p>
          <w:p w:rsidR="008E3F15" w:rsidRDefault="005F449A">
            <w:pPr>
              <w:spacing w:after="0" w:line="259" w:lineRule="auto"/>
              <w:ind w:left="6" w:right="0" w:firstLine="0"/>
            </w:pPr>
            <w:r>
              <w:t>10</w:t>
            </w:r>
          </w:p>
        </w:tc>
        <w:tc>
          <w:tcPr>
            <w:tcW w:w="6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11–</w:t>
            </w:r>
          </w:p>
          <w:p w:rsidR="008E3F15" w:rsidRDefault="005F449A">
            <w:pPr>
              <w:spacing w:after="0" w:line="259" w:lineRule="auto"/>
              <w:ind w:left="0" w:right="0" w:firstLine="0"/>
            </w:pPr>
            <w:r>
              <w:t>14</w:t>
            </w:r>
          </w:p>
        </w:tc>
        <w:tc>
          <w:tcPr>
            <w:tcW w:w="6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13–</w:t>
            </w:r>
          </w:p>
          <w:p w:rsidR="008E3F15" w:rsidRDefault="005F449A">
            <w:pPr>
              <w:spacing w:after="0" w:line="259" w:lineRule="auto"/>
              <w:ind w:left="6" w:right="0" w:firstLine="0"/>
            </w:pPr>
            <w:r>
              <w:t>18</w:t>
            </w:r>
          </w:p>
        </w:tc>
      </w:tr>
      <w:tr w:rsidR="008E3F15">
        <w:trPr>
          <w:trHeight w:val="570"/>
        </w:trPr>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IV–V</w:t>
            </w:r>
          </w:p>
        </w:tc>
        <w:tc>
          <w:tcPr>
            <w:tcW w:w="73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Прогулки до 2–3 км со скоростью 80–100 ш/мин, велотренажер</w:t>
            </w:r>
          </w:p>
        </w:tc>
        <w:tc>
          <w:tcPr>
            <w:tcW w:w="4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jc w:val="both"/>
            </w:pPr>
            <w:r>
              <w:t>7–</w:t>
            </w:r>
          </w:p>
          <w:p w:rsidR="008E3F15" w:rsidRDefault="005F449A">
            <w:pPr>
              <w:spacing w:after="0" w:line="259" w:lineRule="auto"/>
              <w:ind w:left="3" w:right="0" w:firstLine="0"/>
            </w:pPr>
            <w:r>
              <w:t>8</w:t>
            </w:r>
          </w:p>
        </w:tc>
        <w:tc>
          <w:tcPr>
            <w:tcW w:w="4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7–</w:t>
            </w:r>
          </w:p>
          <w:p w:rsidR="008E3F15" w:rsidRDefault="005F449A">
            <w:pPr>
              <w:spacing w:after="0" w:line="259" w:lineRule="auto"/>
              <w:ind w:left="6" w:right="0" w:firstLine="0"/>
            </w:pPr>
            <w:r>
              <w:t>10</w:t>
            </w:r>
          </w:p>
        </w:tc>
        <w:tc>
          <w:tcPr>
            <w:tcW w:w="6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16–</w:t>
            </w:r>
          </w:p>
          <w:p w:rsidR="008E3F15" w:rsidRDefault="005F449A">
            <w:pPr>
              <w:spacing w:after="0" w:line="259" w:lineRule="auto"/>
              <w:ind w:left="0" w:right="0" w:firstLine="0"/>
            </w:pPr>
            <w:r>
              <w:t>18</w:t>
            </w:r>
          </w:p>
        </w:tc>
        <w:tc>
          <w:tcPr>
            <w:tcW w:w="6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&gt;18</w:t>
            </w:r>
          </w:p>
        </w:tc>
      </w:tr>
    </w:tbl>
    <w:p w:rsidR="008E3F15" w:rsidRDefault="005F449A">
      <w:pPr>
        <w:pStyle w:val="Heading1"/>
        <w:ind w:left="2"/>
      </w:pPr>
      <w:r>
        <w:t>Часть I. Сердечно-сосудистые болезни</w:t>
      </w:r>
    </w:p>
    <w:p w:rsidR="008E3F15" w:rsidRDefault="005F449A">
      <w:pPr>
        <w:spacing w:after="31"/>
        <w:ind w:left="2" w:right="15"/>
      </w:pPr>
      <w:r>
        <w:rPr>
          <w:b/>
        </w:rPr>
        <w:t xml:space="preserve">Таблица 1.12. </w:t>
      </w:r>
      <w:r>
        <w:t>Классификация степени тяжести пациентов с инфарктом мио карда (Российское кардиологическое общество)</w:t>
      </w:r>
    </w:p>
    <w:tbl>
      <w:tblPr>
        <w:tblStyle w:val="TableGrid"/>
        <w:tblW w:w="10485" w:type="dxa"/>
        <w:tblInd w:w="30" w:type="dxa"/>
        <w:tblCellMar>
          <w:top w:w="35" w:type="dxa"/>
          <w:left w:w="45" w:type="dxa"/>
          <w:bottom w:w="0" w:type="dxa"/>
          <w:right w:w="48" w:type="dxa"/>
        </w:tblCellMar>
        <w:tblLook w:val="04A0" w:firstRow="1" w:lastRow="0" w:firstColumn="1" w:lastColumn="0" w:noHBand="0" w:noVBand="1"/>
      </w:tblPr>
      <w:tblGrid>
        <w:gridCol w:w="15"/>
        <w:gridCol w:w="1965"/>
        <w:gridCol w:w="15"/>
        <w:gridCol w:w="8490"/>
        <w:gridCol w:w="15"/>
      </w:tblGrid>
      <w:tr w:rsidR="008E3F15">
        <w:trPr>
          <w:gridAfter w:val="1"/>
          <w:wAfter w:w="15" w:type="dxa"/>
          <w:trHeight w:val="330"/>
        </w:trPr>
        <w:tc>
          <w:tcPr>
            <w:tcW w:w="1980"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
                <w:bdr w:val="single" w:sz="12" w:space="0" w:color="000000"/>
              </w:rPr>
              <w:t>Группы тяжести</w:t>
            </w:r>
          </w:p>
        </w:tc>
        <w:tc>
          <w:tcPr>
            <w:tcW w:w="8505"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Признаки</w:t>
            </w:r>
          </w:p>
        </w:tc>
      </w:tr>
      <w:tr w:rsidR="008E3F15">
        <w:trPr>
          <w:gridAfter w:val="1"/>
          <w:wAfter w:w="15" w:type="dxa"/>
          <w:trHeight w:val="1530"/>
        </w:trPr>
        <w:tc>
          <w:tcPr>
            <w:tcW w:w="1980" w:type="dxa"/>
            <w:gridSpan w:val="2"/>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Первая (легкая)</w:t>
            </w:r>
          </w:p>
        </w:tc>
        <w:tc>
          <w:tcPr>
            <w:tcW w:w="8505" w:type="dxa"/>
            <w:gridSpan w:val="2"/>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30" w:right="0" w:firstLine="0"/>
            </w:pPr>
            <w:r>
              <w:rPr>
                <w:rFonts w:ascii="Calibri" w:eastAsia="Calibri" w:hAnsi="Calibri" w:cs="Calibri"/>
                <w:noProof/>
                <w:color w:val="000000"/>
                <w:sz w:val="22"/>
              </w:rPr>
              <mc:AlternateContent>
                <mc:Choice Requires="wpg">
                  <w:drawing>
                    <wp:anchor distT="0" distB="0" distL="114300" distR="114300" simplePos="0" relativeHeight="251676672" behindDoc="0" locked="0" layoutInCell="1" allowOverlap="1">
                      <wp:simplePos x="0" y="0"/>
                      <wp:positionH relativeFrom="column">
                        <wp:posOffset>238125</wp:posOffset>
                      </wp:positionH>
                      <wp:positionV relativeFrom="paragraph">
                        <wp:posOffset>34776</wp:posOffset>
                      </wp:positionV>
                      <wp:extent cx="57150" cy="514350"/>
                      <wp:effectExtent l="0" t="0" r="0" b="0"/>
                      <wp:wrapSquare wrapText="bothSides"/>
                      <wp:docPr id="271357" name="Group 271357"/>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652" name="Shape 2652"/>
                              <wps:cNvSpPr/>
                              <wps:spPr>
                                <a:xfrm>
                                  <a:off x="0" y="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38"/>
                                        <a:pt x="53525" y="14139"/>
                                        <a:pt x="54975" y="17611"/>
                                      </a:cubicBezTo>
                                      <a:cubicBezTo>
                                        <a:pt x="56425" y="21134"/>
                                        <a:pt x="57150" y="24780"/>
                                        <a:pt x="57150" y="28575"/>
                                      </a:cubicBezTo>
                                      <a:cubicBezTo>
                                        <a:pt x="57150" y="32345"/>
                                        <a:pt x="56425" y="35967"/>
                                        <a:pt x="54975" y="39464"/>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67"/>
                                        <a:pt x="0" y="32345"/>
                                        <a:pt x="0" y="28575"/>
                                      </a:cubicBezTo>
                                      <a:cubicBezTo>
                                        <a:pt x="0" y="24780"/>
                                        <a:pt x="725" y="21134"/>
                                        <a:pt x="2175" y="17611"/>
                                      </a:cubicBezTo>
                                      <a:cubicBezTo>
                                        <a:pt x="3625" y="14139"/>
                                        <a:pt x="5690" y="11038"/>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654" name="Shape 2654"/>
                              <wps:cNvSpPr/>
                              <wps:spPr>
                                <a:xfrm>
                                  <a:off x="0" y="1524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67"/>
                                      </a:cubicBezTo>
                                      <a:cubicBezTo>
                                        <a:pt x="36009" y="56406"/>
                                        <a:pt x="32364" y="57150"/>
                                        <a:pt x="28575" y="57150"/>
                                      </a:cubicBezTo>
                                      <a:cubicBezTo>
                                        <a:pt x="24786" y="57150"/>
                                        <a:pt x="21141" y="56406"/>
                                        <a:pt x="17640" y="54942"/>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656" name="Shape 2656"/>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42"/>
                                      </a:cubicBezTo>
                                      <a:cubicBezTo>
                                        <a:pt x="36009" y="56406"/>
                                        <a:pt x="32364" y="57150"/>
                                        <a:pt x="28575" y="57150"/>
                                      </a:cubicBezTo>
                                      <a:cubicBezTo>
                                        <a:pt x="24786" y="57150"/>
                                        <a:pt x="21141" y="56406"/>
                                        <a:pt x="17640" y="54918"/>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658" name="Shape 2658"/>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6016"/>
                                        <a:pt x="54975" y="39514"/>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514"/>
                                      </a:cubicBezTo>
                                      <a:cubicBezTo>
                                        <a:pt x="725" y="36016"/>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357" style="width:4.50002pt;height:40.5pt;position:absolute;mso-position-horizontal-relative:text;mso-position-horizontal:absolute;margin-left:18.75pt;mso-position-vertical-relative:text;margin-top:2.73828pt;" coordsize="571,5143">
                      <v:shape id="Shape 2652" style="position:absolute;width:571;height:571;left:0;top:0;" coordsize="57150,57150" path="m28575,0c32364,0,36009,744,39510,2158c43011,3597,46101,5655,48781,8359c51460,11038,53525,14139,54975,17611c56425,21134,57150,24780,57150,28575c57150,32345,56425,35967,54975,39464c53525,42987,51460,46062,48781,48766c46101,51420,43011,53504,39510,54967c36009,56406,32364,57150,28575,57150c24786,57150,21141,56406,17640,54942c14139,53504,11049,51420,8369,48766c5690,46062,3625,42987,2175,39489c725,35967,0,32345,0,28575c0,24780,725,21134,2175,17611c3625,14139,5690,11038,8369,8359c11049,5655,14139,3597,17640,2158c21141,744,24786,0,28575,0x">
                        <v:stroke weight="0pt" endcap="flat" joinstyle="miter" miterlimit="4" on="false" color="#000000" opacity="0"/>
                        <v:fill on="true" color="#333333"/>
                      </v:shape>
                      <v:shape id="Shape 2654" style="position:absolute;width:571;height:571;left:0;top:1524;" coordsize="57150,57150" path="m28575,0c32364,0,36009,744,39510,2158c43011,3597,46101,5655,48781,8359c51460,11013,53525,14114,54975,17636c56425,21134,57150,24780,57150,28575c57150,32370,56425,35992,54975,39489c53525,43011,51460,46087,48781,48766c46101,51420,43011,53504,39510,54967c36009,56406,32364,57150,28575,57150c24786,57150,21141,56406,17640,54942c14139,53504,11049,51420,8369,48766c5690,46087,3625,43011,2175,39489c725,35992,0,32370,0,28575c0,24780,725,21134,2175,17636c3625,14114,5690,11013,8369,8359c11049,5655,14139,3597,17640,2158c21141,744,24786,0,28575,0x">
                        <v:stroke weight="0pt" endcap="flat" joinstyle="miter" miterlimit="4" on="false" color="#000000" opacity="0"/>
                        <v:fill on="true" color="#333333"/>
                      </v:shape>
                      <v:shape id="Shape 2656" style="position:absolute;width:571;height:571;left:0;top:3048;" coordsize="57150,57150" path="m28575,0c32364,0,36009,719,39510,2158c43011,3597,46101,5655,48781,8359c51460,11013,53525,14114,54975,17611c56425,21134,57150,24780,57150,28575c57150,32370,56425,35992,54975,39489c53525,43011,51460,46087,48781,48766c46101,51420,43011,53504,39510,54942c36009,56406,32364,57150,28575,57150c24786,57150,21141,56406,17640,54918c14139,53504,11049,51420,8369,48766c5690,46087,3625,43011,2175,39489c725,35992,0,32370,0,28575c0,24780,725,21134,2175,17611c3625,14114,5690,11013,8369,8359c11049,5655,14139,3597,17640,2158c21141,719,24786,0,28575,0x">
                        <v:stroke weight="0pt" endcap="flat" joinstyle="miter" miterlimit="4" on="false" color="#000000" opacity="0"/>
                        <v:fill on="true" color="#333333"/>
                      </v:shape>
                      <v:shape id="Shape 2658" style="position:absolute;width:571;height:571;left:0;top:4572;" coordsize="57150,57150" path="m28575,0c32364,0,36009,719,39510,2158c43011,3621,46101,5680,48781,8359c51460,11013,53525,14114,54975,17636c56425,21134,57150,24780,57150,28575c57150,32370,56425,36016,54975,39514c53525,42987,51460,46062,48781,48766c46101,51445,43011,53504,39510,54942c36009,56406,32364,57150,28575,57150c24786,57150,21141,56406,17640,54942c14139,53504,11049,51445,8369,48766c5690,46062,3625,42987,2175,39514c725,36016,0,32370,0,28575c0,24780,725,21134,2175,17636c3625,14114,5690,11013,8369,8359c11049,5680,14139,3621,17640,2158c21141,744,24786,0,28575,0x">
                        <v:stroke weight="0pt" endcap="flat" joinstyle="miter" miterlimit="4" on="false" color="#000000" opacity="0"/>
                        <v:fill on="true" color="#333333"/>
                      </v:shape>
                      <w10:wrap type="square"/>
                    </v:group>
                  </w:pict>
                </mc:Fallback>
              </mc:AlternateContent>
            </w:r>
            <w:r>
              <w:t>Нет признаков СН.</w:t>
            </w:r>
          </w:p>
          <w:p w:rsidR="008E3F15" w:rsidRDefault="005F449A">
            <w:pPr>
              <w:spacing w:after="0" w:line="259" w:lineRule="auto"/>
              <w:ind w:left="330" w:right="0" w:firstLine="0"/>
            </w:pPr>
            <w:r>
              <w:t>Нет симптомов ишемии мио карда и СК.</w:t>
            </w:r>
          </w:p>
          <w:p w:rsidR="008E3F15" w:rsidRDefault="005F449A">
            <w:pPr>
              <w:spacing w:after="0" w:line="259" w:lineRule="auto"/>
              <w:ind w:left="330" w:right="0" w:firstLine="0"/>
            </w:pPr>
            <w:r>
              <w:t>Нет сложных нарушений ритма и проводимости сердца.</w:t>
            </w:r>
          </w:p>
          <w:p w:rsidR="008E3F15" w:rsidRDefault="005F449A">
            <w:pPr>
              <w:spacing w:after="0" w:line="259" w:lineRule="auto"/>
              <w:ind w:left="330" w:right="0" w:firstLine="0"/>
            </w:pPr>
            <w:r>
              <w:t>Адекватная реакция при расширении режима</w:t>
            </w:r>
          </w:p>
        </w:tc>
      </w:tr>
      <w:tr w:rsidR="008E3F15">
        <w:trPr>
          <w:gridAfter w:val="1"/>
          <w:wAfter w:w="15" w:type="dxa"/>
          <w:trHeight w:val="1276"/>
        </w:trPr>
        <w:tc>
          <w:tcPr>
            <w:tcW w:w="1980" w:type="dxa"/>
            <w:gridSpan w:val="2"/>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pPr>
            <w:r>
              <w:t>Вторая (средней тяжести)</w:t>
            </w:r>
          </w:p>
        </w:tc>
        <w:tc>
          <w:tcPr>
            <w:tcW w:w="8505" w:type="dxa"/>
            <w:gridSpan w:val="2"/>
            <w:tcBorders>
              <w:top w:val="double" w:sz="6" w:space="0" w:color="000000"/>
              <w:left w:val="double" w:sz="6" w:space="0" w:color="000000"/>
              <w:bottom w:val="nil"/>
              <w:right w:val="double" w:sz="6" w:space="0" w:color="000000"/>
            </w:tcBorders>
            <w:vAlign w:val="bottom"/>
          </w:tcPr>
          <w:p w:rsidR="008E3F15" w:rsidRDefault="005F449A">
            <w:pPr>
              <w:spacing w:after="0" w:line="259" w:lineRule="auto"/>
              <w:ind w:left="330" w:right="0" w:firstLine="0"/>
            </w:pPr>
            <w:r>
              <w:rPr>
                <w:rFonts w:ascii="Calibri" w:eastAsia="Calibri" w:hAnsi="Calibri" w:cs="Calibri"/>
                <w:noProof/>
                <w:color w:val="000000"/>
                <w:sz w:val="22"/>
              </w:rPr>
              <mc:AlternateContent>
                <mc:Choice Requires="wpg">
                  <w:drawing>
                    <wp:anchor distT="0" distB="0" distL="114300" distR="114300" simplePos="0" relativeHeight="251677696" behindDoc="0" locked="0" layoutInCell="1" allowOverlap="1">
                      <wp:simplePos x="0" y="0"/>
                      <wp:positionH relativeFrom="column">
                        <wp:posOffset>238125</wp:posOffset>
                      </wp:positionH>
                      <wp:positionV relativeFrom="paragraph">
                        <wp:posOffset>34776</wp:posOffset>
                      </wp:positionV>
                      <wp:extent cx="57150" cy="514350"/>
                      <wp:effectExtent l="0" t="0" r="0" b="0"/>
                      <wp:wrapSquare wrapText="bothSides"/>
                      <wp:docPr id="271485" name="Group 271485"/>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662" name="Shape 2662"/>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42"/>
                                      </a:cubicBezTo>
                                      <a:cubicBezTo>
                                        <a:pt x="36009" y="56406"/>
                                        <a:pt x="32364" y="57150"/>
                                        <a:pt x="28575" y="57150"/>
                                      </a:cubicBezTo>
                                      <a:cubicBezTo>
                                        <a:pt x="24786" y="57150"/>
                                        <a:pt x="21141" y="56406"/>
                                        <a:pt x="17640" y="54918"/>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664" name="Shape 2664"/>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489"/>
                                      </a:cubicBezTo>
                                      <a:cubicBezTo>
                                        <a:pt x="725" y="35992"/>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667" name="Shape 2667"/>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72"/>
                                        <a:pt x="46101" y="5655"/>
                                        <a:pt x="48781" y="8334"/>
                                      </a:cubicBezTo>
                                      <a:cubicBezTo>
                                        <a:pt x="51460" y="11013"/>
                                        <a:pt x="53525" y="14114"/>
                                        <a:pt x="54975" y="17611"/>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11"/>
                                      </a:cubicBezTo>
                                      <a:cubicBezTo>
                                        <a:pt x="3625" y="14114"/>
                                        <a:pt x="5690" y="11013"/>
                                        <a:pt x="8369" y="8334"/>
                                      </a:cubicBezTo>
                                      <a:cubicBezTo>
                                        <a:pt x="11049" y="5655"/>
                                        <a:pt x="14139" y="3572"/>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485" style="width:4.50002pt;height:40.5pt;position:absolute;mso-position-horizontal-relative:text;mso-position-horizontal:absolute;margin-left:18.75pt;mso-position-vertical-relative:text;margin-top:2.73828pt;" coordsize="571,5143">
                      <v:shape id="Shape 2662" style="position:absolute;width:571;height:571;left:0;top:0;" coordsize="57150,57150" path="m28575,0c32364,0,36009,719,39510,2158c43011,3597,46101,5655,48781,8359c51460,11013,53525,14114,54975,17636c56425,21134,57150,24780,57150,28575c57150,32370,56425,35992,54975,39489c53525,43011,51460,46087,48781,48766c46101,51420,43011,53504,39510,54942c36009,56406,32364,57150,28575,57150c24786,57150,21141,56406,17640,54918c14139,53504,11049,51420,8369,48766c5690,46087,3625,43011,2175,39489c725,35992,0,32370,0,28575c0,24780,725,21134,2175,17636c3625,14114,5690,11013,8369,8359c11049,5655,14139,3597,17640,2158c21141,719,24786,0,28575,0x">
                        <v:stroke weight="0pt" endcap="flat" joinstyle="miter" miterlimit="4" on="false" color="#000000" opacity="0"/>
                        <v:fill on="true" color="#333333"/>
                      </v:shape>
                      <v:shape id="Shape 2664" style="position:absolute;width:571;height:571;left:0;top:1524;" coordsize="57150,57150" path="m28575,0c32364,0,36009,719,39510,2158c43011,3621,46101,5680,48781,8359c51460,11013,53525,14114,54975,17636c56425,21134,57150,24780,57150,28575c57150,32370,56425,35992,54975,39489c53525,42987,51460,46062,48781,48766c46101,51445,43011,53504,39510,54942c36009,56406,32364,57150,28575,57150c24786,57150,21141,56406,17640,54942c14139,53504,11049,51445,8369,48766c5690,46062,3625,42987,2175,39489c725,35992,0,32370,0,28575c0,24780,725,21134,2175,17636c3625,14114,5690,11013,8369,8359c11049,5680,14139,3621,17640,2158c21141,744,24786,0,28575,0x">
                        <v:stroke weight="0pt" endcap="flat" joinstyle="miter" miterlimit="4" on="false" color="#000000" opacity="0"/>
                        <v:fill on="true" color="#333333"/>
                      </v:shape>
                      <v:shape id="Shape 2667" style="position:absolute;width:571;height:571;left:0;top:4572;" coordsize="57150,57150" path="m28575,0c32364,0,36009,719,39510,2158c43011,3572,46101,5655,48781,8334c51460,11013,53525,14114,54975,17611c56425,21134,57150,24780,57150,28575c57150,32370,56425,35992,54975,39489c53525,42987,51460,46062,48781,48766c46101,51420,43011,53504,39510,54967c36009,56406,32364,57150,28575,57150c24786,57150,21141,56406,17640,54967c14139,53504,11049,51420,8369,48766c5690,46062,3625,42987,2175,39489c725,35992,0,32370,0,28575c0,24780,725,21134,2175,17611c3625,14114,5690,11013,8369,8334c11049,5655,14139,3572,17640,2158c21141,719,24786,0,28575,0x">
                        <v:stroke weight="0pt" endcap="flat" joinstyle="miter" miterlimit="4" on="false" color="#000000" opacity="0"/>
                        <v:fill on="true" color="#333333"/>
                      </v:shape>
                      <w10:wrap type="square"/>
                    </v:group>
                  </w:pict>
                </mc:Fallback>
              </mc:AlternateContent>
            </w:r>
            <w:r>
              <w:t>СН II класса по Killip.</w:t>
            </w:r>
          </w:p>
          <w:p w:rsidR="008E3F15" w:rsidRDefault="005F449A">
            <w:pPr>
              <w:spacing w:after="0" w:line="216" w:lineRule="auto"/>
              <w:ind w:left="330" w:right="0" w:firstLine="0"/>
            </w:pPr>
            <w:r>
              <w:t>СК или признаки ишемии мио карда на ЭКГ при значительной физической нагрузке [I–II функциональный класс (ФК)].</w:t>
            </w:r>
          </w:p>
          <w:p w:rsidR="008E3F15" w:rsidRDefault="005F449A">
            <w:pPr>
              <w:spacing w:after="0" w:line="259" w:lineRule="auto"/>
              <w:ind w:left="330" w:right="0" w:firstLine="0"/>
            </w:pPr>
            <w:r>
              <w:t>АВ-блокада 2–3-й степени при нижнем ИМ.</w:t>
            </w:r>
          </w:p>
        </w:tc>
      </w:tr>
      <w:tr w:rsidR="008E3F15">
        <w:trPr>
          <w:gridBefore w:val="1"/>
          <w:wBefore w:w="15" w:type="dxa"/>
          <w:trHeight w:val="2445"/>
        </w:trPr>
        <w:tc>
          <w:tcPr>
            <w:tcW w:w="1980" w:type="dxa"/>
            <w:gridSpan w:val="2"/>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8505" w:type="dxa"/>
            <w:gridSpan w:val="2"/>
            <w:tcBorders>
              <w:top w:val="nil"/>
              <w:left w:val="double" w:sz="6" w:space="0" w:color="000000"/>
              <w:bottom w:val="double" w:sz="6" w:space="0" w:color="000000"/>
              <w:right w:val="double" w:sz="6" w:space="0" w:color="000000"/>
            </w:tcBorders>
          </w:tcPr>
          <w:p w:rsidR="008E3F15" w:rsidRDefault="005F449A">
            <w:pPr>
              <w:spacing w:after="0" w:line="216" w:lineRule="auto"/>
              <w:ind w:left="330" w:right="0" w:firstLine="0"/>
            </w:pPr>
            <w:r>
              <w:rPr>
                <w:rFonts w:ascii="Calibri" w:eastAsia="Calibri" w:hAnsi="Calibri" w:cs="Calibri"/>
                <w:noProof/>
                <w:color w:val="000000"/>
                <w:sz w:val="22"/>
              </w:rPr>
              <mc:AlternateContent>
                <mc:Choice Requires="wpg">
                  <w:drawing>
                    <wp:anchor distT="0" distB="0" distL="114300" distR="114300" simplePos="0" relativeHeight="251678720" behindDoc="0" locked="0" layoutInCell="1" allowOverlap="1">
                      <wp:simplePos x="0" y="0"/>
                      <wp:positionH relativeFrom="column">
                        <wp:posOffset>238125</wp:posOffset>
                      </wp:positionH>
                      <wp:positionV relativeFrom="paragraph">
                        <wp:posOffset>34776</wp:posOffset>
                      </wp:positionV>
                      <wp:extent cx="57150" cy="1276350"/>
                      <wp:effectExtent l="0" t="0" r="0" b="0"/>
                      <wp:wrapSquare wrapText="bothSides"/>
                      <wp:docPr id="258694" name="Group 258694"/>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2741" name="Shape 2741"/>
                              <wps:cNvSpPr/>
                              <wps:spPr>
                                <a:xfrm>
                                  <a:off x="0" y="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6016"/>
                                        <a:pt x="54975" y="39489"/>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489"/>
                                      </a:cubicBezTo>
                                      <a:cubicBezTo>
                                        <a:pt x="725" y="36016"/>
                                        <a:pt x="0" y="32370"/>
                                        <a:pt x="0" y="28575"/>
                                      </a:cubicBezTo>
                                      <a:cubicBezTo>
                                        <a:pt x="0" y="24780"/>
                                        <a:pt x="725" y="21134"/>
                                        <a:pt x="2175" y="17636"/>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44" name="Shape 2744"/>
                              <wps:cNvSpPr/>
                              <wps:spPr>
                                <a:xfrm>
                                  <a:off x="0" y="304800"/>
                                  <a:ext cx="57150" cy="57150"/>
                                </a:xfrm>
                                <a:custGeom>
                                  <a:avLst/>
                                  <a:gdLst/>
                                  <a:ahLst/>
                                  <a:cxnLst/>
                                  <a:rect l="0" t="0" r="0" b="0"/>
                                  <a:pathLst>
                                    <a:path w="57150" h="57150">
                                      <a:moveTo>
                                        <a:pt x="28575" y="0"/>
                                      </a:moveTo>
                                      <a:cubicBezTo>
                                        <a:pt x="32364" y="0"/>
                                        <a:pt x="36009" y="744"/>
                                        <a:pt x="39510" y="2158"/>
                                      </a:cubicBezTo>
                                      <a:cubicBezTo>
                                        <a:pt x="43011" y="3597"/>
                                        <a:pt x="46101" y="5655"/>
                                        <a:pt x="48781" y="8334"/>
                                      </a:cubicBezTo>
                                      <a:cubicBezTo>
                                        <a:pt x="51460" y="11013"/>
                                        <a:pt x="53525" y="14114"/>
                                        <a:pt x="54975" y="17611"/>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67"/>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11"/>
                                      </a:cubicBezTo>
                                      <a:cubicBezTo>
                                        <a:pt x="3625" y="14114"/>
                                        <a:pt x="5690" y="11013"/>
                                        <a:pt x="8369" y="8334"/>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46" name="Shape 2746"/>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48" name="Shape 2748"/>
                              <wps:cNvSpPr/>
                              <wps:spPr>
                                <a:xfrm>
                                  <a:off x="0" y="609600"/>
                                  <a:ext cx="57150" cy="57150"/>
                                </a:xfrm>
                                <a:custGeom>
                                  <a:avLst/>
                                  <a:gdLst/>
                                  <a:ahLst/>
                                  <a:cxnLst/>
                                  <a:rect l="0" t="0" r="0" b="0"/>
                                  <a:pathLst>
                                    <a:path w="57150" h="57150">
                                      <a:moveTo>
                                        <a:pt x="28575" y="0"/>
                                      </a:moveTo>
                                      <a:cubicBezTo>
                                        <a:pt x="32364" y="0"/>
                                        <a:pt x="36009" y="744"/>
                                        <a:pt x="39510" y="2158"/>
                                      </a:cubicBezTo>
                                      <a:cubicBezTo>
                                        <a:pt x="43011" y="3621"/>
                                        <a:pt x="46101" y="5680"/>
                                        <a:pt x="48781" y="8384"/>
                                      </a:cubicBezTo>
                                      <a:cubicBezTo>
                                        <a:pt x="51460" y="11038"/>
                                        <a:pt x="53525" y="14139"/>
                                        <a:pt x="54975" y="17636"/>
                                      </a:cubicBezTo>
                                      <a:cubicBezTo>
                                        <a:pt x="56425" y="21134"/>
                                        <a:pt x="57150" y="24780"/>
                                        <a:pt x="57150" y="28575"/>
                                      </a:cubicBezTo>
                                      <a:cubicBezTo>
                                        <a:pt x="57150" y="32370"/>
                                        <a:pt x="56425" y="35992"/>
                                        <a:pt x="54975" y="39514"/>
                                      </a:cubicBezTo>
                                      <a:cubicBezTo>
                                        <a:pt x="53525" y="43011"/>
                                        <a:pt x="51460" y="46087"/>
                                        <a:pt x="48781" y="48791"/>
                                      </a:cubicBezTo>
                                      <a:cubicBezTo>
                                        <a:pt x="46101" y="51470"/>
                                        <a:pt x="43011" y="53529"/>
                                        <a:pt x="39510" y="54967"/>
                                      </a:cubicBezTo>
                                      <a:cubicBezTo>
                                        <a:pt x="36009" y="56406"/>
                                        <a:pt x="32364" y="57150"/>
                                        <a:pt x="28575" y="57150"/>
                                      </a:cubicBezTo>
                                      <a:cubicBezTo>
                                        <a:pt x="24786" y="57150"/>
                                        <a:pt x="21141" y="56406"/>
                                        <a:pt x="17640" y="54967"/>
                                      </a:cubicBezTo>
                                      <a:cubicBezTo>
                                        <a:pt x="14139" y="53529"/>
                                        <a:pt x="11049" y="51470"/>
                                        <a:pt x="8369" y="48791"/>
                                      </a:cubicBezTo>
                                      <a:cubicBezTo>
                                        <a:pt x="5690" y="46087"/>
                                        <a:pt x="3625" y="43011"/>
                                        <a:pt x="2175" y="39514"/>
                                      </a:cubicBezTo>
                                      <a:cubicBezTo>
                                        <a:pt x="725" y="35992"/>
                                        <a:pt x="0" y="32370"/>
                                        <a:pt x="0" y="28575"/>
                                      </a:cubicBezTo>
                                      <a:cubicBezTo>
                                        <a:pt x="0" y="24780"/>
                                        <a:pt x="725" y="21134"/>
                                        <a:pt x="2175" y="17636"/>
                                      </a:cubicBezTo>
                                      <a:cubicBezTo>
                                        <a:pt x="3625" y="14139"/>
                                        <a:pt x="5690" y="11038"/>
                                        <a:pt x="8369" y="8384"/>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50" name="Shape 2750"/>
                              <wps:cNvSpPr/>
                              <wps:spPr>
                                <a:xfrm>
                                  <a:off x="0" y="7620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38"/>
                                        <a:pt x="53525" y="14139"/>
                                        <a:pt x="54975" y="17636"/>
                                      </a:cubicBezTo>
                                      <a:cubicBezTo>
                                        <a:pt x="56425" y="21134"/>
                                        <a:pt x="57150" y="24780"/>
                                        <a:pt x="57150" y="28575"/>
                                      </a:cubicBezTo>
                                      <a:cubicBezTo>
                                        <a:pt x="57150" y="32370"/>
                                        <a:pt x="56425" y="36016"/>
                                        <a:pt x="54975" y="39489"/>
                                      </a:cubicBezTo>
                                      <a:cubicBezTo>
                                        <a:pt x="53525" y="43011"/>
                                        <a:pt x="51460" y="46087"/>
                                        <a:pt x="48781" y="48791"/>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69" y="48791"/>
                                      </a:cubicBezTo>
                                      <a:cubicBezTo>
                                        <a:pt x="5690" y="46087"/>
                                        <a:pt x="3625" y="43011"/>
                                        <a:pt x="2175" y="39489"/>
                                      </a:cubicBezTo>
                                      <a:cubicBezTo>
                                        <a:pt x="725" y="36016"/>
                                        <a:pt x="0" y="32370"/>
                                        <a:pt x="0" y="28575"/>
                                      </a:cubicBezTo>
                                      <a:cubicBezTo>
                                        <a:pt x="0" y="24780"/>
                                        <a:pt x="725" y="21134"/>
                                        <a:pt x="2175" y="17636"/>
                                      </a:cubicBezTo>
                                      <a:cubicBezTo>
                                        <a:pt x="3625" y="14139"/>
                                        <a:pt x="5690" y="11038"/>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53" name="Shape 2753"/>
                              <wps:cNvSpPr/>
                              <wps:spPr>
                                <a:xfrm>
                                  <a:off x="0" y="10668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11"/>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67"/>
                                      </a:cubicBezTo>
                                      <a:cubicBezTo>
                                        <a:pt x="36009" y="56406"/>
                                        <a:pt x="32364" y="57150"/>
                                        <a:pt x="28575" y="57150"/>
                                      </a:cubicBezTo>
                                      <a:cubicBezTo>
                                        <a:pt x="24786" y="57150"/>
                                        <a:pt x="21141" y="56406"/>
                                        <a:pt x="17640" y="54942"/>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11"/>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55" name="Shape 2755"/>
                              <wps:cNvSpPr/>
                              <wps:spPr>
                                <a:xfrm>
                                  <a:off x="0" y="1219200"/>
                                  <a:ext cx="57150" cy="57150"/>
                                </a:xfrm>
                                <a:custGeom>
                                  <a:avLst/>
                                  <a:gdLst/>
                                  <a:ahLst/>
                                  <a:cxnLst/>
                                  <a:rect l="0" t="0" r="0" b="0"/>
                                  <a:pathLst>
                                    <a:path w="57150" h="57150">
                                      <a:moveTo>
                                        <a:pt x="28575" y="0"/>
                                      </a:moveTo>
                                      <a:cubicBezTo>
                                        <a:pt x="32364" y="0"/>
                                        <a:pt x="36009" y="719"/>
                                        <a:pt x="39510" y="2158"/>
                                      </a:cubicBezTo>
                                      <a:cubicBezTo>
                                        <a:pt x="43011" y="3597"/>
                                        <a:pt x="46101" y="5655"/>
                                        <a:pt x="48781" y="8334"/>
                                      </a:cubicBezTo>
                                      <a:cubicBezTo>
                                        <a:pt x="51460" y="11013"/>
                                        <a:pt x="53525" y="14089"/>
                                        <a:pt x="54975" y="17611"/>
                                      </a:cubicBezTo>
                                      <a:cubicBezTo>
                                        <a:pt x="56425" y="21134"/>
                                        <a:pt x="57150" y="24780"/>
                                        <a:pt x="57150" y="28575"/>
                                      </a:cubicBezTo>
                                      <a:cubicBezTo>
                                        <a:pt x="57150" y="32370"/>
                                        <a:pt x="56425" y="35992"/>
                                        <a:pt x="54975" y="39489"/>
                                      </a:cubicBezTo>
                                      <a:cubicBezTo>
                                        <a:pt x="53525" y="42962"/>
                                        <a:pt x="51460" y="46062"/>
                                        <a:pt x="48781" y="48741"/>
                                      </a:cubicBezTo>
                                      <a:cubicBezTo>
                                        <a:pt x="46101" y="51420"/>
                                        <a:pt x="43011" y="53479"/>
                                        <a:pt x="39510" y="54942"/>
                                      </a:cubicBezTo>
                                      <a:cubicBezTo>
                                        <a:pt x="36009" y="56406"/>
                                        <a:pt x="32364" y="57150"/>
                                        <a:pt x="28575" y="57150"/>
                                      </a:cubicBezTo>
                                      <a:cubicBezTo>
                                        <a:pt x="24786" y="57150"/>
                                        <a:pt x="21141" y="56406"/>
                                        <a:pt x="17640" y="54918"/>
                                      </a:cubicBezTo>
                                      <a:cubicBezTo>
                                        <a:pt x="14139" y="53479"/>
                                        <a:pt x="11049" y="51420"/>
                                        <a:pt x="8369" y="48741"/>
                                      </a:cubicBezTo>
                                      <a:cubicBezTo>
                                        <a:pt x="5690" y="46062"/>
                                        <a:pt x="3625" y="42962"/>
                                        <a:pt x="2175" y="39489"/>
                                      </a:cubicBezTo>
                                      <a:cubicBezTo>
                                        <a:pt x="725" y="35992"/>
                                        <a:pt x="0" y="32370"/>
                                        <a:pt x="0" y="28575"/>
                                      </a:cubicBezTo>
                                      <a:cubicBezTo>
                                        <a:pt x="0" y="24780"/>
                                        <a:pt x="725" y="21134"/>
                                        <a:pt x="2175" y="17611"/>
                                      </a:cubicBezTo>
                                      <a:cubicBezTo>
                                        <a:pt x="3625" y="14089"/>
                                        <a:pt x="5690" y="11013"/>
                                        <a:pt x="8369" y="8334"/>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8694" style="width:4.50002pt;height:100.5pt;position:absolute;mso-position-horizontal-relative:text;mso-position-horizontal:absolute;margin-left:18.75pt;mso-position-vertical-relative:text;margin-top:2.73828pt;" coordsize="571,12763">
                      <v:shape id="Shape 2741" style="position:absolute;width:571;height:571;left:0;top:0;" coordsize="57150,57150" path="m28575,0c32364,0,36009,719,39510,2158c43011,3621,46101,5680,48781,8359c51460,11013,53525,14114,54975,17636c56425,21134,57150,24780,57150,28575c57150,32370,56425,36016,54975,39489c53525,42987,51460,46062,48781,48766c46101,51445,43011,53504,39510,54942c36009,56406,32364,57150,28575,57150c24786,57150,21141,56406,17640,54942c14139,53504,11049,51445,8369,48766c5690,46062,3625,42987,2175,39489c725,36016,0,32370,0,28575c0,24780,725,21134,2175,17636c3625,14114,5690,11013,8369,8359c11049,5680,14139,3621,17640,2158c21141,744,24786,0,28575,0x">
                        <v:stroke weight="0pt" endcap="flat" joinstyle="miter" miterlimit="4" on="false" color="#000000" opacity="0"/>
                        <v:fill on="true" color="#333333"/>
                      </v:shape>
                      <v:shape id="Shape 2744" style="position:absolute;width:571;height:571;left:0;top:3048;" coordsize="57150,57150" path="m28575,0c32364,0,36009,744,39510,2158c43011,3597,46101,5655,48781,8334c51460,11013,53525,14114,54975,17611c56425,21134,57150,24780,57150,28575c57150,32370,56425,35992,54975,39489c53525,42987,51460,46062,48781,48766c46101,51420,43011,53504,39510,54967c36009,56406,32364,57150,28575,57150c24786,57150,21141,56406,17640,54967c14139,53504,11049,51420,8369,48766c5690,46062,3625,42987,2175,39489c725,35992,0,32370,0,28575c0,24780,725,21134,2175,17611c3625,14114,5690,11013,8369,8334c11049,5655,14139,3597,17640,2158c21141,744,24786,0,28575,0x">
                        <v:stroke weight="0pt" endcap="flat" joinstyle="miter" miterlimit="4" on="false" color="#000000" opacity="0"/>
                        <v:fill on="true" color="#333333"/>
                      </v:shape>
                      <v:shape id="Shape 2746" style="position:absolute;width:571;height:571;left:0;top:4572;" coordsize="57150,57150" path="m28575,0c32364,0,36009,719,39510,2158c43011,3621,46101,5680,48781,8359c51460,11013,53525,14114,54975,17636c56425,21134,57150,24780,57150,28575c57150,32370,56425,35992,54975,39489c53525,42987,51460,46062,48781,48766c46101,51420,43011,53504,39510,54942c36009,56406,32364,57150,28575,57150c24786,57150,21141,56406,17640,54942c14139,53504,11049,51420,8369,48766c5690,46062,3625,42987,2175,39489c725,35992,0,32370,0,28575c0,24780,725,21134,2175,17611c3625,14114,5690,11013,8369,8359c11049,5680,14139,3621,17640,2158c21141,719,24786,0,28575,0x">
                        <v:stroke weight="0pt" endcap="flat" joinstyle="miter" miterlimit="4" on="false" color="#000000" opacity="0"/>
                        <v:fill on="true" color="#333333"/>
                      </v:shape>
                      <v:shape id="Shape 2748" style="position:absolute;width:571;height:571;left:0;top:6096;" coordsize="57150,57150" path="m28575,0c32364,0,36009,744,39510,2158c43011,3621,46101,5680,48781,8384c51460,11038,53525,14139,54975,17636c56425,21134,57150,24780,57150,28575c57150,32370,56425,35992,54975,39514c53525,43011,51460,46087,48781,48791c46101,51470,43011,53529,39510,54967c36009,56406,32364,57150,28575,57150c24786,57150,21141,56406,17640,54967c14139,53529,11049,51470,8369,48791c5690,46087,3625,43011,2175,39514c725,35992,0,32370,0,28575c0,24780,725,21134,2175,17636c3625,14139,5690,11038,8369,8384c11049,5680,14139,3621,17640,2158c21141,744,24786,0,28575,0x">
                        <v:stroke weight="0pt" endcap="flat" joinstyle="miter" miterlimit="4" on="false" color="#000000" opacity="0"/>
                        <v:fill on="true" color="#333333"/>
                      </v:shape>
                      <v:shape id="Shape 2750" style="position:absolute;width:571;height:571;left:0;top:7620;" coordsize="57150,57150" path="m28575,0c32364,0,36009,744,39510,2158c43011,3597,46101,5655,48781,8359c51460,11038,53525,14139,54975,17636c56425,21134,57150,24780,57150,28575c57150,32370,56425,36016,54975,39489c53525,43011,51460,46087,48781,48791c46101,51445,43011,53504,39510,54967c36009,56406,32364,57150,28575,57150c24786,57150,21141,56406,17640,54967c14139,53504,11049,51445,8369,48791c5690,46087,3625,43011,2175,39489c725,36016,0,32370,0,28575c0,24780,725,21134,2175,17636c3625,14139,5690,11038,8369,8359c11049,5655,14139,3597,17640,2158c21141,744,24786,0,28575,0x">
                        <v:stroke weight="0pt" endcap="flat" joinstyle="miter" miterlimit="4" on="false" color="#000000" opacity="0"/>
                        <v:fill on="true" color="#333333"/>
                      </v:shape>
                      <v:shape id="Shape 2753" style="position:absolute;width:571;height:571;left:0;top:10668;" coordsize="57150,57150" path="m28575,0c32364,0,36009,744,39510,2158c43011,3597,46101,5655,48781,8359c51460,11013,53525,14114,54975,17611c56425,21134,57150,24780,57150,28575c57150,32370,56425,35992,54975,39489c53525,43011,51460,46087,48781,48766c46101,51420,43011,53504,39510,54967c36009,56406,32364,57150,28575,57150c24786,57150,21141,56406,17640,54942c14139,53504,11049,51420,8369,48766c5690,46087,3625,43011,2175,39489c725,35992,0,32370,0,28575c0,24780,725,21134,2175,17611c3625,14114,5690,11013,8369,8359c11049,5655,14139,3597,17640,2158c21141,744,24786,0,28575,0x">
                        <v:stroke weight="0pt" endcap="flat" joinstyle="miter" miterlimit="4" on="false" color="#000000" opacity="0"/>
                        <v:fill on="true" color="#333333"/>
                      </v:shape>
                      <v:shape id="Shape 2755" style="position:absolute;width:571;height:571;left:0;top:12192;" coordsize="57150,57150" path="m28575,0c32364,0,36009,719,39510,2158c43011,3597,46101,5655,48781,8334c51460,11013,53525,14089,54975,17611c56425,21134,57150,24780,57150,28575c57150,32370,56425,35992,54975,39489c53525,42962,51460,46062,48781,48741c46101,51420,43011,53479,39510,54942c36009,56406,32364,57150,28575,57150c24786,57150,21141,56406,17640,54918c14139,53479,11049,51420,8369,48741c5690,46062,3625,42962,2175,39489c725,35992,0,32370,0,28575c0,24780,725,21134,2175,17611c3625,14089,5690,11013,8369,8334c11049,5655,14139,3597,17640,2158c21141,719,24786,0,28575,0x">
                        <v:stroke weight="0pt" endcap="flat" joinstyle="miter" miterlimit="4" on="false" color="#000000" opacity="0"/>
                        <v:fill on="true" color="#333333"/>
                      </v:shape>
                      <w10:wrap type="square"/>
                    </v:group>
                  </w:pict>
                </mc:Fallback>
              </mc:AlternateContent>
            </w:r>
            <w:r>
              <w:t>АВ-блокада 1-й степени при переднем ИМ или на фоне блокады пучка Гиса.</w:t>
            </w:r>
          </w:p>
          <w:p w:rsidR="008E3F15" w:rsidRDefault="005F449A">
            <w:pPr>
              <w:spacing w:after="0" w:line="259" w:lineRule="auto"/>
              <w:ind w:left="330" w:right="0" w:firstLine="0"/>
            </w:pPr>
            <w:r>
              <w:t>Купированные пароксизмальные аритмии, исключая ЖТ.</w:t>
            </w:r>
          </w:p>
          <w:p w:rsidR="008E3F15" w:rsidRDefault="005F449A">
            <w:pPr>
              <w:spacing w:after="0" w:line="259" w:lineRule="auto"/>
              <w:ind w:left="330" w:right="0" w:firstLine="0"/>
            </w:pPr>
            <w:r>
              <w:t>ФП (постоянная форма).</w:t>
            </w:r>
          </w:p>
          <w:p w:rsidR="008E3F15" w:rsidRDefault="005F449A">
            <w:pPr>
              <w:spacing w:after="0" w:line="259" w:lineRule="auto"/>
              <w:ind w:left="330" w:right="0" w:firstLine="0"/>
            </w:pPr>
            <w:r>
              <w:t>Миграция водителя ритма.</w:t>
            </w:r>
          </w:p>
          <w:p w:rsidR="008E3F15" w:rsidRDefault="005F449A">
            <w:pPr>
              <w:spacing w:after="0" w:line="216" w:lineRule="auto"/>
              <w:ind w:left="330" w:right="0" w:firstLine="0"/>
            </w:pPr>
            <w:r>
              <w:t>Экстрасистолы (ЭС) чаще &gt;1 в минуту, или III–IV классов по Лауну, стойкие (весь период наблюдения) или частые эпизоды.</w:t>
            </w:r>
          </w:p>
          <w:p w:rsidR="008E3F15" w:rsidRDefault="005F449A">
            <w:pPr>
              <w:spacing w:after="0" w:line="259" w:lineRule="auto"/>
              <w:ind w:left="330" w:right="0" w:firstLine="0"/>
            </w:pPr>
            <w:r>
              <w:t>Синдром Дресслера.</w:t>
            </w:r>
          </w:p>
          <w:p w:rsidR="008E3F15" w:rsidRDefault="005F449A">
            <w:pPr>
              <w:spacing w:after="0" w:line="259" w:lineRule="auto"/>
              <w:ind w:left="330" w:right="0" w:firstLine="0"/>
            </w:pPr>
            <w:r>
              <w:t>Гипертензия, требую</w:t>
            </w:r>
            <w:r>
              <w:t>щая дополнительного лечения</w:t>
            </w:r>
          </w:p>
        </w:tc>
      </w:tr>
      <w:tr w:rsidR="008E3F15">
        <w:trPr>
          <w:gridBefore w:val="1"/>
          <w:wBefore w:w="15" w:type="dxa"/>
          <w:trHeight w:val="3930"/>
        </w:trPr>
        <w:tc>
          <w:tcPr>
            <w:tcW w:w="1980" w:type="dxa"/>
            <w:gridSpan w:val="2"/>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Третья (тяжелая)</w:t>
            </w:r>
          </w:p>
        </w:tc>
        <w:tc>
          <w:tcPr>
            <w:tcW w:w="8505" w:type="dxa"/>
            <w:gridSpan w:val="2"/>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30" w:right="0" w:firstLine="0"/>
            </w:pPr>
            <w:r>
              <w:rPr>
                <w:rFonts w:ascii="Calibri" w:eastAsia="Calibri" w:hAnsi="Calibri" w:cs="Calibri"/>
                <w:noProof/>
                <w:color w:val="000000"/>
                <w:sz w:val="22"/>
              </w:rPr>
              <mc:AlternateContent>
                <mc:Choice Requires="wpg">
                  <w:drawing>
                    <wp:anchor distT="0" distB="0" distL="114300" distR="114300" simplePos="0" relativeHeight="251679744" behindDoc="0" locked="0" layoutInCell="1" allowOverlap="1">
                      <wp:simplePos x="0" y="0"/>
                      <wp:positionH relativeFrom="column">
                        <wp:posOffset>238125</wp:posOffset>
                      </wp:positionH>
                      <wp:positionV relativeFrom="paragraph">
                        <wp:posOffset>34776</wp:posOffset>
                      </wp:positionV>
                      <wp:extent cx="57150" cy="2038350"/>
                      <wp:effectExtent l="0" t="0" r="0" b="0"/>
                      <wp:wrapSquare wrapText="bothSides"/>
                      <wp:docPr id="258987" name="Group 258987"/>
                      <wp:cNvGraphicFramePr/>
                      <a:graphic xmlns:a="http://schemas.openxmlformats.org/drawingml/2006/main">
                        <a:graphicData uri="http://schemas.microsoft.com/office/word/2010/wordprocessingGroup">
                          <wpg:wgp>
                            <wpg:cNvGrpSpPr/>
                            <wpg:grpSpPr>
                              <a:xfrm>
                                <a:off x="0" y="0"/>
                                <a:ext cx="57150" cy="2038350"/>
                                <a:chOff x="0" y="0"/>
                                <a:chExt cx="57150" cy="2038350"/>
                              </a:xfrm>
                            </wpg:grpSpPr>
                            <wps:wsp>
                              <wps:cNvPr id="2758" name="Shape 2758"/>
                              <wps:cNvSpPr/>
                              <wps:spPr>
                                <a:xfrm>
                                  <a:off x="0" y="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38"/>
                                        <a:pt x="53525" y="14139"/>
                                        <a:pt x="54975" y="17611"/>
                                      </a:cubicBezTo>
                                      <a:cubicBezTo>
                                        <a:pt x="56425" y="21134"/>
                                        <a:pt x="57150" y="24780"/>
                                        <a:pt x="57150" y="28575"/>
                                      </a:cubicBezTo>
                                      <a:cubicBezTo>
                                        <a:pt x="57150" y="32370"/>
                                        <a:pt x="56425" y="35992"/>
                                        <a:pt x="54975" y="39489"/>
                                      </a:cubicBezTo>
                                      <a:cubicBezTo>
                                        <a:pt x="53525" y="43011"/>
                                        <a:pt x="51460" y="46087"/>
                                        <a:pt x="48781" y="48791"/>
                                      </a:cubicBezTo>
                                      <a:cubicBezTo>
                                        <a:pt x="46101" y="51445"/>
                                        <a:pt x="43011" y="53504"/>
                                        <a:pt x="39510" y="54967"/>
                                      </a:cubicBezTo>
                                      <a:cubicBezTo>
                                        <a:pt x="36009" y="56406"/>
                                        <a:pt x="32364" y="57150"/>
                                        <a:pt x="28575" y="57150"/>
                                      </a:cubicBezTo>
                                      <a:cubicBezTo>
                                        <a:pt x="24786" y="57150"/>
                                        <a:pt x="21141" y="56406"/>
                                        <a:pt x="17640" y="54967"/>
                                      </a:cubicBezTo>
                                      <a:cubicBezTo>
                                        <a:pt x="14139" y="53504"/>
                                        <a:pt x="11049" y="51445"/>
                                        <a:pt x="8369" y="48791"/>
                                      </a:cubicBezTo>
                                      <a:cubicBezTo>
                                        <a:pt x="5690" y="46087"/>
                                        <a:pt x="3625" y="43011"/>
                                        <a:pt x="2175" y="39489"/>
                                      </a:cubicBezTo>
                                      <a:cubicBezTo>
                                        <a:pt x="725" y="35992"/>
                                        <a:pt x="0" y="32370"/>
                                        <a:pt x="0" y="28575"/>
                                      </a:cubicBezTo>
                                      <a:cubicBezTo>
                                        <a:pt x="0" y="24780"/>
                                        <a:pt x="725" y="21134"/>
                                        <a:pt x="2175" y="17611"/>
                                      </a:cubicBezTo>
                                      <a:cubicBezTo>
                                        <a:pt x="3625" y="14139"/>
                                        <a:pt x="5690" y="11038"/>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60" name="Shape 2760"/>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3011"/>
                                        <a:pt x="51460" y="46087"/>
                                        <a:pt x="48781" y="48766"/>
                                      </a:cubicBezTo>
                                      <a:cubicBezTo>
                                        <a:pt x="46101" y="51420"/>
                                        <a:pt x="43011" y="53504"/>
                                        <a:pt x="39510" y="54942"/>
                                      </a:cubicBezTo>
                                      <a:cubicBezTo>
                                        <a:pt x="36009" y="56406"/>
                                        <a:pt x="32364" y="57150"/>
                                        <a:pt x="28575" y="57150"/>
                                      </a:cubicBezTo>
                                      <a:cubicBezTo>
                                        <a:pt x="24786" y="57150"/>
                                        <a:pt x="21141" y="56406"/>
                                        <a:pt x="17640" y="54918"/>
                                      </a:cubicBezTo>
                                      <a:cubicBezTo>
                                        <a:pt x="14139" y="53504"/>
                                        <a:pt x="11049" y="51420"/>
                                        <a:pt x="8369" y="48766"/>
                                      </a:cubicBezTo>
                                      <a:cubicBezTo>
                                        <a:pt x="5690" y="46087"/>
                                        <a:pt x="3625" y="43011"/>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63" name="Shape 2763"/>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72"/>
                                        <a:pt x="46101" y="5655"/>
                                        <a:pt x="48781" y="8334"/>
                                      </a:cubicBezTo>
                                      <a:cubicBezTo>
                                        <a:pt x="51460" y="11013"/>
                                        <a:pt x="53525" y="14114"/>
                                        <a:pt x="54975" y="17636"/>
                                      </a:cubicBezTo>
                                      <a:cubicBezTo>
                                        <a:pt x="56425" y="21134"/>
                                        <a:pt x="57150" y="24780"/>
                                        <a:pt x="57150" y="28575"/>
                                      </a:cubicBezTo>
                                      <a:cubicBezTo>
                                        <a:pt x="57150" y="32370"/>
                                        <a:pt x="56425" y="36016"/>
                                        <a:pt x="54975" y="39489"/>
                                      </a:cubicBezTo>
                                      <a:cubicBezTo>
                                        <a:pt x="53525" y="42987"/>
                                        <a:pt x="51460" y="46062"/>
                                        <a:pt x="48781" y="48741"/>
                                      </a:cubicBezTo>
                                      <a:cubicBezTo>
                                        <a:pt x="46101" y="51420"/>
                                        <a:pt x="43011" y="53479"/>
                                        <a:pt x="39510" y="54942"/>
                                      </a:cubicBezTo>
                                      <a:cubicBezTo>
                                        <a:pt x="36009" y="56381"/>
                                        <a:pt x="32364" y="57125"/>
                                        <a:pt x="28575" y="57150"/>
                                      </a:cubicBezTo>
                                      <a:cubicBezTo>
                                        <a:pt x="24786" y="57125"/>
                                        <a:pt x="21141" y="56381"/>
                                        <a:pt x="17640" y="54918"/>
                                      </a:cubicBezTo>
                                      <a:cubicBezTo>
                                        <a:pt x="14139" y="53479"/>
                                        <a:pt x="11049" y="51420"/>
                                        <a:pt x="8369" y="48741"/>
                                      </a:cubicBezTo>
                                      <a:cubicBezTo>
                                        <a:pt x="5690" y="46062"/>
                                        <a:pt x="3625" y="42987"/>
                                        <a:pt x="2175" y="39464"/>
                                      </a:cubicBezTo>
                                      <a:cubicBezTo>
                                        <a:pt x="725" y="35992"/>
                                        <a:pt x="0" y="32370"/>
                                        <a:pt x="0" y="28575"/>
                                      </a:cubicBezTo>
                                      <a:cubicBezTo>
                                        <a:pt x="0" y="24780"/>
                                        <a:pt x="725" y="21134"/>
                                        <a:pt x="2175" y="17636"/>
                                      </a:cubicBezTo>
                                      <a:cubicBezTo>
                                        <a:pt x="3625" y="14114"/>
                                        <a:pt x="5690" y="11013"/>
                                        <a:pt x="8369" y="8334"/>
                                      </a:cubicBezTo>
                                      <a:cubicBezTo>
                                        <a:pt x="11049" y="5655"/>
                                        <a:pt x="14139" y="3572"/>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66" name="Shape 2766"/>
                              <wps:cNvSpPr/>
                              <wps:spPr>
                                <a:xfrm>
                                  <a:off x="0" y="7620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089"/>
                                        <a:pt x="54975" y="17611"/>
                                      </a:cubicBezTo>
                                      <a:cubicBezTo>
                                        <a:pt x="56425" y="21134"/>
                                        <a:pt x="57150" y="24780"/>
                                        <a:pt x="57150" y="28575"/>
                                      </a:cubicBezTo>
                                      <a:cubicBezTo>
                                        <a:pt x="57150" y="32370"/>
                                        <a:pt x="56425" y="35992"/>
                                        <a:pt x="54975" y="39514"/>
                                      </a:cubicBezTo>
                                      <a:cubicBezTo>
                                        <a:pt x="53525" y="43011"/>
                                        <a:pt x="51460" y="46112"/>
                                        <a:pt x="48781" y="48791"/>
                                      </a:cubicBezTo>
                                      <a:cubicBezTo>
                                        <a:pt x="46101" y="51445"/>
                                        <a:pt x="43011" y="53504"/>
                                        <a:pt x="39510" y="54992"/>
                                      </a:cubicBezTo>
                                      <a:cubicBezTo>
                                        <a:pt x="36009" y="56406"/>
                                        <a:pt x="32364" y="57150"/>
                                        <a:pt x="28575" y="57150"/>
                                      </a:cubicBezTo>
                                      <a:cubicBezTo>
                                        <a:pt x="24786" y="57150"/>
                                        <a:pt x="21141" y="56406"/>
                                        <a:pt x="17640" y="54992"/>
                                      </a:cubicBezTo>
                                      <a:cubicBezTo>
                                        <a:pt x="14139" y="53504"/>
                                        <a:pt x="11049" y="51445"/>
                                        <a:pt x="8369" y="48791"/>
                                      </a:cubicBezTo>
                                      <a:cubicBezTo>
                                        <a:pt x="5690" y="46112"/>
                                        <a:pt x="3625" y="43011"/>
                                        <a:pt x="2175" y="39514"/>
                                      </a:cubicBezTo>
                                      <a:cubicBezTo>
                                        <a:pt x="725" y="35992"/>
                                        <a:pt x="0" y="32370"/>
                                        <a:pt x="0" y="28575"/>
                                      </a:cubicBezTo>
                                      <a:cubicBezTo>
                                        <a:pt x="0" y="24780"/>
                                        <a:pt x="725" y="21134"/>
                                        <a:pt x="2175" y="17611"/>
                                      </a:cubicBezTo>
                                      <a:cubicBezTo>
                                        <a:pt x="3625" y="14089"/>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71" name="Shape 2771"/>
                              <wps:cNvSpPr/>
                              <wps:spPr>
                                <a:xfrm>
                                  <a:off x="0" y="1066800"/>
                                  <a:ext cx="57150" cy="57150"/>
                                </a:xfrm>
                                <a:custGeom>
                                  <a:avLst/>
                                  <a:gdLst/>
                                  <a:ahLst/>
                                  <a:cxnLst/>
                                  <a:rect l="0" t="0" r="0" b="0"/>
                                  <a:pathLst>
                                    <a:path w="57150" h="57150">
                                      <a:moveTo>
                                        <a:pt x="28575" y="0"/>
                                      </a:moveTo>
                                      <a:cubicBezTo>
                                        <a:pt x="32364" y="0"/>
                                        <a:pt x="36009" y="744"/>
                                        <a:pt x="39510" y="2158"/>
                                      </a:cubicBezTo>
                                      <a:cubicBezTo>
                                        <a:pt x="43011" y="3621"/>
                                        <a:pt x="46101" y="5680"/>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62"/>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62"/>
                                        <a:pt x="2175" y="39489"/>
                                      </a:cubicBezTo>
                                      <a:cubicBezTo>
                                        <a:pt x="725" y="35992"/>
                                        <a:pt x="0" y="32370"/>
                                        <a:pt x="0" y="28575"/>
                                      </a:cubicBezTo>
                                      <a:cubicBezTo>
                                        <a:pt x="0" y="24780"/>
                                        <a:pt x="725" y="21134"/>
                                        <a:pt x="2175" y="17611"/>
                                      </a:cubicBezTo>
                                      <a:cubicBezTo>
                                        <a:pt x="3625" y="14114"/>
                                        <a:pt x="5690" y="11013"/>
                                        <a:pt x="8369" y="8359"/>
                                      </a:cubicBezTo>
                                      <a:cubicBezTo>
                                        <a:pt x="11049" y="5680"/>
                                        <a:pt x="14139" y="3621"/>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73" name="Shape 2773"/>
                              <wps:cNvSpPr/>
                              <wps:spPr>
                                <a:xfrm>
                                  <a:off x="0" y="12192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38"/>
                                        <a:pt x="53525" y="14139"/>
                                        <a:pt x="54975" y="17636"/>
                                      </a:cubicBezTo>
                                      <a:cubicBezTo>
                                        <a:pt x="56425" y="21134"/>
                                        <a:pt x="57150" y="24780"/>
                                        <a:pt x="57150" y="28575"/>
                                      </a:cubicBezTo>
                                      <a:cubicBezTo>
                                        <a:pt x="57150" y="32370"/>
                                        <a:pt x="56425" y="35992"/>
                                        <a:pt x="54975" y="39464"/>
                                      </a:cubicBezTo>
                                      <a:cubicBezTo>
                                        <a:pt x="53525" y="42987"/>
                                        <a:pt x="51460" y="46062"/>
                                        <a:pt x="48781" y="48766"/>
                                      </a:cubicBezTo>
                                      <a:cubicBezTo>
                                        <a:pt x="46101" y="51420"/>
                                        <a:pt x="43011" y="53504"/>
                                        <a:pt x="39510" y="54942"/>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92"/>
                                        <a:pt x="0" y="32370"/>
                                        <a:pt x="0" y="28575"/>
                                      </a:cubicBezTo>
                                      <a:cubicBezTo>
                                        <a:pt x="0" y="24780"/>
                                        <a:pt x="725" y="21134"/>
                                        <a:pt x="2175" y="17636"/>
                                      </a:cubicBezTo>
                                      <a:cubicBezTo>
                                        <a:pt x="3625" y="14139"/>
                                        <a:pt x="5690" y="11038"/>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75" name="Shape 2775"/>
                              <wps:cNvSpPr/>
                              <wps:spPr>
                                <a:xfrm>
                                  <a:off x="0" y="1371600"/>
                                  <a:ext cx="57150" cy="57150"/>
                                </a:xfrm>
                                <a:custGeom>
                                  <a:avLst/>
                                  <a:gdLst/>
                                  <a:ahLst/>
                                  <a:cxnLst/>
                                  <a:rect l="0" t="0" r="0" b="0"/>
                                  <a:pathLst>
                                    <a:path w="57150" h="57150">
                                      <a:moveTo>
                                        <a:pt x="28575" y="0"/>
                                      </a:moveTo>
                                      <a:cubicBezTo>
                                        <a:pt x="32364" y="0"/>
                                        <a:pt x="36009" y="744"/>
                                        <a:pt x="39510" y="2158"/>
                                      </a:cubicBezTo>
                                      <a:cubicBezTo>
                                        <a:pt x="43011" y="3597"/>
                                        <a:pt x="46101" y="5655"/>
                                        <a:pt x="48781" y="8359"/>
                                      </a:cubicBezTo>
                                      <a:cubicBezTo>
                                        <a:pt x="51460" y="11013"/>
                                        <a:pt x="53525" y="14114"/>
                                        <a:pt x="54975" y="17611"/>
                                      </a:cubicBezTo>
                                      <a:cubicBezTo>
                                        <a:pt x="56425" y="21109"/>
                                        <a:pt x="57150" y="24780"/>
                                        <a:pt x="57150" y="28575"/>
                                      </a:cubicBezTo>
                                      <a:cubicBezTo>
                                        <a:pt x="57150" y="32345"/>
                                        <a:pt x="56425" y="35967"/>
                                        <a:pt x="54975" y="39464"/>
                                      </a:cubicBezTo>
                                      <a:cubicBezTo>
                                        <a:pt x="53525" y="42987"/>
                                        <a:pt x="51460" y="46062"/>
                                        <a:pt x="48781" y="48766"/>
                                      </a:cubicBezTo>
                                      <a:cubicBezTo>
                                        <a:pt x="46101" y="51420"/>
                                        <a:pt x="43011" y="53504"/>
                                        <a:pt x="39510" y="54967"/>
                                      </a:cubicBezTo>
                                      <a:cubicBezTo>
                                        <a:pt x="36009" y="56406"/>
                                        <a:pt x="32364" y="57150"/>
                                        <a:pt x="28575" y="57150"/>
                                      </a:cubicBezTo>
                                      <a:cubicBezTo>
                                        <a:pt x="24786" y="57150"/>
                                        <a:pt x="21141" y="56406"/>
                                        <a:pt x="17640" y="54942"/>
                                      </a:cubicBezTo>
                                      <a:cubicBezTo>
                                        <a:pt x="14139" y="53504"/>
                                        <a:pt x="11049" y="51420"/>
                                        <a:pt x="8369" y="48766"/>
                                      </a:cubicBezTo>
                                      <a:cubicBezTo>
                                        <a:pt x="5690" y="46062"/>
                                        <a:pt x="3625" y="42987"/>
                                        <a:pt x="2175" y="39489"/>
                                      </a:cubicBezTo>
                                      <a:cubicBezTo>
                                        <a:pt x="725" y="35967"/>
                                        <a:pt x="0" y="32345"/>
                                        <a:pt x="0" y="28575"/>
                                      </a:cubicBezTo>
                                      <a:cubicBezTo>
                                        <a:pt x="0" y="24780"/>
                                        <a:pt x="725" y="21109"/>
                                        <a:pt x="2175" y="17587"/>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77" name="Shape 2777"/>
                              <wps:cNvSpPr/>
                              <wps:spPr>
                                <a:xfrm>
                                  <a:off x="0" y="1524000"/>
                                  <a:ext cx="57150" cy="57150"/>
                                </a:xfrm>
                                <a:custGeom>
                                  <a:avLst/>
                                  <a:gdLst/>
                                  <a:ahLst/>
                                  <a:cxnLst/>
                                  <a:rect l="0" t="0" r="0" b="0"/>
                                  <a:pathLst>
                                    <a:path w="57150" h="57150">
                                      <a:moveTo>
                                        <a:pt x="28575" y="0"/>
                                      </a:moveTo>
                                      <a:cubicBezTo>
                                        <a:pt x="32364" y="0"/>
                                        <a:pt x="36009" y="744"/>
                                        <a:pt x="39510" y="2158"/>
                                      </a:cubicBezTo>
                                      <a:cubicBezTo>
                                        <a:pt x="43011" y="3597"/>
                                        <a:pt x="46101" y="5655"/>
                                        <a:pt x="48781" y="8334"/>
                                      </a:cubicBezTo>
                                      <a:cubicBezTo>
                                        <a:pt x="51460" y="11013"/>
                                        <a:pt x="53525" y="14089"/>
                                        <a:pt x="54975" y="17611"/>
                                      </a:cubicBezTo>
                                      <a:cubicBezTo>
                                        <a:pt x="56425" y="21134"/>
                                        <a:pt x="57150" y="24780"/>
                                        <a:pt x="57150" y="28575"/>
                                      </a:cubicBezTo>
                                      <a:cubicBezTo>
                                        <a:pt x="57150" y="32370"/>
                                        <a:pt x="56425" y="36016"/>
                                        <a:pt x="54975" y="39514"/>
                                      </a:cubicBezTo>
                                      <a:cubicBezTo>
                                        <a:pt x="53525" y="43011"/>
                                        <a:pt x="51460" y="46087"/>
                                        <a:pt x="48781" y="48766"/>
                                      </a:cubicBezTo>
                                      <a:cubicBezTo>
                                        <a:pt x="46101" y="51420"/>
                                        <a:pt x="43011" y="53504"/>
                                        <a:pt x="39510" y="54967"/>
                                      </a:cubicBezTo>
                                      <a:cubicBezTo>
                                        <a:pt x="36009" y="56406"/>
                                        <a:pt x="32364" y="57150"/>
                                        <a:pt x="28575" y="57150"/>
                                      </a:cubicBezTo>
                                      <a:cubicBezTo>
                                        <a:pt x="24786" y="57150"/>
                                        <a:pt x="21141" y="56406"/>
                                        <a:pt x="17640" y="54942"/>
                                      </a:cubicBezTo>
                                      <a:cubicBezTo>
                                        <a:pt x="14139" y="53504"/>
                                        <a:pt x="11049" y="51420"/>
                                        <a:pt x="8369" y="48766"/>
                                      </a:cubicBezTo>
                                      <a:cubicBezTo>
                                        <a:pt x="5690" y="46087"/>
                                        <a:pt x="3625" y="43011"/>
                                        <a:pt x="2175" y="39514"/>
                                      </a:cubicBezTo>
                                      <a:cubicBezTo>
                                        <a:pt x="725" y="36016"/>
                                        <a:pt x="0" y="32370"/>
                                        <a:pt x="0" y="28575"/>
                                      </a:cubicBezTo>
                                      <a:cubicBezTo>
                                        <a:pt x="0" y="24780"/>
                                        <a:pt x="725" y="21134"/>
                                        <a:pt x="2175" y="17611"/>
                                      </a:cubicBezTo>
                                      <a:cubicBezTo>
                                        <a:pt x="3625" y="14089"/>
                                        <a:pt x="5690" y="11013"/>
                                        <a:pt x="8369" y="8334"/>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79" name="Shape 2779"/>
                              <wps:cNvSpPr/>
                              <wps:spPr>
                                <a:xfrm>
                                  <a:off x="0" y="16764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5992"/>
                                        <a:pt x="54975" y="39489"/>
                                      </a:cubicBezTo>
                                      <a:cubicBezTo>
                                        <a:pt x="53525" y="42987"/>
                                        <a:pt x="51460" y="46062"/>
                                        <a:pt x="48781" y="48766"/>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66"/>
                                      </a:cubicBezTo>
                                      <a:cubicBezTo>
                                        <a:pt x="5690" y="46062"/>
                                        <a:pt x="3625" y="42987"/>
                                        <a:pt x="2175" y="39489"/>
                                      </a:cubicBezTo>
                                      <a:cubicBezTo>
                                        <a:pt x="725" y="35992"/>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82" name="Shape 2782"/>
                              <wps:cNvSpPr/>
                              <wps:spPr>
                                <a:xfrm>
                                  <a:off x="0" y="19812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36"/>
                                      </a:cubicBezTo>
                                      <a:cubicBezTo>
                                        <a:pt x="56425" y="21134"/>
                                        <a:pt x="57150" y="24780"/>
                                        <a:pt x="57150" y="28575"/>
                                      </a:cubicBezTo>
                                      <a:cubicBezTo>
                                        <a:pt x="57150" y="32370"/>
                                        <a:pt x="56425" y="36016"/>
                                        <a:pt x="54975" y="39514"/>
                                      </a:cubicBezTo>
                                      <a:cubicBezTo>
                                        <a:pt x="53525" y="43011"/>
                                        <a:pt x="51460" y="46087"/>
                                        <a:pt x="48781" y="48791"/>
                                      </a:cubicBezTo>
                                      <a:cubicBezTo>
                                        <a:pt x="46101" y="51445"/>
                                        <a:pt x="43011" y="53504"/>
                                        <a:pt x="39510" y="54942"/>
                                      </a:cubicBezTo>
                                      <a:cubicBezTo>
                                        <a:pt x="36009" y="56406"/>
                                        <a:pt x="32364" y="57150"/>
                                        <a:pt x="28575" y="57150"/>
                                      </a:cubicBezTo>
                                      <a:cubicBezTo>
                                        <a:pt x="24786" y="57150"/>
                                        <a:pt x="21141" y="56406"/>
                                        <a:pt x="17640" y="54942"/>
                                      </a:cubicBezTo>
                                      <a:cubicBezTo>
                                        <a:pt x="14139" y="53504"/>
                                        <a:pt x="11049" y="51445"/>
                                        <a:pt x="8369" y="48791"/>
                                      </a:cubicBezTo>
                                      <a:cubicBezTo>
                                        <a:pt x="5690" y="46087"/>
                                        <a:pt x="3625" y="43011"/>
                                        <a:pt x="2175" y="39514"/>
                                      </a:cubicBezTo>
                                      <a:cubicBezTo>
                                        <a:pt x="725" y="36016"/>
                                        <a:pt x="0" y="32370"/>
                                        <a:pt x="0" y="28575"/>
                                      </a:cubicBezTo>
                                      <a:cubicBezTo>
                                        <a:pt x="0" y="24780"/>
                                        <a:pt x="725" y="21134"/>
                                        <a:pt x="2175" y="17636"/>
                                      </a:cubicBezTo>
                                      <a:cubicBezTo>
                                        <a:pt x="3625" y="14114"/>
                                        <a:pt x="5690" y="11013"/>
                                        <a:pt x="8369" y="8359"/>
                                      </a:cubicBezTo>
                                      <a:cubicBezTo>
                                        <a:pt x="11049" y="5655"/>
                                        <a:pt x="14139" y="3597"/>
                                        <a:pt x="17640" y="2158"/>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8987" style="width:4.50002pt;height:160.5pt;position:absolute;mso-position-horizontal-relative:text;mso-position-horizontal:absolute;margin-left:18.75pt;mso-position-vertical-relative:text;margin-top:2.73828pt;" coordsize="571,20383">
                      <v:shape id="Shape 2758" style="position:absolute;width:571;height:571;left:0;top:0;" coordsize="57150,57150" path="m28575,0c32364,0,36009,744,39510,2158c43011,3597,46101,5655,48781,8359c51460,11038,53525,14139,54975,17611c56425,21134,57150,24780,57150,28575c57150,32370,56425,35992,54975,39489c53525,43011,51460,46087,48781,48791c46101,51445,43011,53504,39510,54967c36009,56406,32364,57150,28575,57150c24786,57150,21141,56406,17640,54967c14139,53504,11049,51445,8369,48791c5690,46087,3625,43011,2175,39489c725,35992,0,32370,0,28575c0,24780,725,21134,2175,17611c3625,14139,5690,11038,8369,8359c11049,5655,14139,3597,17640,2158c21141,744,24786,0,28575,0x">
                        <v:stroke weight="0pt" endcap="flat" joinstyle="miter" miterlimit="4" on="false" color="#000000" opacity="0"/>
                        <v:fill on="true" color="#333333"/>
                      </v:shape>
                      <v:shape id="Shape 2760" style="position:absolute;width:571;height:571;left:0;top:1524;" coordsize="57150,57150" path="m28575,0c32364,0,36009,719,39510,2158c43011,3597,46101,5655,48781,8359c51460,11013,53525,14114,54975,17636c56425,21134,57150,24780,57150,28575c57150,32370,56425,35992,54975,39489c53525,43011,51460,46087,48781,48766c46101,51420,43011,53504,39510,54942c36009,56406,32364,57150,28575,57150c24786,57150,21141,56406,17640,54918c14139,53504,11049,51420,8369,48766c5690,46087,3625,43011,2175,39489c725,35992,0,32370,0,28575c0,24780,725,21134,2175,17636c3625,14114,5690,11013,8369,8359c11049,5655,14139,3597,17640,2158c21141,719,24786,0,28575,0x">
                        <v:stroke weight="0pt" endcap="flat" joinstyle="miter" miterlimit="4" on="false" color="#000000" opacity="0"/>
                        <v:fill on="true" color="#333333"/>
                      </v:shape>
                      <v:shape id="Shape 2763" style="position:absolute;width:571;height:571;left:0;top:4572;" coordsize="57150,57150" path="m28575,0c32364,0,36009,719,39510,2158c43011,3572,46101,5655,48781,8334c51460,11013,53525,14114,54975,17636c56425,21134,57150,24780,57150,28575c57150,32370,56425,36016,54975,39489c53525,42987,51460,46062,48781,48741c46101,51420,43011,53479,39510,54942c36009,56381,32364,57125,28575,57150c24786,57125,21141,56381,17640,54918c14139,53479,11049,51420,8369,48741c5690,46062,3625,42987,2175,39464c725,35992,0,32370,0,28575c0,24780,725,21134,2175,17636c3625,14114,5690,11013,8369,8334c11049,5655,14139,3572,17640,2158c21141,719,24786,0,28575,0x">
                        <v:stroke weight="0pt" endcap="flat" joinstyle="miter" miterlimit="4" on="false" color="#000000" opacity="0"/>
                        <v:fill on="true" color="#333333"/>
                      </v:shape>
                      <v:shape id="Shape 2766" style="position:absolute;width:571;height:571;left:0;top:7620;" coordsize="57150,57150" path="m28575,0c32364,0,36009,744,39510,2158c43011,3621,46101,5680,48781,8359c51460,11013,53525,14089,54975,17611c56425,21134,57150,24780,57150,28575c57150,32370,56425,35992,54975,39514c53525,43011,51460,46112,48781,48791c46101,51445,43011,53504,39510,54992c36009,56406,32364,57150,28575,57150c24786,57150,21141,56406,17640,54992c14139,53504,11049,51445,8369,48791c5690,46112,3625,43011,2175,39514c725,35992,0,32370,0,28575c0,24780,725,21134,2175,17611c3625,14089,5690,11013,8369,8359c11049,5680,14139,3621,17640,2158c21141,744,24786,0,28575,0x">
                        <v:stroke weight="0pt" endcap="flat" joinstyle="miter" miterlimit="4" on="false" color="#000000" opacity="0"/>
                        <v:fill on="true" color="#333333"/>
                      </v:shape>
                      <v:shape id="Shape 2771" style="position:absolute;width:571;height:571;left:0;top:10668;" coordsize="57150,57150" path="m28575,0c32364,0,36009,744,39510,2158c43011,3621,46101,5680,48781,8359c51460,11013,53525,14114,54975,17636c56425,21134,57150,24780,57150,28575c57150,32370,56425,35992,54975,39489c53525,42962,51460,46062,48781,48766c46101,51420,43011,53504,39510,54942c36009,56406,32364,57150,28575,57150c24786,57150,21141,56406,17640,54942c14139,53504,11049,51420,8369,48766c5690,46062,3625,42962,2175,39489c725,35992,0,32370,0,28575c0,24780,725,21134,2175,17611c3625,14114,5690,11013,8369,8359c11049,5680,14139,3621,17640,2158c21141,744,24786,0,28575,0x">
                        <v:stroke weight="0pt" endcap="flat" joinstyle="miter" miterlimit="4" on="false" color="#000000" opacity="0"/>
                        <v:fill on="true" color="#333333"/>
                      </v:shape>
                      <v:shape id="Shape 2773" style="position:absolute;width:571;height:571;left:0;top:12192;" coordsize="57150,57150" path="m28575,0c32364,0,36009,744,39510,2158c43011,3597,46101,5655,48781,8359c51460,11038,53525,14139,54975,17636c56425,21134,57150,24780,57150,28575c57150,32370,56425,35992,54975,39464c53525,42987,51460,46062,48781,48766c46101,51420,43011,53504,39510,54942c36009,56406,32364,57150,28575,57150c24786,57150,21141,56406,17640,54942c14139,53504,11049,51420,8369,48766c5690,46062,3625,42987,2175,39489c725,35992,0,32370,0,28575c0,24780,725,21134,2175,17636c3625,14139,5690,11038,8369,8359c11049,5655,14139,3597,17640,2158c21141,744,24786,0,28575,0x">
                        <v:stroke weight="0pt" endcap="flat" joinstyle="miter" miterlimit="4" on="false" color="#000000" opacity="0"/>
                        <v:fill on="true" color="#333333"/>
                      </v:shape>
                      <v:shape id="Shape 2775" style="position:absolute;width:571;height:571;left:0;top:13716;" coordsize="57150,57150" path="m28575,0c32364,0,36009,744,39510,2158c43011,3597,46101,5655,48781,8359c51460,11013,53525,14114,54975,17611c56425,21109,57150,24780,57150,28575c57150,32345,56425,35967,54975,39464c53525,42987,51460,46062,48781,48766c46101,51420,43011,53504,39510,54967c36009,56406,32364,57150,28575,57150c24786,57150,21141,56406,17640,54942c14139,53504,11049,51420,8369,48766c5690,46062,3625,42987,2175,39489c725,35967,0,32345,0,28575c0,24780,725,21109,2175,17587c3625,14114,5690,11013,8369,8359c11049,5655,14139,3597,17640,2158c21141,744,24786,0,28575,0x">
                        <v:stroke weight="0pt" endcap="flat" joinstyle="miter" miterlimit="4" on="false" color="#000000" opacity="0"/>
                        <v:fill on="true" color="#333333"/>
                      </v:shape>
                      <v:shape id="Shape 2777" style="position:absolute;width:571;height:571;left:0;top:15240;" coordsize="57150,57150" path="m28575,0c32364,0,36009,744,39510,2158c43011,3597,46101,5655,48781,8334c51460,11013,53525,14089,54975,17611c56425,21134,57150,24780,57150,28575c57150,32370,56425,36016,54975,39514c53525,43011,51460,46087,48781,48766c46101,51420,43011,53504,39510,54967c36009,56406,32364,57150,28575,57150c24786,57150,21141,56406,17640,54942c14139,53504,11049,51420,8369,48766c5690,46087,3625,43011,2175,39514c725,36016,0,32370,0,28575c0,24780,725,21134,2175,17611c3625,14089,5690,11013,8369,8334c11049,5655,14139,3597,17640,2158c21141,744,24786,0,28575,0x">
                        <v:stroke weight="0pt" endcap="flat" joinstyle="miter" miterlimit="4" on="false" color="#000000" opacity="0"/>
                        <v:fill on="true" color="#333333"/>
                      </v:shape>
                      <v:shape id="Shape 2779" style="position:absolute;width:571;height:571;left:0;top:16764;" coordsize="57150,57150" path="m28575,0c32364,0,36009,719,39510,2158c43011,3597,46101,5655,48781,8359c51460,11013,53525,14114,54975,17636c56425,21134,57150,24780,57150,28575c57150,32370,56425,35992,54975,39489c53525,42987,51460,46062,48781,48766c46101,51445,43011,53504,39510,54942c36009,56406,32364,57150,28575,57150c24786,57150,21141,56406,17640,54942c14139,53504,11049,51445,8369,48766c5690,46062,3625,42987,2175,39489c725,35992,0,32370,0,28575c0,24780,725,21134,2175,17636c3625,14114,5690,11013,8369,8359c11049,5655,14139,3597,17640,2158c21141,719,24786,0,28575,0x">
                        <v:stroke weight="0pt" endcap="flat" joinstyle="miter" miterlimit="4" on="false" color="#000000" opacity="0"/>
                        <v:fill on="true" color="#333333"/>
                      </v:shape>
                      <v:shape id="Shape 2782" style="position:absolute;width:571;height:571;left:0;top:19812;" coordsize="57150,57150" path="m28575,0c32364,0,36009,719,39510,2158c43011,3597,46101,5655,48781,8359c51460,11013,53525,14114,54975,17636c56425,21134,57150,24780,57150,28575c57150,32370,56425,36016,54975,39514c53525,43011,51460,46087,48781,48791c46101,51445,43011,53504,39510,54942c36009,56406,32364,57150,28575,57150c24786,57150,21141,56406,17640,54942c14139,53504,11049,51445,8369,48791c5690,46087,3625,43011,2175,39514c725,36016,0,32370,0,28575c0,24780,725,21134,2175,17636c3625,14114,5690,11013,8369,8359c11049,5655,14139,3597,17640,2158c21141,744,24786,0,28575,0x">
                        <v:stroke weight="0pt" endcap="flat" joinstyle="miter" miterlimit="4" on="false" color="#000000" opacity="0"/>
                        <v:fill on="true" color="#333333"/>
                      </v:shape>
                      <w10:wrap type="square"/>
                    </v:group>
                  </w:pict>
                </mc:Fallback>
              </mc:AlternateContent>
            </w:r>
            <w:r>
              <w:t>Острая СН, класс III–IV по Killip.</w:t>
            </w:r>
          </w:p>
          <w:p w:rsidR="008E3F15" w:rsidRDefault="005F449A">
            <w:pPr>
              <w:spacing w:after="0" w:line="216" w:lineRule="auto"/>
              <w:ind w:left="330" w:right="817" w:firstLine="0"/>
            </w:pPr>
            <w:r>
              <w:t>Хроническая сердечная недостаточность (ХСН), резистентная к лечению.</w:t>
            </w:r>
          </w:p>
          <w:p w:rsidR="008E3F15" w:rsidRDefault="005F449A">
            <w:pPr>
              <w:spacing w:after="0" w:line="216" w:lineRule="auto"/>
              <w:ind w:left="330" w:right="0" w:firstLine="0"/>
            </w:pPr>
            <w:r>
              <w:t>СК или признаки ишемии мио карда на ЭКГ при малой физической активности (III–IV ФК).</w:t>
            </w:r>
          </w:p>
          <w:p w:rsidR="008E3F15" w:rsidRDefault="005F449A">
            <w:pPr>
              <w:spacing w:after="0" w:line="216" w:lineRule="auto"/>
              <w:ind w:left="330" w:right="0" w:firstLine="0"/>
            </w:pPr>
            <w:r>
              <w:t xml:space="preserve">Замедленная эволюция </w:t>
            </w:r>
            <w:r>
              <w:rPr>
                <w:i/>
              </w:rPr>
              <w:t>ST</w:t>
            </w:r>
            <w:r>
              <w:t xml:space="preserve"> или ее отсутствие, новые ишемические или очаговые изменения на ЭКГ.</w:t>
            </w:r>
          </w:p>
          <w:p w:rsidR="008E3F15" w:rsidRDefault="005F449A">
            <w:pPr>
              <w:spacing w:after="0" w:line="259" w:lineRule="auto"/>
              <w:ind w:left="330" w:right="0" w:firstLine="0"/>
            </w:pPr>
            <w:r>
              <w:t>Сложные желудочковые аритмии в покое и при нагрузке.</w:t>
            </w:r>
          </w:p>
          <w:p w:rsidR="008E3F15" w:rsidRDefault="005F449A">
            <w:pPr>
              <w:spacing w:after="0" w:line="216" w:lineRule="auto"/>
              <w:ind w:left="330" w:right="0" w:firstLine="0"/>
            </w:pPr>
            <w:r>
              <w:t>АВ-блокада &gt;1-й степени при переднем ИМ, полная АВ-блокада. Острая аневризма сердца.</w:t>
            </w:r>
          </w:p>
          <w:p w:rsidR="008E3F15" w:rsidRDefault="005F449A">
            <w:pPr>
              <w:spacing w:after="0" w:line="259" w:lineRule="auto"/>
              <w:ind w:left="330" w:right="0" w:firstLine="0"/>
            </w:pPr>
            <w:r>
              <w:t>Тромб в сердце.</w:t>
            </w:r>
          </w:p>
          <w:p w:rsidR="008E3F15" w:rsidRDefault="005F449A">
            <w:pPr>
              <w:spacing w:after="0" w:line="216" w:lineRule="auto"/>
              <w:ind w:left="330" w:right="0" w:firstLine="0"/>
            </w:pPr>
            <w:r>
              <w:t>Любые тяжелые осложнения и острые состояния, требующие специализированного лечения.</w:t>
            </w:r>
          </w:p>
          <w:p w:rsidR="008E3F15" w:rsidRDefault="005F449A">
            <w:pPr>
              <w:spacing w:after="0" w:line="259" w:lineRule="auto"/>
              <w:ind w:left="330" w:right="0" w:firstLine="0"/>
            </w:pPr>
            <w:r>
              <w:t>Сочетание трех осложнений второй группы и более</w:t>
            </w:r>
          </w:p>
        </w:tc>
      </w:tr>
    </w:tbl>
    <w:p w:rsidR="008E3F15" w:rsidRDefault="005F449A">
      <w:pPr>
        <w:ind w:left="2" w:right="399"/>
      </w:pPr>
      <w:r>
        <w:t>Реабилитация I ступени проводится в реанимационном отделении, II ступени — в палате, III ступени — при выходе в коридор.</w:t>
      </w:r>
    </w:p>
    <w:p w:rsidR="008E3F15" w:rsidRDefault="005F449A">
      <w:pPr>
        <w:spacing w:after="179"/>
        <w:ind w:left="2" w:right="15"/>
      </w:pPr>
      <w:r>
        <w:t xml:space="preserve">В </w:t>
      </w:r>
      <w:r>
        <w:t>современных условиях пациенты активизируются достаточно быстро. Возможна 7–10дневная реабилитация в стационаре в следующих ситуациях (Российское кардиологическое общество):</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0768" behindDoc="0" locked="0" layoutInCell="1" allowOverlap="1">
                <wp:simplePos x="0" y="0"/>
                <wp:positionH relativeFrom="column">
                  <wp:posOffset>209550</wp:posOffset>
                </wp:positionH>
                <wp:positionV relativeFrom="paragraph">
                  <wp:posOffset>34776</wp:posOffset>
                </wp:positionV>
                <wp:extent cx="57150" cy="819150"/>
                <wp:effectExtent l="0" t="0" r="0" b="0"/>
                <wp:wrapSquare wrapText="bothSides"/>
                <wp:docPr id="259253" name="Group 259253"/>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789" name="Shape 2789"/>
                        <wps:cNvSpPr/>
                        <wps:spPr>
                          <a:xfrm>
                            <a:off x="0" y="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91" name="Shape 2791"/>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21"/>
                                  <a:pt x="46101" y="5680"/>
                                  <a:pt x="48781" y="8384"/>
                                </a:cubicBezTo>
                                <a:cubicBezTo>
                                  <a:pt x="51460" y="11038"/>
                                  <a:pt x="53525" y="14114"/>
                                  <a:pt x="54975" y="17611"/>
                                </a:cubicBezTo>
                                <a:cubicBezTo>
                                  <a:pt x="56425" y="21109"/>
                                  <a:pt x="57150" y="24755"/>
                                  <a:pt x="57150" y="28575"/>
                                </a:cubicBezTo>
                                <a:cubicBezTo>
                                  <a:pt x="57150" y="32345"/>
                                  <a:pt x="56425" y="35992"/>
                                  <a:pt x="54975" y="39489"/>
                                </a:cubicBezTo>
                                <a:cubicBezTo>
                                  <a:pt x="53525" y="43011"/>
                                  <a:pt x="51460" y="46112"/>
                                  <a:pt x="48781" y="48791"/>
                                </a:cubicBezTo>
                                <a:cubicBezTo>
                                  <a:pt x="46101" y="51445"/>
                                  <a:pt x="43011" y="53504"/>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112"/>
                                  <a:pt x="3625" y="43011"/>
                                  <a:pt x="2175" y="39489"/>
                                </a:cubicBezTo>
                                <a:cubicBezTo>
                                  <a:pt x="725" y="35992"/>
                                  <a:pt x="0" y="32345"/>
                                  <a:pt x="0" y="28575"/>
                                </a:cubicBezTo>
                                <a:cubicBezTo>
                                  <a:pt x="0" y="24755"/>
                                  <a:pt x="725" y="21109"/>
                                  <a:pt x="2175" y="17611"/>
                                </a:cubicBezTo>
                                <a:cubicBezTo>
                                  <a:pt x="3625" y="14114"/>
                                  <a:pt x="5690" y="11038"/>
                                  <a:pt x="8369" y="8384"/>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93" name="Shape 2793"/>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62"/>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62"/>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95" name="Shape 2795"/>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97" name="Shape 2797"/>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597"/>
                                  <a:pt x="46101" y="5655"/>
                                  <a:pt x="48781" y="8334"/>
                                </a:cubicBezTo>
                                <a:cubicBezTo>
                                  <a:pt x="51460" y="10988"/>
                                  <a:pt x="53525" y="14089"/>
                                  <a:pt x="54975" y="17587"/>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587"/>
                                </a:cubicBezTo>
                                <a:cubicBezTo>
                                  <a:pt x="3625" y="14089"/>
                                  <a:pt x="5690" y="10988"/>
                                  <a:pt x="8369" y="8334"/>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799" name="Shape 2799"/>
                        <wps:cNvSpPr/>
                        <wps:spPr>
                          <a:xfrm>
                            <a:off x="0" y="7620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253" style="width:4.5pt;height:64.5pt;position:absolute;mso-position-horizontal-relative:text;mso-position-horizontal:absolute;margin-left:16.5pt;mso-position-vertical-relative:text;margin-top:2.73828pt;" coordsize="571,8191">
                <v:shape id="Shape 2789" style="position:absolute;width:571;height:571;left:0;top:0;" coordsize="57150,57150" path="m28575,0c32364,0,36009,719,39510,2158c43011,3621,46101,5680,48781,8359c51460,11013,53525,14114,54975,17611c56425,21109,57150,24755,57150,28575c57150,32345,56425,35992,54975,39489c53525,42987,51460,46087,48781,48791c46101,51445,43011,53504,39510,54967c36009,56406,32364,57125,28575,57150c24786,57125,21141,56406,17640,54967c14139,53504,11049,51445,8369,48791c5690,46087,3625,42987,2175,39489c725,35992,0,32345,0,28575c0,24755,725,21109,2175,17611c3625,14114,5690,11013,8369,8359c11049,5680,14139,3621,17640,2158c21141,719,24786,0,28575,0x">
                  <v:stroke weight="0pt" endcap="flat" joinstyle="miter" miterlimit="4" on="false" color="#000000" opacity="0"/>
                  <v:fill on="true" color="#333333"/>
                </v:shape>
                <v:shape id="Shape 2791" style="position:absolute;width:571;height:571;left:0;top:1524;" coordsize="57150,57150" path="m28575,0c32364,0,36009,719,39510,2158c43011,3621,46101,5680,48781,8384c51460,11038,53525,14114,54975,17611c56425,21109,57150,24755,57150,28575c57150,32345,56425,35992,54975,39489c53525,43011,51460,46112,48781,48791c46101,51445,43011,53504,39510,54967c36009,56406,32364,57125,28575,57150c24786,57125,21141,56406,17640,54967c14139,53504,11049,51445,8369,48791c5690,46112,3625,43011,2175,39489c725,35992,0,32345,0,28575c0,24755,725,21109,2175,17611c3625,14114,5690,11038,8369,8384c11049,5680,14139,3621,17640,2158c21141,719,24786,0,28575,0x">
                  <v:stroke weight="0pt" endcap="flat" joinstyle="miter" miterlimit="4" on="false" color="#000000" opacity="0"/>
                  <v:fill on="true" color="#333333"/>
                </v:shape>
                <v:shape id="Shape 2793" style="position:absolute;width:571;height:571;left:0;top:3048;" coordsize="57150,57150" path="m28575,0c32364,0,36009,719,39510,2158c43011,3621,46101,5680,48781,8359c51460,11013,53525,14114,54975,17611c56425,21109,57150,24755,57150,28575c57150,32345,56425,35992,54975,39489c53525,42962,51460,46062,48781,48766c46101,51420,43011,53479,39510,54942c36009,56406,32364,57125,28575,57150c24786,57125,21141,56406,17640,54942c14139,53479,11049,51420,8369,48766c5690,46062,3625,42962,2175,39489c725,35992,0,32345,0,28575c0,24755,725,21109,2175,17611c3625,14114,5690,11013,8369,8359c11049,5680,14139,3621,17640,2158c21141,719,24786,0,28575,0x">
                  <v:stroke weight="0pt" endcap="flat" joinstyle="miter" miterlimit="4" on="false" color="#000000" opacity="0"/>
                  <v:fill on="true" color="#333333"/>
                </v:shape>
                <v:shape id="Shape 2795" style="position:absolute;width:571;height:571;left:0;top:4572;" coordsize="57150,57150" path="m28575,0c32364,0,36009,719,39510,2158c43011,3597,46101,5655,48781,8359c51460,11038,53525,14114,54975,17611c56425,21109,57150,24755,57150,28575c57150,32345,56425,35992,54975,39464c53525,42987,51460,46062,48781,48766c46101,51420,43011,53479,39510,54942c36009,56406,32364,57125,28575,57150c24786,57125,21141,56406,17640,54942c14139,53479,11049,51420,8369,48766c5690,46062,3625,42987,2175,39489c725,35992,0,32345,0,28575c0,24755,725,21109,2175,17611c3625,14114,5690,11038,8369,8359c11049,5655,14139,3597,17640,2158c21141,719,24786,0,28575,0x">
                  <v:stroke weight="0pt" endcap="flat" joinstyle="miter" miterlimit="4" on="false" color="#000000" opacity="0"/>
                  <v:fill on="true" color="#333333"/>
                </v:shape>
                <v:shape id="Shape 2797" style="position:absolute;width:571;height:571;left:0;top:6096;" coordsize="57150,57150" path="m28575,0c32364,0,36009,719,39510,2158c43011,3597,46101,5655,48781,8334c51460,10988,53525,14089,54975,17587c56425,21109,57150,24755,57150,28575c57150,32345,56425,35967,54975,39464c53525,42987,51460,46062,48781,48766c46101,51420,43011,53479,39510,54942c36009,56381,32364,57125,28575,57150c24786,57125,21141,56381,17640,54942c14139,53479,11049,51420,8369,48766c5690,46062,3625,42987,2175,39489c725,35967,0,32345,0,28575c0,24755,725,21109,2175,17587c3625,14089,5690,10988,8369,8334c11049,5655,14139,3597,17640,2158c21141,719,24786,0,28575,0x">
                  <v:stroke weight="0pt" endcap="flat" joinstyle="miter" miterlimit="4" on="false" color="#000000" opacity="0"/>
                  <v:fill on="true" color="#333333"/>
                </v:shape>
                <v:shape id="Shape 2799" style="position:absolute;width:571;height:571;left:0;top:7620;" coordsize="57150,57150" path="m28575,0c32364,0,36009,719,39510,2158c43011,3597,46101,5655,48781,8359c51460,11038,53525,14114,54975,17611c56425,21109,57150,24755,57150,28575c57150,32345,56425,35992,54975,39489c53525,42987,51460,46087,48781,48766c46101,51420,43011,53479,39510,54967c36009,56381,32364,57125,28575,57150c24786,57125,21141,56381,17640,54942c14139,53479,11049,51420,8369,48766c5690,46087,3625,42987,2175,39489c725,35992,0,32345,0,28575c0,24755,725,21109,2175,17611c3625,14114,5690,11038,8369,8359c11049,5655,14139,3597,17640,2158c21141,719,24786,0,28575,0x">
                  <v:stroke weight="0pt" endcap="flat" joinstyle="miter" miterlimit="4" on="false" color="#000000" opacity="0"/>
                  <v:fill on="true" color="#333333"/>
                </v:shape>
                <w10:wrap type="square"/>
              </v:group>
            </w:pict>
          </mc:Fallback>
        </mc:AlternateContent>
      </w:r>
      <w:r>
        <w:t>возраст &lt;70 лет;</w:t>
      </w:r>
    </w:p>
    <w:p w:rsidR="008E3F15" w:rsidRDefault="005F449A">
      <w:pPr>
        <w:ind w:left="340" w:right="4902"/>
      </w:pPr>
      <w:r>
        <w:t>низкий риск (например, по шкале GRACE); нет тяжелой коморбидности</w:t>
      </w:r>
      <w:r>
        <w:t>;</w:t>
      </w:r>
    </w:p>
    <w:p w:rsidR="008E3F15" w:rsidRDefault="005F449A">
      <w:pPr>
        <w:spacing w:after="179"/>
        <w:ind w:left="340" w:right="2123"/>
      </w:pPr>
      <w:r>
        <w:t>сохраненная систолическая функция левого желудочка; нет тяжелых аритмий; возможность продолжения программы реабилитации после выписки.</w:t>
      </w:r>
    </w:p>
    <w:p w:rsidR="008E3F15" w:rsidRDefault="005F449A">
      <w:pPr>
        <w:ind w:left="2" w:right="15"/>
      </w:pPr>
      <w:r>
        <w:t>Нагрузочный тест рекомендуют выполнить перед выпиской (не ранее 9–10-го дня, после реваскуляризации не ранее 7-го дня) или после выписки в ближайший месяц.</w:t>
      </w:r>
    </w:p>
    <w:p w:rsidR="008E3F15" w:rsidRDefault="005F449A">
      <w:pPr>
        <w:spacing w:after="359"/>
        <w:ind w:left="2" w:right="15"/>
      </w:pPr>
      <w:r>
        <w:t>Тест с нагрузкой не проводят у больных с постинфарктной СК, выраженной СН, опасными для жизни аритми</w:t>
      </w:r>
      <w:r>
        <w:t>ями, тяжелой коморбидностью.</w:t>
      </w:r>
    </w:p>
    <w:p w:rsidR="008E3F15" w:rsidRDefault="005F449A">
      <w:pPr>
        <w:pStyle w:val="Heading1"/>
        <w:ind w:left="2"/>
      </w:pPr>
      <w:r>
        <w:t>Часть I. Сердечно-сосудистые болезни</w:t>
      </w:r>
    </w:p>
    <w:p w:rsidR="008E3F15" w:rsidRDefault="005F449A">
      <w:pPr>
        <w:spacing w:after="179"/>
        <w:ind w:left="2" w:right="6454"/>
      </w:pPr>
      <w:r>
        <w:t xml:space="preserve">Амбулаторное лечение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1792" behindDoc="0" locked="0" layoutInCell="1" allowOverlap="1">
                <wp:simplePos x="0" y="0"/>
                <wp:positionH relativeFrom="column">
                  <wp:posOffset>209550</wp:posOffset>
                </wp:positionH>
                <wp:positionV relativeFrom="paragraph">
                  <wp:posOffset>34776</wp:posOffset>
                </wp:positionV>
                <wp:extent cx="57150" cy="819150"/>
                <wp:effectExtent l="0" t="0" r="0" b="0"/>
                <wp:wrapSquare wrapText="bothSides"/>
                <wp:docPr id="259254" name="Group 259254"/>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808" name="Shape 2808"/>
                        <wps:cNvSpPr/>
                        <wps:spPr>
                          <a:xfrm>
                            <a:off x="0" y="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10" name="Shape 2810"/>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12" name="Shape 2812"/>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621"/>
                                  <a:pt x="46101" y="5680"/>
                                  <a:pt x="48781" y="8384"/>
                                </a:cubicBezTo>
                                <a:cubicBezTo>
                                  <a:pt x="51460" y="11038"/>
                                  <a:pt x="53525" y="14114"/>
                                  <a:pt x="54975" y="17636"/>
                                </a:cubicBezTo>
                                <a:cubicBezTo>
                                  <a:pt x="56425" y="21134"/>
                                  <a:pt x="57150" y="24780"/>
                                  <a:pt x="57150" y="28575"/>
                                </a:cubicBezTo>
                                <a:cubicBezTo>
                                  <a:pt x="57150" y="32345"/>
                                  <a:pt x="56425" y="35992"/>
                                  <a:pt x="54975" y="39489"/>
                                </a:cubicBezTo>
                                <a:cubicBezTo>
                                  <a:pt x="53525" y="43011"/>
                                  <a:pt x="51460" y="46112"/>
                                  <a:pt x="48781" y="48791"/>
                                </a:cubicBezTo>
                                <a:cubicBezTo>
                                  <a:pt x="46101" y="51445"/>
                                  <a:pt x="43011" y="53504"/>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112"/>
                                  <a:pt x="3625" y="43011"/>
                                  <a:pt x="2175" y="39489"/>
                                </a:cubicBezTo>
                                <a:cubicBezTo>
                                  <a:pt x="725" y="35992"/>
                                  <a:pt x="0" y="32345"/>
                                  <a:pt x="0" y="28575"/>
                                </a:cubicBezTo>
                                <a:cubicBezTo>
                                  <a:pt x="0" y="24780"/>
                                  <a:pt x="725" y="21134"/>
                                  <a:pt x="2175" y="17636"/>
                                </a:cubicBezTo>
                                <a:cubicBezTo>
                                  <a:pt x="3625" y="14114"/>
                                  <a:pt x="5690" y="11038"/>
                                  <a:pt x="8369" y="8384"/>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14" name="Shape 2814"/>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16" name="Shape 2816"/>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18" name="Shape 2818"/>
                        <wps:cNvSpPr/>
                        <wps:spPr>
                          <a:xfrm>
                            <a:off x="0" y="7620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254" style="width:4.5pt;height:64.5pt;position:absolute;mso-position-horizontal-relative:text;mso-position-horizontal:absolute;margin-left:16.5pt;mso-position-vertical-relative:text;margin-top:2.73828pt;" coordsize="571,8191">
                <v:shape id="Shape 2808" style="position:absolute;width:571;height:571;left:0;top:0;" coordsize="57150,57150" path="m28575,0c32364,0,36009,719,39510,2133c43011,3597,46101,5655,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55,14139,3597,17640,2158c21141,719,24786,0,28575,0x">
                  <v:stroke weight="0pt" endcap="flat" joinstyle="miter" miterlimit="4" on="false" color="#000000" opacity="0"/>
                  <v:fill on="true" color="#333333"/>
                </v:shape>
                <v:shape id="Shape 2810" style="position:absolute;width:571;height:571;left:0;top:1524;" coordsize="57150,57150" path="m28575,0c32364,0,36009,719,39510,2158c43011,3621,46101,5680,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80,14139,3621,17640,2158c21141,719,24786,0,28575,0x">
                  <v:stroke weight="0pt" endcap="flat" joinstyle="miter" miterlimit="4" on="false" color="#000000" opacity="0"/>
                  <v:fill on="true" color="#333333"/>
                </v:shape>
                <v:shape id="Shape 2812" style="position:absolute;width:571;height:571;left:0;top:3048;" coordsize="57150,57150" path="m28575,0c32364,0,36009,719,39510,2158c43011,3621,46101,5680,48781,8384c51460,11038,53525,14114,54975,17636c56425,21134,57150,24780,57150,28575c57150,32345,56425,35992,54975,39489c53525,43011,51460,46112,48781,48791c46101,51445,43011,53504,39510,54967c36009,56406,32364,57125,28575,57150c24786,57125,21141,56406,17640,54967c14139,53504,11049,51445,8369,48791c5690,46112,3625,43011,2175,39489c725,35992,0,32345,0,28575c0,24780,725,21134,2175,17636c3625,14114,5690,11038,8369,8384c11049,5680,14139,3621,17640,2158c21141,719,24786,0,28575,0x">
                  <v:stroke weight="0pt" endcap="flat" joinstyle="miter" miterlimit="4" on="false" color="#000000" opacity="0"/>
                  <v:fill on="true" color="#333333"/>
                </v:shape>
                <v:shape id="Shape 2814" style="position:absolute;width:571;height:571;left:0;top:4572;" coordsize="57150,57150" path="m28575,0c32364,0,36009,719,39510,2158c43011,3621,46101,5680,48781,8359c51460,11013,53525,14114,54975,17611c56425,21109,57150,24755,57150,28575c57150,32345,56425,35992,54975,39489c53525,42987,51460,46062,48781,48766c46101,51420,43011,53479,39510,54942c36009,56406,32364,57125,28575,57150c24786,57125,21141,56406,17640,54942c14139,53479,11049,51420,8369,48766c5690,46062,3625,42987,2175,39489c725,35992,0,32345,0,28575c0,24755,725,21109,2175,17611c3625,14114,5690,11013,8369,8359c11049,5680,14139,3621,17640,2158c21141,719,24786,0,28575,0x">
                  <v:stroke weight="0pt" endcap="flat" joinstyle="miter" miterlimit="4" on="false" color="#000000" opacity="0"/>
                  <v:fill on="true" color="#333333"/>
                </v:shape>
                <v:shape id="Shape 2816" style="position:absolute;width:571;height:571;left:0;top:6096;" coordsize="57150,57150" path="m28575,0c32364,0,36009,719,39510,2158c43011,3597,46101,5655,48781,8359c51460,11038,53525,14114,54975,17611c56425,21109,57150,24755,57150,28575c57150,32345,56425,35992,54975,39464c53525,42987,51460,46062,48781,48766c46101,51420,43011,53479,39510,54942c36009,56381,32364,57125,28575,57150c24786,57125,21141,56381,17640,54942c14139,53479,11049,51420,8369,48766c5690,46062,3625,42987,2175,39489c725,35992,0,32345,0,28575c0,24755,725,21109,2175,17611c3625,14114,5690,11038,8369,8359c11049,5655,14139,3597,17640,2158c21141,719,24786,0,28575,0x">
                  <v:stroke weight="0pt" endcap="flat" joinstyle="miter" miterlimit="4" on="false" color="#000000" opacity="0"/>
                  <v:fill on="true" color="#333333"/>
                </v:shape>
                <v:shape id="Shape 2818" style="position:absolute;width:571;height:571;left:0;top:7620;" coordsize="57150,57150" path="m28575,0c32364,0,36009,719,39510,2158c43011,3597,46101,5655,48781,8359c51460,11038,53525,14114,54975,17611c56425,21109,57150,24755,57150,28575c57150,32345,56425,35967,54975,39464c53525,42987,51460,46062,48781,48766c46101,51420,43011,53479,39510,54967c36009,56381,32364,57125,28575,57150c24786,57125,21141,56381,17640,54942c14139,53479,11049,51420,8369,48766c5690,46062,3625,42987,2175,39489c725,35967,0,32345,0,28575c0,24755,725,21109,2175,17611c3625,14114,5690,11038,8369,8359c11049,5655,14139,3597,17640,2158c21141,719,24786,0,28575,0x">
                  <v:stroke weight="0pt" endcap="flat" joinstyle="miter" miterlimit="4" on="false" color="#000000" opacity="0"/>
                  <v:fill on="true" color="#333333"/>
                </v:shape>
                <w10:wrap type="square"/>
              </v:group>
            </w:pict>
          </mc:Fallback>
        </mc:AlternateContent>
      </w:r>
      <w:r>
        <w:t>ЭКГ в динамике.</w:t>
      </w:r>
    </w:p>
    <w:p w:rsidR="008E3F15" w:rsidRDefault="005F449A">
      <w:pPr>
        <w:spacing w:after="31"/>
        <w:ind w:left="340" w:right="15"/>
      </w:pPr>
      <w:r>
        <w:t>Липидограмма.</w:t>
      </w:r>
    </w:p>
    <w:p w:rsidR="008E3F15" w:rsidRDefault="005F449A">
      <w:pPr>
        <w:spacing w:after="31"/>
        <w:ind w:left="340" w:right="15"/>
      </w:pPr>
      <w:r>
        <w:t>Стресс-тест.</w:t>
      </w:r>
    </w:p>
    <w:p w:rsidR="008E3F15" w:rsidRDefault="005F449A">
      <w:pPr>
        <w:spacing w:after="31"/>
        <w:ind w:left="340" w:right="15"/>
      </w:pPr>
      <w:r>
        <w:t>Дневник пациента (АД, ЧСС).</w:t>
      </w:r>
    </w:p>
    <w:p w:rsidR="008E3F15" w:rsidRDefault="005F449A">
      <w:pPr>
        <w:spacing w:after="31"/>
        <w:ind w:left="340" w:right="15"/>
      </w:pPr>
      <w:r>
        <w:t>Шкала TRS2P</w:t>
      </w:r>
    </w:p>
    <w:p w:rsidR="008E3F15" w:rsidRDefault="005F449A">
      <w:pPr>
        <w:spacing w:after="165"/>
        <w:ind w:left="340" w:right="15"/>
      </w:pPr>
      <w:r>
        <w:t>По показаниям: гликемия, креатинин, рСКФ.</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2816" behindDoc="0" locked="0" layoutInCell="1" allowOverlap="1">
                <wp:simplePos x="0" y="0"/>
                <wp:positionH relativeFrom="column">
                  <wp:posOffset>209550</wp:posOffset>
                </wp:positionH>
                <wp:positionV relativeFrom="paragraph">
                  <wp:posOffset>34776</wp:posOffset>
                </wp:positionV>
                <wp:extent cx="57150" cy="666750"/>
                <wp:effectExtent l="0" t="0" r="0" b="0"/>
                <wp:wrapSquare wrapText="bothSides"/>
                <wp:docPr id="259255" name="Group 259255"/>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821" name="Shape 2821"/>
                        <wps:cNvSpPr/>
                        <wps:spPr>
                          <a:xfrm>
                            <a:off x="0" y="0"/>
                            <a:ext cx="57150" cy="57150"/>
                          </a:xfrm>
                          <a:custGeom>
                            <a:avLst/>
                            <a:gdLst/>
                            <a:ahLst/>
                            <a:cxnLst/>
                            <a:rect l="0" t="0" r="0" b="0"/>
                            <a:pathLst>
                              <a:path w="57150" h="57150">
                                <a:moveTo>
                                  <a:pt x="28575" y="0"/>
                                </a:moveTo>
                                <a:cubicBezTo>
                                  <a:pt x="32364" y="0"/>
                                  <a:pt x="36009" y="719"/>
                                  <a:pt x="39510" y="2133"/>
                                </a:cubicBezTo>
                                <a:cubicBezTo>
                                  <a:pt x="43011" y="3621"/>
                                  <a:pt x="46101" y="5680"/>
                                  <a:pt x="48781" y="8384"/>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42"/>
                                </a:cubicBezTo>
                                <a:cubicBezTo>
                                  <a:pt x="36009" y="56381"/>
                                  <a:pt x="32364" y="57125"/>
                                  <a:pt x="28575" y="57150"/>
                                </a:cubicBezTo>
                                <a:cubicBezTo>
                                  <a:pt x="24786" y="57125"/>
                                  <a:pt x="21141" y="56381"/>
                                  <a:pt x="17640" y="54942"/>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84"/>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23" name="Shape 2823"/>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25" name="Shape 2825"/>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27" name="Shape 2827"/>
                        <wps:cNvSpPr/>
                        <wps:spPr>
                          <a:xfrm>
                            <a:off x="0" y="457200"/>
                            <a:ext cx="57150" cy="57150"/>
                          </a:xfrm>
                          <a:custGeom>
                            <a:avLst/>
                            <a:gdLst/>
                            <a:ahLst/>
                            <a:cxnLst/>
                            <a:rect l="0" t="0" r="0" b="0"/>
                            <a:pathLst>
                              <a:path w="57150" h="57150">
                                <a:moveTo>
                                  <a:pt x="28575" y="0"/>
                                </a:moveTo>
                                <a:cubicBezTo>
                                  <a:pt x="32364" y="0"/>
                                  <a:pt x="36009" y="719"/>
                                  <a:pt x="39510" y="2133"/>
                                </a:cubicBezTo>
                                <a:cubicBezTo>
                                  <a:pt x="43011" y="3597"/>
                                  <a:pt x="46101" y="5655"/>
                                  <a:pt x="48781" y="8334"/>
                                </a:cubicBezTo>
                                <a:cubicBezTo>
                                  <a:pt x="51460" y="10988"/>
                                  <a:pt x="53525" y="14089"/>
                                  <a:pt x="54975" y="17611"/>
                                </a:cubicBezTo>
                                <a:cubicBezTo>
                                  <a:pt x="56425" y="21109"/>
                                  <a:pt x="57150" y="24755"/>
                                  <a:pt x="57150" y="28575"/>
                                </a:cubicBezTo>
                                <a:cubicBezTo>
                                  <a:pt x="57150" y="32345"/>
                                  <a:pt x="56425" y="35992"/>
                                  <a:pt x="54975" y="39489"/>
                                </a:cubicBezTo>
                                <a:cubicBezTo>
                                  <a:pt x="53525" y="42962"/>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62"/>
                                  <a:pt x="2175" y="39489"/>
                                </a:cubicBezTo>
                                <a:cubicBezTo>
                                  <a:pt x="725" y="35992"/>
                                  <a:pt x="0" y="32345"/>
                                  <a:pt x="0" y="28575"/>
                                </a:cubicBezTo>
                                <a:cubicBezTo>
                                  <a:pt x="0" y="24755"/>
                                  <a:pt x="725" y="21109"/>
                                  <a:pt x="2175" y="17611"/>
                                </a:cubicBezTo>
                                <a:cubicBezTo>
                                  <a:pt x="3625" y="14089"/>
                                  <a:pt x="5690" y="10988"/>
                                  <a:pt x="8369" y="8334"/>
                                </a:cubicBezTo>
                                <a:cubicBezTo>
                                  <a:pt x="11049" y="5655"/>
                                  <a:pt x="14139" y="3597"/>
                                  <a:pt x="17640" y="2133"/>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829" name="Shape 2829"/>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255" style="width:4.5pt;height:52.5pt;position:absolute;mso-position-horizontal-relative:text;mso-position-horizontal:absolute;margin-left:16.5pt;mso-position-vertical-relative:text;margin-top:2.73828pt;" coordsize="571,6667">
                <v:shape id="Shape 2821" style="position:absolute;width:571;height:571;left:0;top:0;" coordsize="57150,57150" path="m28575,0c32364,0,36009,719,39510,2133c43011,3621,46101,5680,48781,8384c51460,11038,53525,14114,54975,17611c56425,21109,57150,24755,57150,28575c57150,32345,56425,35992,54975,39489c53525,42987,51460,46087,48781,48791c46101,51445,43011,53504,39510,54942c36009,56381,32364,57125,28575,57150c24786,57125,21141,56381,17640,54942c14139,53504,11049,51445,8369,48791c5690,46087,3625,42987,2175,39489c725,35992,0,32345,0,28575c0,24755,725,21109,2175,17611c3625,14114,5690,11038,8369,8384c11049,5680,14139,3621,17640,2158c21141,719,24786,0,28575,0x">
                  <v:stroke weight="0pt" endcap="flat" joinstyle="miter" miterlimit="4" on="false" color="#000000" opacity="0"/>
                  <v:fill on="true" color="#333333"/>
                </v:shape>
                <v:shape id="Shape 2823" style="position:absolute;width:571;height:571;left:0;top:1524;" coordsize="57150,57150" path="m28575,0c32364,0,36009,719,39510,2158c43011,3621,46101,5680,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80,14139,3621,17640,2158c21141,719,24786,0,28575,0x">
                  <v:stroke weight="0pt" endcap="flat" joinstyle="miter" miterlimit="4" on="false" color="#000000" opacity="0"/>
                  <v:fill on="true" color="#333333"/>
                </v:shape>
                <v:shape id="Shape 2825" style="position:absolute;width:571;height:571;left:0;top:3048;" coordsize="57150,57150" path="m28575,0c32364,0,36009,719,39510,2158c43011,3621,46101,5680,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80,14139,3621,17640,2158c21141,719,24786,0,28575,0x">
                  <v:stroke weight="0pt" endcap="flat" joinstyle="miter" miterlimit="4" on="false" color="#000000" opacity="0"/>
                  <v:fill on="true" color="#333333"/>
                </v:shape>
                <v:shape id="Shape 2827" style="position:absolute;width:571;height:571;left:0;top:4572;" coordsize="57150,57150" path="m28575,0c32364,0,36009,719,39510,2133c43011,3597,46101,5655,48781,8334c51460,10988,53525,14089,54975,17611c56425,21109,57150,24755,57150,28575c57150,32345,56425,35992,54975,39489c53525,42962,51460,46062,48781,48766c46101,51420,43011,53479,39510,54942c36009,56406,32364,57125,28575,57150c24786,57125,21141,56406,17640,54942c14139,53479,11049,51420,8369,48766c5690,46062,3625,42962,2175,39489c725,35992,0,32345,0,28575c0,24755,725,21109,2175,17611c3625,14089,5690,10988,8369,8334c11049,5655,14139,3597,17640,2133c21141,719,24786,0,28575,0x">
                  <v:stroke weight="0pt" endcap="flat" joinstyle="miter" miterlimit="4" on="false" color="#000000" opacity="0"/>
                  <v:fill on="true" color="#333333"/>
                </v:shape>
                <v:shape id="Shape 2829" style="position:absolute;width:571;height:571;left:0;top:6096;" coordsize="57150,57150" path="m28575,0c32364,0,36009,719,39510,2158c43011,3621,46101,5680,48781,8359c51460,11013,53525,14114,54975,17611c56425,21109,57150,24755,57150,28575c57150,32345,56425,35992,54975,39464c53525,42987,51460,46062,48781,48766c46101,51420,43011,53479,39510,54942c36009,56406,32364,57125,28575,57150c24786,57125,21141,56406,17640,54942c14139,53479,11049,51420,8369,48766c5690,46062,3625,42987,2175,39489c725,35992,0,32345,0,28575c0,24755,725,21109,2175,17611c3625,14114,5690,11013,8369,8359c11049,5680,14139,3621,17640,2158c21141,719,24786,0,28575,0x">
                  <v:stroke weight="0pt" endcap="flat" joinstyle="miter" miterlimit="4" on="false" color="#000000" opacity="0"/>
                  <v:fill on="true" color="#333333"/>
                </v:shape>
                <w10:wrap type="square"/>
              </v:group>
            </w:pict>
          </mc:Fallback>
        </mc:AlternateContent>
      </w:r>
      <w:r>
        <w:t>АСК.</w:t>
      </w:r>
    </w:p>
    <w:p w:rsidR="008E3F15" w:rsidRDefault="005F449A">
      <w:pPr>
        <w:ind w:left="340" w:right="4901"/>
      </w:pPr>
      <w:r>
        <w:t>Прасугрел, или тикагрелор, или клопидогрел. β-Адреноблокаторы. иАПФ/БРА.</w:t>
      </w:r>
    </w:p>
    <w:p w:rsidR="008E3F15" w:rsidRDefault="005F449A">
      <w:pPr>
        <w:spacing w:after="31"/>
        <w:ind w:left="340" w:right="15"/>
      </w:pPr>
      <w:r>
        <w:t>Статины.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3840"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60138" name="Group 260138"/>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841" name="Shape 2841"/>
                        <wps:cNvSpPr/>
                        <wps:spPr>
                          <a:xfrm>
                            <a:off x="0" y="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843" name="Shape 2843"/>
                        <wps:cNvSpPr/>
                        <wps:spPr>
                          <a:xfrm>
                            <a:off x="0" y="152400"/>
                            <a:ext cx="57150" cy="57150"/>
                          </a:xfrm>
                          <a:custGeom>
                            <a:avLst/>
                            <a:gdLst/>
                            <a:ahLst/>
                            <a:cxnLst/>
                            <a:rect l="0" t="0" r="0" b="0"/>
                            <a:pathLst>
                              <a:path w="57150" h="57150">
                                <a:moveTo>
                                  <a:pt x="28575" y="0"/>
                                </a:moveTo>
                                <a:cubicBezTo>
                                  <a:pt x="32364" y="0"/>
                                  <a:pt x="36009" y="719"/>
                                  <a:pt x="39510" y="2133"/>
                                </a:cubicBezTo>
                                <a:cubicBezTo>
                                  <a:pt x="43011" y="3572"/>
                                  <a:pt x="46101" y="5631"/>
                                  <a:pt x="48781" y="8334"/>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381"/>
                                  <a:pt x="32364" y="57125"/>
                                  <a:pt x="28575" y="57150"/>
                                </a:cubicBezTo>
                                <a:cubicBezTo>
                                  <a:pt x="24786" y="57125"/>
                                  <a:pt x="21141" y="56381"/>
                                  <a:pt x="17640" y="54942"/>
                                </a:cubicBezTo>
                                <a:cubicBezTo>
                                  <a:pt x="14139" y="53504"/>
                                  <a:pt x="11049" y="51445"/>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34"/>
                                </a:cubicBezTo>
                                <a:cubicBezTo>
                                  <a:pt x="11049" y="5631"/>
                                  <a:pt x="14139" y="3572"/>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845" name="Shape 2845"/>
                        <wps:cNvSpPr/>
                        <wps:spPr>
                          <a:xfrm>
                            <a:off x="0" y="3048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0138" style="width:4.5pt;height:28.5pt;position:absolute;mso-position-horizontal-relative:text;mso-position-horizontal:absolute;margin-left:16.5pt;mso-position-vertical-relative:text;margin-top:2.73828pt;" coordsize="571,3619">
                <v:shape id="Shape 2841" style="position:absolute;width:571;height:571;left:0;top:0;" coordsize="57150,57150" path="m28575,0c32364,0,36009,719,39510,2133c43011,3621,46101,5680,48781,8359c51460,11013,53525,14114,54975,17611c56425,21109,57150,24755,57150,28575c57150,32345,56425,35992,54975,39489c53525,42987,51460,46062,48781,48766c46101,51445,43011,53504,39510,54942c36009,56406,32364,57125,28575,57150c24786,57125,21141,56406,17640,54942c14139,53504,11049,51445,8369,48766c5690,46062,3625,42987,2175,39489c725,35992,0,32345,0,28575c0,24755,725,21109,2175,17611c3625,14114,5690,11013,8369,8359c11049,5680,14139,3621,17640,2158c21141,719,24786,0,28575,0x">
                  <v:stroke weight="0pt" endcap="flat" joinstyle="miter" miterlimit="10" on="false" color="#000000" opacity="0"/>
                  <v:fill on="true" color="#333333"/>
                </v:shape>
                <v:shape id="Shape 2843" style="position:absolute;width:571;height:571;left:0;top:1524;" coordsize="57150,57150" path="m28575,0c32364,0,36009,719,39510,2133c43011,3572,46101,5631,48781,8334c51460,11013,53525,14114,54975,17611c56425,21109,57150,24755,57150,28575c57150,32345,56425,35992,54975,39489c53525,42987,51460,46062,48781,48766c46101,51445,43011,53504,39510,54942c36009,56381,32364,57125,28575,57150c24786,57125,21141,56381,17640,54942c14139,53504,11049,51445,8369,48766c5690,46062,3625,42987,2175,39489c725,35992,0,32345,0,28575c0,24755,725,21109,2175,17611c3625,14114,5690,11013,8369,8334c11049,5631,14139,3572,17640,2133c21141,719,24786,0,28575,0x">
                  <v:stroke weight="0pt" endcap="flat" joinstyle="miter" miterlimit="10" on="false" color="#000000" opacity="0"/>
                  <v:fill on="true" color="#333333"/>
                </v:shape>
                <v:shape id="Shape 2845" style="position:absolute;width:571;height:571;left:0;top:3048;" coordsize="57150,57150" path="m28575,0c32364,0,36009,719,39510,2133c43011,3597,46101,5655,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w10:wrap type="square"/>
              </v:group>
            </w:pict>
          </mc:Fallback>
        </mc:AlternateContent>
      </w:r>
      <w:r>
        <w:t>По показаниям: аМКР (ФВЛЖ ≤40% + симптомы СН или СД).</w:t>
      </w:r>
    </w:p>
    <w:p w:rsidR="008E3F15" w:rsidRDefault="005F449A">
      <w:pPr>
        <w:spacing w:after="31"/>
        <w:ind w:left="340" w:right="15"/>
      </w:pPr>
      <w:r>
        <w:t>Физическая и психологическая реабилитация.</w:t>
      </w:r>
    </w:p>
    <w:p w:rsidR="008E3F15" w:rsidRDefault="005F449A">
      <w:pPr>
        <w:spacing w:after="31"/>
        <w:ind w:left="340" w:right="15"/>
      </w:pPr>
      <w:r>
        <w:t>Реваскуляризация.</w:t>
      </w:r>
    </w:p>
    <w:p w:rsidR="008E3F15" w:rsidRDefault="005F449A">
      <w:pPr>
        <w:ind w:left="2" w:right="15"/>
      </w:pPr>
      <w:r>
        <w:t>После острого периода ИМ длительно сохраняется повышенный риск сердечно-сосудистых событий, который можно оценить с помощью шкалы TRS2P. Степень риска следует учитывать при вторичной профилактике, которая проводится пожизненно.</w:t>
      </w:r>
    </w:p>
    <w:p w:rsidR="008E3F15" w:rsidRDefault="005F449A">
      <w:pPr>
        <w:ind w:left="2" w:right="1033"/>
      </w:pPr>
      <w:r>
        <w:t>Цель лечения — минимизация с</w:t>
      </w:r>
      <w:r>
        <w:t>имптомов, контроль нагрузок на мио кард (ЧСС, АД) и факторов риска, реабилитация.</w:t>
      </w:r>
    </w:p>
    <w:p w:rsidR="008E3F15" w:rsidRDefault="005F449A">
      <w:pPr>
        <w:ind w:left="2" w:right="15"/>
      </w:pPr>
      <w:r>
        <w:t xml:space="preserve">После стационарного этапа реабилитационные мероприятия должны проводиться в отделении кардиореабилитации поликлиники или в реабилитационном стационаре. Следует отметить, что </w:t>
      </w:r>
      <w:r>
        <w:t xml:space="preserve">у половины пациентов с необструктивной формой ИМ при повторном остром коронарном событии выявляется стеноз &gt;50%, что подчеркивает важность активного контроля атеросклероза, включающего коррекцию факторов риска (адекватный уровень АД и гликемии, физические </w:t>
      </w:r>
      <w:r>
        <w:t>тренировки, отказ от курения, диета) (Nordenskjöld A. et al., 2019). Рекомендации по активизации пациентов в период после выписки из стационара будут более адекватными при учете результатов нагрузочного теста. Минимальной целью является аэробная нагрузка у</w:t>
      </w:r>
      <w:r>
        <w:t>меренной интенсивности (например, ходьба в умеренном темпе по ровной местности) в течение 30–40 мин (суммарно в течение дня) не менее 5 дней в неделю в сочетании с увеличением повседневной нагрузки.</w:t>
      </w:r>
    </w:p>
    <w:p w:rsidR="008E3F15" w:rsidRDefault="005F449A">
      <w:pPr>
        <w:ind w:left="2" w:right="832"/>
      </w:pPr>
      <w:r>
        <w:t xml:space="preserve">Тренирующие нагрузки не должны сопровождаться повышением </w:t>
      </w:r>
      <w:r>
        <w:t>ЧСС более 50–60% от максимальной (без препаратов с отрицательным хронотропным действием).</w:t>
      </w:r>
    </w:p>
    <w:p w:rsidR="008E3F15" w:rsidRDefault="005F449A">
      <w:pPr>
        <w:ind w:left="2" w:right="15"/>
      </w:pPr>
      <w:r>
        <w:t>Сексуальная активность разрешается при возможности выполнить без ишемии мио карда нагрузку с повышением ЧСС до 120–130 в мин, АД — до 170 мм рт.ст. (примерно соответс</w:t>
      </w:r>
      <w:r>
        <w:t>твует подъему на 2-й этаж за 10 с).</w:t>
      </w:r>
    </w:p>
    <w:p w:rsidR="008E3F15" w:rsidRDefault="005F449A">
      <w:pPr>
        <w:ind w:left="2" w:right="15"/>
      </w:pPr>
      <w:r>
        <w:t>Лечение антиагрегантом после ИМ проводится всем пациентам неопределенно долго. Кишечнорастворимая оболочка и обволакивающие компоненты могут снизить усвоение АСК и вызывать псевдорезистентность (Bhatt D. et al., 2017). Е</w:t>
      </w:r>
      <w:r>
        <w:t>сли ИМ развился на фоне приема АСК, то следует рассмотреть замену антиагреганта для длительного лечения.</w:t>
      </w:r>
    </w:p>
    <w:p w:rsidR="008E3F15" w:rsidRDefault="005F449A">
      <w:pPr>
        <w:ind w:left="2" w:right="15"/>
      </w:pPr>
      <w:r>
        <w:t>У пациентов с повышенным риском ишемических событий второй антиагрегант рекомендуют принимать до одного года. При высоком риске и неблагоприятном течен</w:t>
      </w:r>
      <w:r>
        <w:t>ии увеличение длительности приема двух антиагрегантов может снизить риск сердечно-сосудистых событий на 16%, но возрастает риск нефатальных больших кровотечений (PEGASUS-TIMI 54; Udell J. et al., 2016; Patti G. et al., 2016).</w:t>
      </w:r>
    </w:p>
    <w:p w:rsidR="008E3F15" w:rsidRDefault="005F449A">
      <w:pPr>
        <w:ind w:left="2" w:right="15"/>
      </w:pPr>
      <w:r>
        <w:t>Наибольшая эффективность ингиб</w:t>
      </w:r>
      <w:r>
        <w:t>иторов P2Y</w:t>
      </w:r>
      <w:r>
        <w:rPr>
          <w:sz w:val="31"/>
          <w:vertAlign w:val="subscript"/>
        </w:rPr>
        <w:t>12</w:t>
      </w:r>
      <w:r>
        <w:t xml:space="preserve"> наблюдается в ранней фазе лечения, а риск кровотечения повышен стабильно. Поэтому в случаях высокого риска кровотечений или при появлении последних терапию двумя антиагрегантами целесообразно ограничить до 1–3 мес, оставив клопидогрел (</w:t>
      </w:r>
      <w:r>
        <w:rPr>
          <w:b/>
        </w:rPr>
        <w:t>рис. 1.</w:t>
      </w:r>
      <w:r>
        <w:rPr>
          <w:b/>
        </w:rPr>
        <w:t>8</w:t>
      </w:r>
      <w:r>
        <w:t>; O’Donoghue. et al., 2020; Giacoppo D. et al., 2020).</w:t>
      </w:r>
    </w:p>
    <w:p w:rsidR="008E3F15" w:rsidRDefault="005F449A">
      <w:pPr>
        <w:spacing w:after="65" w:line="259" w:lineRule="auto"/>
        <w:ind w:left="0" w:right="0" w:firstLine="0"/>
      </w:pPr>
      <w:r>
        <w:rPr>
          <w:noProof/>
        </w:rPr>
        <w:drawing>
          <wp:inline distT="0" distB="0" distL="0" distR="0">
            <wp:extent cx="5057775" cy="2171700"/>
            <wp:effectExtent l="0" t="0" r="0" b="0"/>
            <wp:docPr id="2886" name="Picture 2886"/>
            <wp:cNvGraphicFramePr/>
            <a:graphic xmlns:a="http://schemas.openxmlformats.org/drawingml/2006/main">
              <a:graphicData uri="http://schemas.openxmlformats.org/drawingml/2006/picture">
                <pic:pic xmlns:pic="http://schemas.openxmlformats.org/drawingml/2006/picture">
                  <pic:nvPicPr>
                    <pic:cNvPr id="2886" name="Picture 2886"/>
                    <pic:cNvPicPr/>
                  </pic:nvPicPr>
                  <pic:blipFill>
                    <a:blip r:embed="rId15"/>
                    <a:stretch>
                      <a:fillRect/>
                    </a:stretch>
                  </pic:blipFill>
                  <pic:spPr>
                    <a:xfrm>
                      <a:off x="0" y="0"/>
                      <a:ext cx="5057775" cy="2171700"/>
                    </a:xfrm>
                    <a:prstGeom prst="rect">
                      <a:avLst/>
                    </a:prstGeom>
                  </pic:spPr>
                </pic:pic>
              </a:graphicData>
            </a:graphic>
          </wp:inline>
        </w:drawing>
      </w:r>
    </w:p>
    <w:p w:rsidR="008E3F15" w:rsidRDefault="005F449A">
      <w:pPr>
        <w:spacing w:after="31"/>
        <w:ind w:left="2" w:right="15"/>
      </w:pPr>
      <w:r>
        <w:rPr>
          <w:b/>
        </w:rPr>
        <w:t xml:space="preserve">Рис. 1.8. </w:t>
      </w:r>
      <w:r>
        <w:t>Индивидуализированная терапия антиагрегантами (ESC)</w:t>
      </w:r>
    </w:p>
    <w:p w:rsidR="008E3F15" w:rsidRDefault="005F449A">
      <w:pPr>
        <w:ind w:left="2" w:right="358"/>
      </w:pPr>
      <w:r>
        <w:t xml:space="preserve">Через месяц активной терапии двумя антиагрегантами возможна де эскалация терапии с заменой прасугрела или тикагрелора на менее активный </w:t>
      </w:r>
      <w:r>
        <w:t>клопидогрел или уменьшение дозы прасугрела с 10 до 5 мг, что позволяет снизить риск кровотечений (TALOS-AMI; TOPIC, TROPICAL-ACS, HOST-REDUCE-POLYTECH-ACS).</w:t>
      </w:r>
    </w:p>
    <w:p w:rsidR="008E3F15" w:rsidRDefault="005F449A">
      <w:pPr>
        <w:ind w:left="2" w:right="15"/>
      </w:pPr>
      <w:r>
        <w:t>При комбинированной противотромботической терапии при высоком риске гастроинтестинальных кровотечен</w:t>
      </w:r>
      <w:r>
        <w:t>ий рекомендуют дополнительно назначить ингибиторы протонной помпы. Большое проспективное рандомизированное исследование COMPASS, в отличие от многих наблюдательных исследований ингибиторов протонной помпы, не выявило увеличения неблагоприятных побочных эфф</w:t>
      </w:r>
      <w:r>
        <w:t>ектов, включая сердечно-сосудистые, по сравнению с плацебо после 3-летнего приема пантопразола в дозе 40 мг/сут, за исключением возрастания риска кишечных инфекций (Moayyedi P. et al., 2019).</w:t>
      </w:r>
    </w:p>
    <w:p w:rsidR="008E3F15" w:rsidRDefault="005F449A">
      <w:pPr>
        <w:ind w:left="2" w:right="15"/>
      </w:pPr>
      <w:r>
        <w:t>По данным метаанализа рандомизированных исследований, β-адренобл</w:t>
      </w:r>
      <w:r>
        <w:t>окаторы могут снизить смертность и частоту реинфарктов у пациентов без СН (Cochrane Reviews). Прием βадреноблокаторов рекомендуют продолжать по крайней мере до 3 лет после ИМ при нормальной функции левого желудочка и дольше при СНнФВ.</w:t>
      </w:r>
    </w:p>
    <w:p w:rsidR="008E3F15" w:rsidRDefault="005F449A">
      <w:pPr>
        <w:ind w:left="2" w:right="376"/>
      </w:pPr>
      <w:r>
        <w:t>Тромбы левого желудоч</w:t>
      </w:r>
      <w:r>
        <w:t>ка значительно повышают риск тромбоэмболий (16 против 3% в течение 5 лет), преимущественно церебральных (Maniwa N. et al., 2018). Поэтому необходима длительная адекватная терапия варфарином, с эхокардиографическим контролем через каждые 6 мес. Могут быть э</w:t>
      </w:r>
      <w:r>
        <w:t>ффективны прямые оральные антикоагулянты (Fleddermann A. et al., 2019).</w:t>
      </w:r>
    </w:p>
    <w:p w:rsidR="008E3F15" w:rsidRDefault="005F449A">
      <w:pPr>
        <w:ind w:left="2" w:right="15"/>
      </w:pPr>
      <w:r>
        <w:t>Пациентам рекомендуется интенсивная терапия статинами (розувастатин 20–40 мг, аторвастатин 40–80 мг). При недостаточном эффекте последних может быть эффективным добавление эзетимиба, о</w:t>
      </w:r>
      <w:r>
        <w:t>собенно у пациентов высокого риска (IMPROVE-IT).</w:t>
      </w:r>
    </w:p>
    <w:p w:rsidR="008E3F15" w:rsidRDefault="005F449A">
      <w:pPr>
        <w:spacing w:after="359"/>
        <w:ind w:left="2" w:right="457"/>
      </w:pPr>
      <w:r>
        <w:t>Отсутствие модифицируемых факторов риска (гипертензия, гиперхолестеринемия, СД) не является основанием для отказа от приема иАПФ/БРА, статинов и β-адреноблокаторов, которые способны улучшить прогноз (Figtree</w:t>
      </w:r>
      <w:r>
        <w:t xml:space="preserve"> G. et al., 2021).</w:t>
      </w:r>
    </w:p>
    <w:p w:rsidR="008E3F15" w:rsidRDefault="005F449A">
      <w:pPr>
        <w:pStyle w:val="Heading1"/>
        <w:ind w:left="2"/>
      </w:pPr>
      <w:r>
        <w:t>Часть I. Сердечно-сосудистые болезни</w:t>
      </w:r>
    </w:p>
    <w:p w:rsidR="008E3F15" w:rsidRDefault="005F449A">
      <w:pPr>
        <w:ind w:left="2" w:right="705"/>
      </w:pPr>
      <w:r>
        <w:t>В случае дисфункции левого желудочка с ФВЛЖ &lt;30% и СН NYHA II–III, сохраняющихся в течение ≥40 дней после ИМ, показана имплантация кардиовертера-дефибриллятора</w:t>
      </w:r>
    </w:p>
    <w:p w:rsidR="008E3F15" w:rsidRDefault="005F449A">
      <w:pPr>
        <w:ind w:left="2" w:right="15"/>
      </w:pPr>
      <w:r>
        <w:t>(MADIT II, SCD-HeFT). Вместе с тем следует учитывать динамический характер ремоделирования левого желудочка.</w:t>
      </w:r>
    </w:p>
    <w:p w:rsidR="008E3F15" w:rsidRDefault="005F449A">
      <w:pPr>
        <w:ind w:left="2" w:right="100"/>
      </w:pPr>
      <w:r>
        <w:t>У пациентов с СД следует стремиться к эффективному контролю гликемии с гликированным гемоглобином (HbA</w:t>
      </w:r>
      <w:r>
        <w:rPr>
          <w:sz w:val="31"/>
          <w:vertAlign w:val="subscript"/>
        </w:rPr>
        <w:t>1</w:t>
      </w:r>
      <w:r>
        <w:rPr>
          <w:sz w:val="20"/>
        </w:rPr>
        <w:t>c</w:t>
      </w:r>
      <w:r>
        <w:t>) 6,5–7,0%, а при гипогликемических состоян</w:t>
      </w:r>
      <w:r>
        <w:t>иях целевой уровень HbA</w:t>
      </w:r>
      <w:r>
        <w:rPr>
          <w:sz w:val="31"/>
          <w:vertAlign w:val="subscript"/>
        </w:rPr>
        <w:t>1</w:t>
      </w:r>
      <w:r>
        <w:rPr>
          <w:sz w:val="20"/>
        </w:rPr>
        <w:t xml:space="preserve">c </w:t>
      </w:r>
      <w:r>
        <w:t>может быть выше (ADA/EASD). Наряду с метформином предпочтительнее использовать ингибиторы натрий-глюкозного котранспортера (иНГЛТ)-2 и агонисты рецепторов глюкогоноподобного пептида 1-го типа (арГПП-1), показавшие способность сниж</w:t>
      </w:r>
      <w:r>
        <w:t>ать риск ССЗ, а иНГЛТ-2 оказались весьма эффективными при СН даже у пациентов без СД. Не следует препятствовать приему алкоголя пациентами после ИМ  (например, женщинам до 1 бокала, а мужчинам — до 2 бокалов вина в сутки).</w:t>
      </w:r>
    </w:p>
    <w:p w:rsidR="008E3F15" w:rsidRDefault="005F449A">
      <w:pPr>
        <w:ind w:left="2" w:right="15"/>
      </w:pPr>
      <w:r>
        <w:t>Наличие у пациентов депрессии пос</w:t>
      </w:r>
      <w:r>
        <w:t xml:space="preserve">ле ИМ ассоциируется с повышением в 3–4 раза годовой смертности. Однако ни антидепрессанты, ни психотерапия не повысили выживаемость пациентов (SADHART; ENRICHED). Вместе с тем в случае выраженной и стойкой депрессии целесообразно назначить антидепрессанты </w:t>
      </w:r>
      <w:r>
        <w:t>с доказанной безопасностью (сертралин, циталопрам, эсциталопрам, миртазапин), позволяющие улучшить настроение, физическую активность и выполнение рекомендаций врача.</w:t>
      </w:r>
    </w:p>
    <w:p w:rsidR="008E3F15" w:rsidRDefault="005F449A">
      <w:pPr>
        <w:ind w:left="2" w:right="783"/>
      </w:pPr>
      <w:r>
        <w:t xml:space="preserve">Нужно учитывать, что селективные ингибиторы обратного захвата серотонина (СИОЗС) обладают </w:t>
      </w:r>
      <w:r>
        <w:t xml:space="preserve">свойствами антиагрегантов, циталопрам и эсциталопрам могут увеличить интервал </w:t>
      </w:r>
      <w:r>
        <w:rPr>
          <w:i/>
        </w:rPr>
        <w:t>Q–T</w:t>
      </w:r>
      <w:r>
        <w:t>, а миртазапин способствует повышению аппетита и массы тела. Для контроля мышечно-скелетных болей желательно ограничить прием любых НПВП, которые могут повысить риск тромбозов</w:t>
      </w:r>
      <w:r>
        <w:t>.</w:t>
      </w:r>
    </w:p>
    <w:p w:rsidR="008E3F15" w:rsidRDefault="005F449A">
      <w:pPr>
        <w:spacing w:after="179"/>
        <w:ind w:left="2" w:right="15"/>
      </w:pPr>
      <w:r>
        <w:rPr>
          <w:i/>
        </w:rPr>
        <w:t>Кардиологический cанаторий.</w:t>
      </w:r>
      <w:r>
        <w:t xml:space="preserve"> Реабилитация пациентов после ИМ на санаторном этапе осуществляется в соответствии с порядком организации медицинской реабилитации. Долечивание пациентов после ИМ в отделении реабилитации возможно в следующих случаях.</w:t>
      </w:r>
    </w:p>
    <w:p w:rsidR="008E3F15" w:rsidRDefault="005F449A">
      <w:pPr>
        <w:spacing w:after="31"/>
        <w:ind w:left="610" w:right="15"/>
      </w:pPr>
      <w:r>
        <w:t>ИМ нижней стенки левого желудочка после 15 сут.</w:t>
      </w:r>
    </w:p>
    <w:p w:rsidR="008E3F15" w:rsidRDefault="005F449A">
      <w:pPr>
        <w:spacing w:after="31"/>
        <w:ind w:left="610" w:right="15"/>
      </w:pPr>
      <w:r>
        <w:t>ИМп</w:t>
      </w:r>
      <w:r>
        <w:rPr>
          <w:i/>
        </w:rPr>
        <w:t>ST</w:t>
      </w:r>
      <w:r>
        <w:t xml:space="preserve"> передней стенки левого желудочка после 18 сут.</w:t>
      </w:r>
    </w:p>
    <w:p w:rsidR="008E3F15" w:rsidRDefault="005F449A">
      <w:pPr>
        <w:ind w:left="610" w:right="848"/>
      </w:pPr>
      <w:r>
        <w:rPr>
          <w:rFonts w:ascii="Calibri" w:eastAsia="Calibri" w:hAnsi="Calibri" w:cs="Calibri"/>
          <w:noProof/>
          <w:color w:val="000000"/>
          <w:sz w:val="22"/>
        </w:rPr>
        <mc:AlternateContent>
          <mc:Choice Requires="wpg">
            <w:drawing>
              <wp:anchor distT="0" distB="0" distL="114300" distR="114300" simplePos="0" relativeHeight="251684864" behindDoc="1" locked="0" layoutInCell="1" allowOverlap="1">
                <wp:simplePos x="0" y="0"/>
                <wp:positionH relativeFrom="column">
                  <wp:posOffset>209550</wp:posOffset>
                </wp:positionH>
                <wp:positionV relativeFrom="paragraph">
                  <wp:posOffset>-270023</wp:posOffset>
                </wp:positionV>
                <wp:extent cx="438150" cy="1123950"/>
                <wp:effectExtent l="0" t="0" r="0" b="0"/>
                <wp:wrapNone/>
                <wp:docPr id="263806" name="Group 263806"/>
                <wp:cNvGraphicFramePr/>
                <a:graphic xmlns:a="http://schemas.openxmlformats.org/drawingml/2006/main">
                  <a:graphicData uri="http://schemas.microsoft.com/office/word/2010/wordprocessingGroup">
                    <wpg:wgp>
                      <wpg:cNvGrpSpPr/>
                      <wpg:grpSpPr>
                        <a:xfrm>
                          <a:off x="0" y="0"/>
                          <a:ext cx="438150" cy="1123950"/>
                          <a:chOff x="0" y="0"/>
                          <a:chExt cx="438150" cy="1123950"/>
                        </a:xfrm>
                      </wpg:grpSpPr>
                      <wps:wsp>
                        <wps:cNvPr id="2957" name="Shape 2957"/>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59" name="Shape 2959"/>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597"/>
                                  <a:pt x="46101" y="5655"/>
                                  <a:pt x="48781" y="8334"/>
                                </a:cubicBezTo>
                                <a:cubicBezTo>
                                  <a:pt x="51460" y="10988"/>
                                  <a:pt x="53525" y="14089"/>
                                  <a:pt x="54975" y="17587"/>
                                </a:cubicBezTo>
                                <a:cubicBezTo>
                                  <a:pt x="56425" y="21109"/>
                                  <a:pt x="57150" y="24755"/>
                                  <a:pt x="57150" y="28575"/>
                                </a:cubicBezTo>
                                <a:cubicBezTo>
                                  <a:pt x="57150" y="32345"/>
                                  <a:pt x="56425" y="35967"/>
                                  <a:pt x="54975" y="39464"/>
                                </a:cubicBezTo>
                                <a:cubicBezTo>
                                  <a:pt x="53525" y="42962"/>
                                  <a:pt x="51460" y="46038"/>
                                  <a:pt x="48781" y="48741"/>
                                </a:cubicBezTo>
                                <a:cubicBezTo>
                                  <a:pt x="46101" y="51395"/>
                                  <a:pt x="43011" y="53479"/>
                                  <a:pt x="39510" y="54942"/>
                                </a:cubicBezTo>
                                <a:cubicBezTo>
                                  <a:pt x="36009" y="56381"/>
                                  <a:pt x="32364" y="57125"/>
                                  <a:pt x="28575" y="57150"/>
                                </a:cubicBezTo>
                                <a:cubicBezTo>
                                  <a:pt x="24786" y="57125"/>
                                  <a:pt x="21141" y="56381"/>
                                  <a:pt x="17640" y="54942"/>
                                </a:cubicBezTo>
                                <a:cubicBezTo>
                                  <a:pt x="14139" y="53479"/>
                                  <a:pt x="11049" y="51395"/>
                                  <a:pt x="8369" y="48741"/>
                                </a:cubicBezTo>
                                <a:cubicBezTo>
                                  <a:pt x="5690" y="46038"/>
                                  <a:pt x="3625" y="42962"/>
                                  <a:pt x="2175" y="39489"/>
                                </a:cubicBezTo>
                                <a:cubicBezTo>
                                  <a:pt x="725" y="35967"/>
                                  <a:pt x="0" y="32345"/>
                                  <a:pt x="0" y="28575"/>
                                </a:cubicBezTo>
                                <a:cubicBezTo>
                                  <a:pt x="0" y="24755"/>
                                  <a:pt x="725" y="21109"/>
                                  <a:pt x="2175" y="17587"/>
                                </a:cubicBezTo>
                                <a:cubicBezTo>
                                  <a:pt x="3625" y="14089"/>
                                  <a:pt x="5690" y="10988"/>
                                  <a:pt x="8369" y="8334"/>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63" name="Shape 2963"/>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18"/>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66" name="Shape 2966"/>
                        <wps:cNvSpPr/>
                        <wps:spPr>
                          <a:xfrm>
                            <a:off x="0" y="609600"/>
                            <a:ext cx="57150" cy="57150"/>
                          </a:xfrm>
                          <a:custGeom>
                            <a:avLst/>
                            <a:gdLst/>
                            <a:ahLst/>
                            <a:cxnLst/>
                            <a:rect l="0" t="0" r="0" b="0"/>
                            <a:pathLst>
                              <a:path w="57150" h="57150">
                                <a:moveTo>
                                  <a:pt x="28575" y="0"/>
                                </a:moveTo>
                                <a:cubicBezTo>
                                  <a:pt x="32364" y="0"/>
                                  <a:pt x="36009" y="719"/>
                                  <a:pt x="39510" y="2133"/>
                                </a:cubicBezTo>
                                <a:cubicBezTo>
                                  <a:pt x="43011" y="3621"/>
                                  <a:pt x="46101" y="5705"/>
                                  <a:pt x="48781" y="8384"/>
                                </a:cubicBezTo>
                                <a:cubicBezTo>
                                  <a:pt x="51460" y="11038"/>
                                  <a:pt x="53525" y="14114"/>
                                  <a:pt x="54975" y="17611"/>
                                </a:cubicBezTo>
                                <a:cubicBezTo>
                                  <a:pt x="56425" y="21109"/>
                                  <a:pt x="57150" y="24755"/>
                                  <a:pt x="57150" y="28575"/>
                                </a:cubicBezTo>
                                <a:cubicBezTo>
                                  <a:pt x="57150" y="32345"/>
                                  <a:pt x="56425" y="35992"/>
                                  <a:pt x="54975" y="39514"/>
                                </a:cubicBezTo>
                                <a:cubicBezTo>
                                  <a:pt x="53525" y="42987"/>
                                  <a:pt x="51460" y="46087"/>
                                  <a:pt x="48781" y="48791"/>
                                </a:cubicBezTo>
                                <a:cubicBezTo>
                                  <a:pt x="46101" y="51445"/>
                                  <a:pt x="43011" y="53504"/>
                                  <a:pt x="39510" y="54967"/>
                                </a:cubicBezTo>
                                <a:cubicBezTo>
                                  <a:pt x="36009" y="56431"/>
                                  <a:pt x="32364" y="57150"/>
                                  <a:pt x="28575" y="57150"/>
                                </a:cubicBezTo>
                                <a:cubicBezTo>
                                  <a:pt x="24786" y="57150"/>
                                  <a:pt x="21141" y="56431"/>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84"/>
                                </a:cubicBezTo>
                                <a:cubicBezTo>
                                  <a:pt x="11049" y="5705"/>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68" name="Shape 2968"/>
                        <wps:cNvSpPr/>
                        <wps:spPr>
                          <a:xfrm>
                            <a:off x="381000" y="7620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70"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70"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70" name="Shape 2970"/>
                        <wps:cNvSpPr/>
                        <wps:spPr>
                          <a:xfrm>
                            <a:off x="381000" y="9144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70"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70"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72" name="Shape 2972"/>
                        <wps:cNvSpPr/>
                        <wps:spPr>
                          <a:xfrm>
                            <a:off x="381000" y="1066800"/>
                            <a:ext cx="57150" cy="57150"/>
                          </a:xfrm>
                          <a:custGeom>
                            <a:avLst/>
                            <a:gdLst/>
                            <a:ahLst/>
                            <a:cxnLst/>
                            <a:rect l="0" t="0" r="0" b="0"/>
                            <a:pathLst>
                              <a:path w="57150" h="57150">
                                <a:moveTo>
                                  <a:pt x="28575" y="0"/>
                                </a:moveTo>
                                <a:cubicBezTo>
                                  <a:pt x="32364" y="0"/>
                                  <a:pt x="36009" y="719"/>
                                  <a:pt x="39510" y="2133"/>
                                </a:cubicBezTo>
                                <a:cubicBezTo>
                                  <a:pt x="43011" y="3597"/>
                                  <a:pt x="46101" y="5655"/>
                                  <a:pt x="48781" y="8334"/>
                                </a:cubicBezTo>
                                <a:cubicBezTo>
                                  <a:pt x="51460" y="10988"/>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18"/>
                                </a:cubicBezTo>
                                <a:cubicBezTo>
                                  <a:pt x="36009" y="56381"/>
                                  <a:pt x="32364" y="57125"/>
                                  <a:pt x="28575" y="57150"/>
                                </a:cubicBezTo>
                                <a:cubicBezTo>
                                  <a:pt x="24786" y="57125"/>
                                  <a:pt x="21141" y="56381"/>
                                  <a:pt x="17640" y="54918"/>
                                </a:cubicBezTo>
                                <a:cubicBezTo>
                                  <a:pt x="14139" y="53479"/>
                                  <a:pt x="11049" y="51420"/>
                                  <a:pt x="8370" y="48766"/>
                                </a:cubicBezTo>
                                <a:cubicBezTo>
                                  <a:pt x="5690" y="46062"/>
                                  <a:pt x="3625" y="42987"/>
                                  <a:pt x="2175" y="39489"/>
                                </a:cubicBezTo>
                                <a:cubicBezTo>
                                  <a:pt x="725" y="35992"/>
                                  <a:pt x="0" y="32345"/>
                                  <a:pt x="0" y="28575"/>
                                </a:cubicBezTo>
                                <a:cubicBezTo>
                                  <a:pt x="0" y="24755"/>
                                  <a:pt x="725" y="21109"/>
                                  <a:pt x="2175" y="17611"/>
                                </a:cubicBezTo>
                                <a:cubicBezTo>
                                  <a:pt x="3625" y="14089"/>
                                  <a:pt x="5690" y="10988"/>
                                  <a:pt x="8370" y="8334"/>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3806" style="width:34.5pt;height:88.5pt;position:absolute;z-index:-2147483590;mso-position-horizontal-relative:text;mso-position-horizontal:absolute;margin-left:16.5pt;mso-position-vertical-relative:text;margin-top:-21.2617pt;" coordsize="4381,11239">
                <v:shape id="Shape 2957" style="position:absolute;width:571;height:571;left:0;top:0;" coordsize="57150,57150" path="m28575,0c32364,0,36009,719,39510,2158c43011,3597,46101,5655,48781,8359c51460,11038,53525,14114,54975,17611c56425,21109,57150,24755,57150,28575c57150,32345,56425,35992,54975,39464c53525,42987,51460,46062,48781,48766c46101,51420,43011,53479,39510,54942c36009,56381,32364,57125,28575,57150c24786,57125,21141,56381,17640,54942c14139,53479,11049,51420,8369,48766c5690,46062,3625,42987,2175,39489c725,35992,0,32345,0,28575c0,24755,725,21109,2175,17611c3625,14114,5690,11038,8369,8359c11049,5655,14139,3597,17640,2158c21141,719,24786,0,28575,0x">
                  <v:stroke weight="0pt" endcap="flat" joinstyle="miter" miterlimit="10" on="false" color="#000000" opacity="0"/>
                  <v:fill on="true" color="#333333"/>
                </v:shape>
                <v:shape id="Shape 2959" style="position:absolute;width:571;height:571;left:0;top:1524;" coordsize="57150,57150" path="m28575,0c32364,0,36009,719,39510,2158c43011,3597,46101,5655,48781,8334c51460,10988,53525,14089,54975,17587c56425,21109,57150,24755,57150,28575c57150,32345,56425,35967,54975,39464c53525,42962,51460,46038,48781,48741c46101,51395,43011,53479,39510,54942c36009,56381,32364,57125,28575,57150c24786,57125,21141,56381,17640,54942c14139,53479,11049,51395,8369,48741c5690,46038,3625,42962,2175,39489c725,35967,0,32345,0,28575c0,24755,725,21109,2175,17587c3625,14089,5690,10988,8369,8334c11049,5655,14139,3597,17640,2158c21141,719,24786,0,28575,0x">
                  <v:stroke weight="0pt" endcap="flat" joinstyle="miter" miterlimit="10" on="false" color="#000000" opacity="0"/>
                  <v:fill on="true" color="#333333"/>
                </v:shape>
                <v:shape id="Shape 2963" style="position:absolute;width:571;height:571;left:0;top:3048;" coordsize="57150,57150" path="m28575,0c32364,0,36009,719,39510,2158c43011,3597,46101,5655,48781,8359c51460,11013,53525,14114,54975,17611c56425,21109,57150,24755,57150,28575c57150,32345,56425,35992,54975,39489c53525,42987,51460,46087,48781,48766c46101,51420,43011,53479,39510,54967c36009,56381,32364,57125,28575,57150c24786,57125,21141,56381,17640,54918c14139,53479,11049,51420,8369,48766c5690,46087,3625,42987,2175,39489c725,35992,0,32345,0,28575c0,24755,725,21109,2175,17611c3625,14114,5690,11013,8369,8359c11049,5655,14139,3597,17640,2158c21141,719,24786,0,28575,0x">
                  <v:stroke weight="0pt" endcap="flat" joinstyle="miter" miterlimit="10" on="false" color="#000000" opacity="0"/>
                  <v:fill on="true" color="#333333"/>
                </v:shape>
                <v:shape id="Shape 2966" style="position:absolute;width:571;height:571;left:0;top:6096;" coordsize="57150,57150" path="m28575,0c32364,0,36009,719,39510,2133c43011,3621,46101,5705,48781,8384c51460,11038,53525,14114,54975,17611c56425,21109,57150,24755,57150,28575c57150,32345,56425,35992,54975,39514c53525,42987,51460,46087,48781,48791c46101,51445,43011,53504,39510,54967c36009,56431,32364,57150,28575,57150c24786,57150,21141,56431,17640,54967c14139,53504,11049,51445,8369,48791c5690,46087,3625,42987,2175,39489c725,35992,0,32345,0,28575c0,24755,725,21109,2175,17611c3625,14114,5690,11038,8369,8384c11049,5705,14139,3621,17640,2158c21141,719,24786,0,28575,0x">
                  <v:stroke weight="0pt" endcap="flat" joinstyle="miter" miterlimit="10" on="false" color="#000000" opacity="0"/>
                  <v:fill on="true" color="#333333"/>
                </v:shape>
                <v:shape id="Shape 2968" style="position:absolute;width:571;height:571;left:3810;top:7620;" coordsize="57150,57150" path="m28575,0c32364,0,36009,719,39510,2133c43011,3597,46101,5655,48781,8359c51460,11013,53525,14114,54975,17611c56425,21109,57150,24755,57150,28575c57150,32345,56425,35992,54975,39489c53525,42987,51460,46062,48781,48766c46101,51420,43011,53479,39510,54942c36009,56381,32364,57125,28575,57150c24786,57125,21141,56381,17640,54942c14139,53479,11049,51420,8370,48766c5690,46062,3625,42987,2175,39489c725,35992,0,32345,0,28575c0,24755,725,21109,2175,17611c3625,14114,5690,11013,8370,8359c11049,5655,14139,3597,17640,2158c21141,719,24786,0,28575,0x">
                  <v:stroke weight="0pt" endcap="flat" joinstyle="miter" miterlimit="10" on="false" color="#000000" opacity="0"/>
                  <v:fill on="true" color="#333333"/>
                </v:shape>
                <v:shape id="Shape 2970" style="position:absolute;width:571;height:571;left:3810;top:9144;" coordsize="57150,57150" path="m28575,0c32364,0,36009,719,39510,2158c43011,3621,46101,5680,48781,8359c51460,11013,53525,14114,54975,17611c56425,21109,57150,24755,57150,28575c57150,32345,56425,35992,54975,39489c53525,42987,51460,46062,48781,48766c46101,51420,43011,53479,39510,54967c36009,56406,32364,57125,28575,57150c24786,57125,21141,56406,17640,54967c14139,53479,11049,51420,8370,48766c5690,46062,3625,42987,2175,39489c725,35992,0,32345,0,28575c0,24755,725,21109,2175,17611c3625,14114,5690,11013,8370,8359c11049,5680,14139,3621,17640,2158c21141,719,24786,0,28575,0x">
                  <v:stroke weight="0pt" endcap="flat" joinstyle="miter" miterlimit="10" on="false" color="#000000" opacity="0"/>
                  <v:fill on="true" color="#333333"/>
                </v:shape>
                <v:shape id="Shape 2972" style="position:absolute;width:571;height:571;left:3810;top:10668;" coordsize="57150,57150" path="m28575,0c32364,0,36009,719,39510,2133c43011,3597,46101,5655,48781,8334c51460,10988,53525,14089,54975,17611c56425,21109,57150,24755,57150,28575c57150,32345,56425,35992,54975,39489c53525,42987,51460,46062,48781,48766c46101,51420,43011,53479,39510,54918c36009,56381,32364,57125,28575,57150c24786,57125,21141,56381,17640,54918c14139,53479,11049,51420,8370,48766c5690,46062,3625,42987,2175,39489c725,35992,0,32345,0,28575c0,24755,725,21109,2175,17611c3625,14089,5690,10988,8370,8334c11049,5655,14139,3597,17640,2133c21141,719,24786,0,28575,0x">
                  <v:stroke weight="0pt" endcap="flat" joinstyle="miter" miterlimit="10" on="false" color="#000000" opacity="0"/>
                  <v:fill on="true" color="#333333"/>
                </v:shape>
              </v:group>
            </w:pict>
          </mc:Fallback>
        </mc:AlternateContent>
      </w:r>
      <w:r>
        <w:t>Достаточный уровень физической активности: дозированная ходьба 1500 м в 2– 3 приема, подъем по лестнице на 1–2 пролета без СК.</w:t>
      </w:r>
    </w:p>
    <w:p w:rsidR="008E3F15" w:rsidRDefault="005F449A">
      <w:pPr>
        <w:spacing w:after="31"/>
        <w:ind w:left="610" w:right="15"/>
      </w:pPr>
      <w:r>
        <w:t>Отсутствие ССЗ.</w:t>
      </w:r>
    </w:p>
    <w:p w:rsidR="008E3F15" w:rsidRDefault="005F449A">
      <w:pPr>
        <w:spacing w:after="31"/>
        <w:ind w:left="1210" w:right="15"/>
      </w:pPr>
      <w:r>
        <w:t>СН выше IIА</w:t>
      </w:r>
      <w:r>
        <w:t xml:space="preserve"> стадии.</w:t>
      </w:r>
    </w:p>
    <w:p w:rsidR="008E3F15" w:rsidRDefault="005F449A">
      <w:pPr>
        <w:spacing w:after="31"/>
        <w:ind w:left="1210" w:right="15"/>
      </w:pPr>
      <w:r>
        <w:t>СК III–IV ФК.</w:t>
      </w:r>
    </w:p>
    <w:p w:rsidR="008E3F15" w:rsidRDefault="005F449A">
      <w:pPr>
        <w:ind w:left="1210" w:right="15"/>
      </w:pPr>
      <w:r>
        <w:t>Тяжелые нарушения сердечного ритма и проводимости (пароксизмы тахиаритмии чаще 2 раз в мес, полиморфные и спаренные желудочковые ЭС, АВ-блокада 2–3-й степени).</w:t>
      </w:r>
    </w:p>
    <w:p w:rsidR="008E3F15" w:rsidRDefault="005F449A">
      <w:pPr>
        <w:spacing w:after="31"/>
        <w:ind w:left="340" w:right="15"/>
      </w:pPr>
      <w:r>
        <w:t>Рецидивирующее течение ИМ.</w:t>
      </w:r>
    </w:p>
    <w:p w:rsidR="008E3F15" w:rsidRDefault="005F449A">
      <w:pPr>
        <w:ind w:left="340" w:right="15"/>
      </w:pPr>
      <w:r>
        <w:t>Артериальная гипертония с ХБП 3–5-й стадии, си</w:t>
      </w:r>
      <w:r>
        <w:t>мптоматическая гипертония, гипертоническая болезнь с частыми кризами.</w:t>
      </w:r>
    </w:p>
    <w:p w:rsidR="008E3F15" w:rsidRDefault="005F449A">
      <w:pPr>
        <w:spacing w:after="31"/>
        <w:ind w:left="340" w:right="15"/>
      </w:pPr>
      <w:r>
        <w:t>Хроническая аневризма или аневризма аорты с СН выше I стадии.</w:t>
      </w:r>
    </w:p>
    <w:p w:rsidR="008E3F15" w:rsidRDefault="005F449A">
      <w:pPr>
        <w:spacing w:after="31"/>
        <w:ind w:left="340" w:right="15"/>
      </w:pPr>
      <w:r>
        <w:t>Нарушение мозгового кровообращения в острой или подострой стадии.</w:t>
      </w:r>
    </w:p>
    <w:p w:rsidR="008E3F15" w:rsidRDefault="005F449A">
      <w:pPr>
        <w:spacing w:after="31"/>
        <w:ind w:left="340" w:right="15"/>
      </w:pPr>
      <w:r>
        <w:t>СД декомпенсированный и тяжелого течения.</w:t>
      </w:r>
    </w:p>
    <w:p w:rsidR="008E3F15" w:rsidRDefault="005F449A">
      <w:pPr>
        <w:ind w:left="610" w:right="15"/>
      </w:pPr>
      <w:r>
        <w:rPr>
          <w:rFonts w:ascii="Calibri" w:eastAsia="Calibri" w:hAnsi="Calibri" w:cs="Calibri"/>
          <w:noProof/>
          <w:color w:val="000000"/>
          <w:sz w:val="22"/>
        </w:rPr>
        <mc:AlternateContent>
          <mc:Choice Requires="wpg">
            <w:drawing>
              <wp:anchor distT="0" distB="0" distL="114300" distR="114300" simplePos="0" relativeHeight="251685888" behindDoc="0" locked="0" layoutInCell="1" allowOverlap="1">
                <wp:simplePos x="0" y="0"/>
                <wp:positionH relativeFrom="column">
                  <wp:posOffset>209550</wp:posOffset>
                </wp:positionH>
                <wp:positionV relativeFrom="paragraph">
                  <wp:posOffset>-879623</wp:posOffset>
                </wp:positionV>
                <wp:extent cx="438150" cy="971550"/>
                <wp:effectExtent l="0" t="0" r="0" b="0"/>
                <wp:wrapSquare wrapText="bothSides"/>
                <wp:docPr id="263808" name="Group 263808"/>
                <wp:cNvGraphicFramePr/>
                <a:graphic xmlns:a="http://schemas.openxmlformats.org/drawingml/2006/main">
                  <a:graphicData uri="http://schemas.microsoft.com/office/word/2010/wordprocessingGroup">
                    <wpg:wgp>
                      <wpg:cNvGrpSpPr/>
                      <wpg:grpSpPr>
                        <a:xfrm>
                          <a:off x="0" y="0"/>
                          <a:ext cx="438150" cy="971550"/>
                          <a:chOff x="0" y="0"/>
                          <a:chExt cx="438150" cy="971550"/>
                        </a:xfrm>
                      </wpg:grpSpPr>
                      <wps:wsp>
                        <wps:cNvPr id="2976" name="Shape 2976"/>
                        <wps:cNvSpPr/>
                        <wps:spPr>
                          <a:xfrm>
                            <a:off x="381000" y="0"/>
                            <a:ext cx="57150" cy="57150"/>
                          </a:xfrm>
                          <a:custGeom>
                            <a:avLst/>
                            <a:gdLst/>
                            <a:ahLst/>
                            <a:cxnLst/>
                            <a:rect l="0" t="0" r="0" b="0"/>
                            <a:pathLst>
                              <a:path w="57150" h="57150">
                                <a:moveTo>
                                  <a:pt x="28575" y="0"/>
                                </a:moveTo>
                                <a:cubicBezTo>
                                  <a:pt x="32364" y="0"/>
                                  <a:pt x="36009" y="719"/>
                                  <a:pt x="39510" y="2158"/>
                                </a:cubicBezTo>
                                <a:cubicBezTo>
                                  <a:pt x="43011" y="3597"/>
                                  <a:pt x="46101" y="5680"/>
                                  <a:pt x="48781" y="8384"/>
                                </a:cubicBezTo>
                                <a:cubicBezTo>
                                  <a:pt x="51460" y="11038"/>
                                  <a:pt x="53525" y="14114"/>
                                  <a:pt x="54975" y="17611"/>
                                </a:cubicBezTo>
                                <a:cubicBezTo>
                                  <a:pt x="56425" y="21134"/>
                                  <a:pt x="57150" y="24780"/>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381"/>
                                  <a:pt x="32364" y="57125"/>
                                  <a:pt x="28575" y="57150"/>
                                </a:cubicBezTo>
                                <a:cubicBezTo>
                                  <a:pt x="24786" y="57125"/>
                                  <a:pt x="21141" y="56381"/>
                                  <a:pt x="17640" y="54967"/>
                                </a:cubicBezTo>
                                <a:cubicBezTo>
                                  <a:pt x="14139" y="53504"/>
                                  <a:pt x="11049" y="51445"/>
                                  <a:pt x="8370" y="48791"/>
                                </a:cubicBezTo>
                                <a:cubicBezTo>
                                  <a:pt x="5690" y="46087"/>
                                  <a:pt x="3625" y="42987"/>
                                  <a:pt x="2175" y="39489"/>
                                </a:cubicBezTo>
                                <a:cubicBezTo>
                                  <a:pt x="725" y="35992"/>
                                  <a:pt x="0" y="32345"/>
                                  <a:pt x="0" y="28575"/>
                                </a:cubicBezTo>
                                <a:cubicBezTo>
                                  <a:pt x="0" y="24780"/>
                                  <a:pt x="725" y="21134"/>
                                  <a:pt x="2175" y="17611"/>
                                </a:cubicBezTo>
                                <a:cubicBezTo>
                                  <a:pt x="3625" y="14114"/>
                                  <a:pt x="5690" y="11038"/>
                                  <a:pt x="8370" y="8384"/>
                                </a:cubicBezTo>
                                <a:cubicBezTo>
                                  <a:pt x="11049" y="5680"/>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78" name="Shape 2978"/>
                        <wps:cNvSpPr/>
                        <wps:spPr>
                          <a:xfrm>
                            <a:off x="381000" y="1524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70" y="48766"/>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70"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81" name="Shape 2981"/>
                        <wps:cNvSpPr/>
                        <wps:spPr>
                          <a:xfrm>
                            <a:off x="381000" y="45720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114"/>
                                  <a:pt x="54975" y="17611"/>
                                </a:cubicBezTo>
                                <a:cubicBezTo>
                                  <a:pt x="56425" y="21134"/>
                                  <a:pt x="57150" y="24780"/>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70" y="48766"/>
                                </a:cubicBezTo>
                                <a:cubicBezTo>
                                  <a:pt x="5690" y="46062"/>
                                  <a:pt x="3625" y="42987"/>
                                  <a:pt x="2175" y="39489"/>
                                </a:cubicBezTo>
                                <a:cubicBezTo>
                                  <a:pt x="725" y="35992"/>
                                  <a:pt x="0" y="32345"/>
                                  <a:pt x="0" y="28575"/>
                                </a:cubicBezTo>
                                <a:cubicBezTo>
                                  <a:pt x="0" y="24780"/>
                                  <a:pt x="725" y="21134"/>
                                  <a:pt x="2175" y="17611"/>
                                </a:cubicBezTo>
                                <a:cubicBezTo>
                                  <a:pt x="3625" y="14114"/>
                                  <a:pt x="5690" y="11013"/>
                                  <a:pt x="8370"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83" name="Shape 2983"/>
                        <wps:cNvSpPr/>
                        <wps:spPr>
                          <a:xfrm>
                            <a:off x="381000" y="609600"/>
                            <a:ext cx="57150" cy="57150"/>
                          </a:xfrm>
                          <a:custGeom>
                            <a:avLst/>
                            <a:gdLst/>
                            <a:ahLst/>
                            <a:cxnLst/>
                            <a:rect l="0" t="0" r="0" b="0"/>
                            <a:pathLst>
                              <a:path w="57150" h="57150">
                                <a:moveTo>
                                  <a:pt x="28575" y="0"/>
                                </a:moveTo>
                                <a:cubicBezTo>
                                  <a:pt x="32364" y="0"/>
                                  <a:pt x="36009" y="719"/>
                                  <a:pt x="39510" y="2133"/>
                                </a:cubicBezTo>
                                <a:cubicBezTo>
                                  <a:pt x="43011" y="3572"/>
                                  <a:pt x="46101" y="5631"/>
                                  <a:pt x="48781" y="8334"/>
                                </a:cubicBezTo>
                                <a:cubicBezTo>
                                  <a:pt x="51460" y="11013"/>
                                  <a:pt x="53525" y="14114"/>
                                  <a:pt x="54975" y="17611"/>
                                </a:cubicBezTo>
                                <a:cubicBezTo>
                                  <a:pt x="56425" y="21109"/>
                                  <a:pt x="57150" y="24755"/>
                                  <a:pt x="57150" y="28575"/>
                                </a:cubicBezTo>
                                <a:cubicBezTo>
                                  <a:pt x="57150" y="32345"/>
                                  <a:pt x="56425" y="35992"/>
                                  <a:pt x="54975" y="39464"/>
                                </a:cubicBezTo>
                                <a:cubicBezTo>
                                  <a:pt x="53525" y="42962"/>
                                  <a:pt x="51460" y="46038"/>
                                  <a:pt x="48781" y="48741"/>
                                </a:cubicBezTo>
                                <a:cubicBezTo>
                                  <a:pt x="46101" y="51395"/>
                                  <a:pt x="43011" y="53479"/>
                                  <a:pt x="39510" y="54942"/>
                                </a:cubicBezTo>
                                <a:cubicBezTo>
                                  <a:pt x="36009" y="56381"/>
                                  <a:pt x="32364" y="57125"/>
                                  <a:pt x="28575" y="57150"/>
                                </a:cubicBezTo>
                                <a:cubicBezTo>
                                  <a:pt x="24786" y="57125"/>
                                  <a:pt x="21141" y="56381"/>
                                  <a:pt x="17640" y="54918"/>
                                </a:cubicBezTo>
                                <a:cubicBezTo>
                                  <a:pt x="14139" y="53454"/>
                                  <a:pt x="11049" y="51395"/>
                                  <a:pt x="8370" y="48741"/>
                                </a:cubicBezTo>
                                <a:cubicBezTo>
                                  <a:pt x="5690" y="46038"/>
                                  <a:pt x="3625" y="42962"/>
                                  <a:pt x="2175" y="39464"/>
                                </a:cubicBezTo>
                                <a:cubicBezTo>
                                  <a:pt x="725" y="35992"/>
                                  <a:pt x="0" y="32345"/>
                                  <a:pt x="0" y="28575"/>
                                </a:cubicBezTo>
                                <a:cubicBezTo>
                                  <a:pt x="0" y="24755"/>
                                  <a:pt x="725" y="21109"/>
                                  <a:pt x="2175" y="17611"/>
                                </a:cubicBezTo>
                                <a:cubicBezTo>
                                  <a:pt x="3625" y="14114"/>
                                  <a:pt x="5690" y="11013"/>
                                  <a:pt x="8370" y="8334"/>
                                </a:cubicBezTo>
                                <a:cubicBezTo>
                                  <a:pt x="11049" y="5631"/>
                                  <a:pt x="14139" y="3572"/>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85" name="Shape 2985"/>
                        <wps:cNvSpPr/>
                        <wps:spPr>
                          <a:xfrm>
                            <a:off x="381000" y="7620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70"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70"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987" name="Shape 2987"/>
                        <wps:cNvSpPr/>
                        <wps:spPr>
                          <a:xfrm>
                            <a:off x="0" y="91440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089"/>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089"/>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3808" style="width:34.5pt;height:76.5pt;position:absolute;mso-position-horizontal-relative:text;mso-position-horizontal:absolute;margin-left:16.5pt;mso-position-vertical-relative:text;margin-top:-69.2617pt;" coordsize="4381,9715">
                <v:shape id="Shape 2976" style="position:absolute;width:571;height:571;left:3810;top:0;" coordsize="57150,57150" path="m28575,0c32364,0,36009,719,39510,2158c43011,3597,46101,5680,48781,8384c51460,11038,53525,14114,54975,17611c56425,21134,57150,24780,57150,28575c57150,32345,56425,35992,54975,39489c53525,42987,51460,46087,48781,48791c46101,51445,43011,53504,39510,54967c36009,56381,32364,57125,28575,57150c24786,57125,21141,56381,17640,54967c14139,53504,11049,51445,8370,48791c5690,46087,3625,42987,2175,39489c725,35992,0,32345,0,28575c0,24780,725,21134,2175,17611c3625,14114,5690,11038,8370,8384c11049,5680,14139,3597,17640,2158c21141,719,24786,0,28575,0x">
                  <v:stroke weight="0pt" endcap="flat" joinstyle="miter" miterlimit="10" on="false" color="#000000" opacity="0"/>
                  <v:fill on="true" color="#333333"/>
                </v:shape>
                <v:shape id="Shape 2978" style="position:absolute;width:571;height:571;left:3810;top:1524;" coordsize="57150,57150" path="m28575,0c32364,0,36009,719,39510,2158c43011,3597,46101,5655,48781,8359c51460,11038,53525,14114,54975,17611c56425,21109,57150,24755,57150,28575c57150,32345,56425,35992,54975,39489c53525,42987,51460,46087,48781,48766c46101,51420,43011,53479,39510,54967c36009,56381,32364,57125,28575,57150c24786,57125,21141,56381,17640,54942c14139,53479,11049,51420,8370,48766c5690,46087,3625,42987,2175,39489c725,35992,0,32345,0,28575c0,24755,725,21109,2175,17611c3625,14114,5690,11038,8370,8359c11049,5655,14139,3597,17640,2158c21141,719,24786,0,28575,0x">
                  <v:stroke weight="0pt" endcap="flat" joinstyle="miter" miterlimit="10" on="false" color="#000000" opacity="0"/>
                  <v:fill on="true" color="#333333"/>
                </v:shape>
                <v:shape id="Shape 2981" style="position:absolute;width:571;height:571;left:3810;top:4572;" coordsize="57150,57150" path="m28575,0c32364,0,36009,719,39510,2133c43011,3621,46101,5680,48781,8359c51460,11013,53525,14114,54975,17611c56425,21134,57150,24780,57150,28575c57150,32345,56425,35992,54975,39489c53525,42987,51460,46062,48781,48766c46101,51445,43011,53504,39510,54942c36009,56406,32364,57125,28575,57150c24786,57125,21141,56406,17640,54942c14139,53504,11049,51445,8370,48766c5690,46062,3625,42987,2175,39489c725,35992,0,32345,0,28575c0,24780,725,21134,2175,17611c3625,14114,5690,11013,8370,8359c11049,5680,14139,3621,17640,2158c21141,719,24786,0,28575,0x">
                  <v:stroke weight="0pt" endcap="flat" joinstyle="miter" miterlimit="10" on="false" color="#000000" opacity="0"/>
                  <v:fill on="true" color="#333333"/>
                </v:shape>
                <v:shape id="Shape 2983" style="position:absolute;width:571;height:571;left:3810;top:6096;" coordsize="57150,57150" path="m28575,0c32364,0,36009,719,39510,2133c43011,3572,46101,5631,48781,8334c51460,11013,53525,14114,54975,17611c56425,21109,57150,24755,57150,28575c57150,32345,56425,35992,54975,39464c53525,42962,51460,46038,48781,48741c46101,51395,43011,53479,39510,54942c36009,56381,32364,57125,28575,57150c24786,57125,21141,56381,17640,54918c14139,53454,11049,51395,8370,48741c5690,46038,3625,42962,2175,39464c725,35992,0,32345,0,28575c0,24755,725,21109,2175,17611c3625,14114,5690,11013,8370,8334c11049,5631,14139,3572,17640,2133c21141,719,24786,0,28575,0x">
                  <v:stroke weight="0pt" endcap="flat" joinstyle="miter" miterlimit="10" on="false" color="#000000" opacity="0"/>
                  <v:fill on="true" color="#333333"/>
                </v:shape>
                <v:shape id="Shape 2985" style="position:absolute;width:571;height:571;left:3810;top:7620;" coordsize="57150,57150" path="m28575,0c32364,0,36009,719,39510,2133c43011,3597,46101,5655,48781,8359c51460,11013,53525,14114,54975,17611c56425,21109,57150,24755,57150,28575c57150,32345,56425,35992,54975,39489c53525,42987,51460,46062,48781,48766c46101,51420,43011,53479,39510,54967c36009,56406,32364,57125,28575,57150c24786,57125,21141,56406,17640,54967c14139,53479,11049,51420,8370,48766c5690,46062,3625,42987,2175,39489c725,35992,0,32345,0,28575c0,24755,725,21109,2175,17611c3625,14114,5690,11013,8370,8359c11049,5655,14139,3597,17640,2158c21141,719,24786,0,28575,0x">
                  <v:stroke weight="0pt" endcap="flat" joinstyle="miter" miterlimit="10" on="false" color="#000000" opacity="0"/>
                  <v:fill on="true" color="#333333"/>
                </v:shape>
                <v:shape id="Shape 2987" style="position:absolute;width:571;height:571;left:0;top:9144;" coordsize="57150,57150" path="m28575,0c32364,0,36009,719,39510,2158c43011,3621,46101,5680,48781,8359c51460,11013,53525,14089,54975,17611c56425,21109,57150,24755,57150,28575c57150,32345,56425,35992,54975,39489c53525,42987,51460,46087,48781,48791c46101,51445,43011,53504,39510,54967c36009,56406,32364,57125,28575,57150c24786,57125,21141,56406,17640,54967c14139,53504,11049,51445,8369,48791c5690,46087,3625,42987,2175,39489c725,35992,0,32345,0,28575c0,24755,725,21109,2175,17611c3625,14089,5690,11013,8369,8359c11049,5680,14139,3621,17640,2158c21141,719,24786,0,28575,0x">
                  <v:stroke weight="0pt" endcap="flat" joinstyle="miter" miterlimit="10" on="false" color="#000000" opacity="0"/>
                  <v:fill on="true" color="#333333"/>
                </v:shape>
                <w10:wrap type="square"/>
              </v:group>
            </w:pict>
          </mc:Fallback>
        </mc:AlternateContent>
      </w:r>
      <w:r>
        <w:t>Отсутствие противопоказаний, исключающих пребывание в санатории: острые инфекционные и венерические, психические заболевания, болезни крови в острой стадии, злокачественные новообразования, острая почечная или печеночная дисфункция, сопутствующие заболеван</w:t>
      </w:r>
      <w:r>
        <w:t>ия в стадии обострения или требующие хирургической помощи.</w:t>
      </w:r>
    </w:p>
    <w:p w:rsidR="008E3F15" w:rsidRDefault="005F449A">
      <w:pPr>
        <w:ind w:left="2" w:right="15"/>
      </w:pPr>
      <w:r>
        <w:t>Перевод в санаторий осуществляется при обязательном определении в условиях стационара толерантности больного к физической нагрузке с помощью стресс-теста (велоэргометрия, тредмил).</w:t>
      </w:r>
    </w:p>
    <w:p w:rsidR="008E3F15" w:rsidRDefault="005F449A">
      <w:pPr>
        <w:spacing w:after="165"/>
        <w:ind w:left="2" w:right="15"/>
      </w:pPr>
      <w:r>
        <w:t>Задачами санатор</w:t>
      </w:r>
      <w:r>
        <w:t>ного этапа реабилитации больных ИМ являются:</w:t>
      </w:r>
    </w:p>
    <w:p w:rsidR="008E3F15" w:rsidRDefault="005F449A">
      <w:pPr>
        <w:ind w:left="340" w:right="1593"/>
      </w:pPr>
      <w:r>
        <w:rPr>
          <w:rFonts w:ascii="Calibri" w:eastAsia="Calibri" w:hAnsi="Calibri" w:cs="Calibri"/>
          <w:noProof/>
          <w:color w:val="000000"/>
          <w:sz w:val="22"/>
        </w:rPr>
        <mc:AlternateContent>
          <mc:Choice Requires="wpg">
            <w:drawing>
              <wp:anchor distT="0" distB="0" distL="114300" distR="114300" simplePos="0" relativeHeight="251686912" behindDoc="0" locked="0" layoutInCell="1" allowOverlap="1">
                <wp:simplePos x="0" y="0"/>
                <wp:positionH relativeFrom="column">
                  <wp:posOffset>209550</wp:posOffset>
                </wp:positionH>
                <wp:positionV relativeFrom="paragraph">
                  <wp:posOffset>34776</wp:posOffset>
                </wp:positionV>
                <wp:extent cx="57150" cy="666750"/>
                <wp:effectExtent l="0" t="0" r="0" b="0"/>
                <wp:wrapSquare wrapText="bothSides"/>
                <wp:docPr id="251478" name="Group 251478"/>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3018" name="Shape 3018"/>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80"/>
                                  <a:pt x="48781" y="8384"/>
                                </a:cubicBezTo>
                                <a:cubicBezTo>
                                  <a:pt x="51460" y="11038"/>
                                  <a:pt x="53525" y="14114"/>
                                  <a:pt x="54975" y="17636"/>
                                </a:cubicBezTo>
                                <a:cubicBezTo>
                                  <a:pt x="56425" y="21134"/>
                                  <a:pt x="57150" y="24780"/>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381"/>
                                  <a:pt x="32364" y="57125"/>
                                  <a:pt x="28575" y="57150"/>
                                </a:cubicBezTo>
                                <a:cubicBezTo>
                                  <a:pt x="24786" y="57125"/>
                                  <a:pt x="21141" y="56381"/>
                                  <a:pt x="17640" y="54967"/>
                                </a:cubicBezTo>
                                <a:cubicBezTo>
                                  <a:pt x="14139" y="53504"/>
                                  <a:pt x="11049" y="51445"/>
                                  <a:pt x="8369" y="48791"/>
                                </a:cubicBezTo>
                                <a:cubicBezTo>
                                  <a:pt x="5690" y="46087"/>
                                  <a:pt x="3625" y="42987"/>
                                  <a:pt x="2175" y="39489"/>
                                </a:cubicBezTo>
                                <a:cubicBezTo>
                                  <a:pt x="725" y="35992"/>
                                  <a:pt x="0" y="32345"/>
                                  <a:pt x="0" y="28575"/>
                                </a:cubicBezTo>
                                <a:cubicBezTo>
                                  <a:pt x="0" y="24780"/>
                                  <a:pt x="725" y="21134"/>
                                  <a:pt x="2175" y="17636"/>
                                </a:cubicBezTo>
                                <a:cubicBezTo>
                                  <a:pt x="3625" y="14114"/>
                                  <a:pt x="5690" y="11038"/>
                                  <a:pt x="8369" y="8384"/>
                                </a:cubicBezTo>
                                <a:cubicBezTo>
                                  <a:pt x="11049" y="5680"/>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20" name="Shape 3020"/>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22" name="Shape 3022"/>
                        <wps:cNvSpPr/>
                        <wps:spPr>
                          <a:xfrm>
                            <a:off x="0" y="3048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34"/>
                                  <a:pt x="57150" y="24780"/>
                                  <a:pt x="57150" y="28575"/>
                                </a:cubicBezTo>
                                <a:cubicBezTo>
                                  <a:pt x="57150" y="32345"/>
                                  <a:pt x="56425" y="35992"/>
                                  <a:pt x="54975" y="39489"/>
                                </a:cubicBezTo>
                                <a:cubicBezTo>
                                  <a:pt x="53525" y="42987"/>
                                  <a:pt x="51460" y="46087"/>
                                  <a:pt x="48781" y="48766"/>
                                </a:cubicBezTo>
                                <a:cubicBezTo>
                                  <a:pt x="46101" y="51420"/>
                                  <a:pt x="43011" y="53479"/>
                                  <a:pt x="39510" y="54942"/>
                                </a:cubicBezTo>
                                <a:cubicBezTo>
                                  <a:pt x="36009" y="56381"/>
                                  <a:pt x="32364" y="57125"/>
                                  <a:pt x="28575" y="57150"/>
                                </a:cubicBezTo>
                                <a:cubicBezTo>
                                  <a:pt x="24786" y="57125"/>
                                  <a:pt x="21141" y="56381"/>
                                  <a:pt x="17640" y="54918"/>
                                </a:cubicBezTo>
                                <a:cubicBezTo>
                                  <a:pt x="14139" y="53479"/>
                                  <a:pt x="11049" y="51420"/>
                                  <a:pt x="8369" y="48766"/>
                                </a:cubicBezTo>
                                <a:cubicBezTo>
                                  <a:pt x="5690" y="46087"/>
                                  <a:pt x="3625" y="42987"/>
                                  <a:pt x="2175" y="39489"/>
                                </a:cubicBezTo>
                                <a:cubicBezTo>
                                  <a:pt x="725" y="35992"/>
                                  <a:pt x="0" y="32345"/>
                                  <a:pt x="0" y="28575"/>
                                </a:cubicBezTo>
                                <a:cubicBezTo>
                                  <a:pt x="0" y="24780"/>
                                  <a:pt x="725" y="21134"/>
                                  <a:pt x="2175" y="17611"/>
                                </a:cubicBezTo>
                                <a:cubicBezTo>
                                  <a:pt x="3625" y="14114"/>
                                  <a:pt x="5690" y="11013"/>
                                  <a:pt x="8369" y="8359"/>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24" name="Shape 3024"/>
                        <wps:cNvSpPr/>
                        <wps:spPr>
                          <a:xfrm>
                            <a:off x="0" y="4572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26" name="Shape 3026"/>
                        <wps:cNvSpPr/>
                        <wps:spPr>
                          <a:xfrm>
                            <a:off x="0" y="609600"/>
                            <a:ext cx="57150" cy="57150"/>
                          </a:xfrm>
                          <a:custGeom>
                            <a:avLst/>
                            <a:gdLst/>
                            <a:ahLst/>
                            <a:cxnLst/>
                            <a:rect l="0" t="0" r="0" b="0"/>
                            <a:pathLst>
                              <a:path w="57150" h="57150">
                                <a:moveTo>
                                  <a:pt x="28575" y="0"/>
                                </a:moveTo>
                                <a:cubicBezTo>
                                  <a:pt x="32364" y="0"/>
                                  <a:pt x="36009" y="719"/>
                                  <a:pt x="39510" y="2133"/>
                                </a:cubicBezTo>
                                <a:cubicBezTo>
                                  <a:pt x="43011" y="3572"/>
                                  <a:pt x="46101" y="5631"/>
                                  <a:pt x="48781" y="8334"/>
                                </a:cubicBezTo>
                                <a:cubicBezTo>
                                  <a:pt x="51460" y="10988"/>
                                  <a:pt x="53525" y="14089"/>
                                  <a:pt x="54975" y="17611"/>
                                </a:cubicBezTo>
                                <a:cubicBezTo>
                                  <a:pt x="56425" y="21109"/>
                                  <a:pt x="57150" y="24755"/>
                                  <a:pt x="57150" y="28575"/>
                                </a:cubicBezTo>
                                <a:cubicBezTo>
                                  <a:pt x="57150" y="32345"/>
                                  <a:pt x="56425" y="35992"/>
                                  <a:pt x="54975" y="39464"/>
                                </a:cubicBezTo>
                                <a:cubicBezTo>
                                  <a:pt x="53525" y="42962"/>
                                  <a:pt x="51460" y="46038"/>
                                  <a:pt x="48781" y="48741"/>
                                </a:cubicBezTo>
                                <a:cubicBezTo>
                                  <a:pt x="46101" y="51395"/>
                                  <a:pt x="43011" y="53479"/>
                                  <a:pt x="39510" y="54942"/>
                                </a:cubicBezTo>
                                <a:cubicBezTo>
                                  <a:pt x="36009" y="56381"/>
                                  <a:pt x="32364" y="57125"/>
                                  <a:pt x="28575" y="57150"/>
                                </a:cubicBezTo>
                                <a:cubicBezTo>
                                  <a:pt x="24786" y="57125"/>
                                  <a:pt x="21141" y="56381"/>
                                  <a:pt x="17640" y="54918"/>
                                </a:cubicBezTo>
                                <a:cubicBezTo>
                                  <a:pt x="14139" y="53479"/>
                                  <a:pt x="11049" y="51395"/>
                                  <a:pt x="8369" y="48741"/>
                                </a:cubicBezTo>
                                <a:cubicBezTo>
                                  <a:pt x="5690" y="46038"/>
                                  <a:pt x="3625" y="42962"/>
                                  <a:pt x="2175" y="39464"/>
                                </a:cubicBezTo>
                                <a:cubicBezTo>
                                  <a:pt x="725" y="35992"/>
                                  <a:pt x="0" y="32345"/>
                                  <a:pt x="0" y="28575"/>
                                </a:cubicBezTo>
                                <a:cubicBezTo>
                                  <a:pt x="0" y="24755"/>
                                  <a:pt x="725" y="21109"/>
                                  <a:pt x="2175" y="17611"/>
                                </a:cubicBezTo>
                                <a:cubicBezTo>
                                  <a:pt x="3625" y="14089"/>
                                  <a:pt x="5690" y="10988"/>
                                  <a:pt x="8369" y="8334"/>
                                </a:cubicBezTo>
                                <a:cubicBezTo>
                                  <a:pt x="11049" y="5631"/>
                                  <a:pt x="14139" y="3572"/>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478" style="width:4.5pt;height:52.5pt;position:absolute;mso-position-horizontal-relative:text;mso-position-horizontal:absolute;margin-left:16.5pt;mso-position-vertical-relative:text;margin-top:2.73828pt;" coordsize="571,6667">
                <v:shape id="Shape 3018" style="position:absolute;width:571;height:571;left:0;top:0;" coordsize="57150,57150" path="m28575,0c32364,0,36009,719,39510,2158c43011,3597,46101,5680,48781,8384c51460,11038,53525,14114,54975,17636c56425,21134,57150,24780,57150,28575c57150,32345,56425,35992,54975,39489c53525,42987,51460,46087,48781,48791c46101,51445,43011,53504,39510,54967c36009,56381,32364,57125,28575,57150c24786,57125,21141,56381,17640,54967c14139,53504,11049,51445,8369,48791c5690,46087,3625,42987,2175,39489c725,35992,0,32345,0,28575c0,24780,725,21134,2175,17636c3625,14114,5690,11038,8369,8384c11049,5680,14139,3597,17640,2158c21141,719,24786,0,28575,0x">
                  <v:stroke weight="0pt" endcap="flat" joinstyle="miter" miterlimit="10" on="false" color="#000000" opacity="0"/>
                  <v:fill on="true" color="#333333"/>
                </v:shape>
                <v:shape id="Shape 3020" style="position:absolute;width:571;height:571;left:0;top:1524;" coordsize="57150,57150" path="m28575,0c32364,0,36009,719,39510,2158c43011,3597,46101,5655,48781,8359c51460,11038,53525,14114,54975,17611c56425,21109,57150,24755,57150,28575c57150,32345,56425,35992,54975,39489c53525,42987,51460,46087,48781,48766c46101,51420,43011,53479,39510,54967c36009,56381,32364,57125,28575,57150c24786,57125,21141,56381,17640,54942c14139,53479,11049,51420,8369,48766c5690,46087,3625,42987,2175,39489c725,35992,0,32345,0,28575c0,24755,725,21109,2175,17611c3625,14114,5690,11038,8369,8359c11049,5655,14139,3597,17640,2158c21141,719,24786,0,28575,0x">
                  <v:stroke weight="0pt" endcap="flat" joinstyle="miter" miterlimit="10" on="false" color="#000000" opacity="0"/>
                  <v:fill on="true" color="#333333"/>
                </v:shape>
                <v:shape id="Shape 3022" style="position:absolute;width:571;height:571;left:0;top:3048;" coordsize="57150,57150" path="m28575,0c32364,0,36009,719,39510,2133c43011,3597,46101,5655,48781,8359c51460,11013,53525,14114,54975,17611c56425,21134,57150,24780,57150,28575c57150,32345,56425,35992,54975,39489c53525,42987,51460,46087,48781,48766c46101,51420,43011,53479,39510,54942c36009,56381,32364,57125,28575,57150c24786,57125,21141,56381,17640,54918c14139,53479,11049,51420,8369,48766c5690,46087,3625,42987,2175,39489c725,35992,0,32345,0,28575c0,24780,725,21134,2175,17611c3625,14114,5690,11013,8369,8359c11049,5655,14139,3597,17640,2133c21141,719,24786,0,28575,0x">
                  <v:stroke weight="0pt" endcap="flat" joinstyle="miter" miterlimit="10" on="false" color="#000000" opacity="0"/>
                  <v:fill on="true" color="#333333"/>
                </v:shape>
                <v:shape id="Shape 3024" style="position:absolute;width:571;height:571;left:0;top:4572;" coordsize="57150,57150" path="m28575,0c32364,0,36009,719,39510,2133c43011,3597,46101,5655,48781,8359c51460,11013,53525,14114,54975,17611c56425,21109,57150,24755,57150,28575c57150,32345,56425,35992,54975,39489c53525,42987,51460,46062,48781,48766c46101,51445,43011,53504,39510,54942c36009,56406,32364,57125,28575,57150c24786,57125,21141,56406,17640,54942c14139,53504,11049,51445,8369,48766c5690,46062,3625,42987,2175,39489c725,35992,0,32345,0,28575c0,24755,725,21109,2175,17611c3625,14114,5690,11013,8369,8359c11049,5655,14139,3597,17640,2133c21141,719,24786,0,28575,0x">
                  <v:stroke weight="0pt" endcap="flat" joinstyle="miter" miterlimit="10" on="false" color="#000000" opacity="0"/>
                  <v:fill on="true" color="#333333"/>
                </v:shape>
                <v:shape id="Shape 3026" style="position:absolute;width:571;height:571;left:0;top:6096;" coordsize="57150,57150" path="m28575,0c32364,0,36009,719,39510,2133c43011,3572,46101,5631,48781,8334c51460,10988,53525,14089,54975,17611c56425,21109,57150,24755,57150,28575c57150,32345,56425,35992,54975,39464c53525,42962,51460,46038,48781,48741c46101,51395,43011,53479,39510,54942c36009,56381,32364,57125,28575,57150c24786,57125,21141,56381,17640,54918c14139,53479,11049,51395,8369,48741c5690,46038,3625,42962,2175,39464c725,35992,0,32345,0,28575c0,24755,725,21109,2175,17611c3625,14089,5690,10988,8369,8334c11049,5631,14139,3572,17640,2133c21141,719,24786,0,28575,0x">
                  <v:stroke weight="0pt" endcap="flat" joinstyle="miter" miterlimit="10" on="false" color="#000000" opacity="0"/>
                  <v:fill on="true" color="#333333"/>
                </v:shape>
                <w10:wrap type="square"/>
              </v:group>
            </w:pict>
          </mc:Fallback>
        </mc:AlternateContent>
      </w:r>
      <w:r>
        <w:t>восстановление физической работоспособности больных; психологическая реадаптация больных;</w:t>
      </w:r>
    </w:p>
    <w:p w:rsidR="008E3F15" w:rsidRDefault="005F449A">
      <w:pPr>
        <w:spacing w:after="179"/>
        <w:ind w:left="340" w:right="901"/>
      </w:pPr>
      <w:r>
        <w:t>подготовка больных к профессиональной деятельности; вторичная профилактика обострений коронарной болезни; формирование з</w:t>
      </w:r>
      <w:r>
        <w:t>дорового образа жизни и повышение качества жизни больного.</w:t>
      </w:r>
    </w:p>
    <w:p w:rsidR="008E3F15" w:rsidRDefault="005F449A">
      <w:pPr>
        <w:ind w:left="2" w:right="15"/>
      </w:pPr>
      <w:r>
        <w:t>Пациентам индивидуально подбирается программа физической активности, включающая терренкур (дозированную ходьбу по специальным маршрутам), тренировки на тренажерах, ходьбу по лестнице, малоподвижные</w:t>
      </w:r>
      <w:r>
        <w:t xml:space="preserve"> игры, лечебную гимнастику.</w:t>
      </w:r>
    </w:p>
    <w:p w:rsidR="008E3F15" w:rsidRDefault="005F449A">
      <w:pPr>
        <w:ind w:left="2" w:right="713"/>
      </w:pPr>
      <w:r>
        <w:t>Психологическая реабилитация проводится психотерапевтом с учетом результатов тестирования психического статуса и включает психотерапевтические методы лечения и психофармакотерапию.</w:t>
      </w:r>
    </w:p>
    <w:p w:rsidR="008E3F15" w:rsidRDefault="005F449A">
      <w:pPr>
        <w:ind w:left="2" w:right="221"/>
      </w:pPr>
      <w:r>
        <w:t>Медикаментозное лечение больных острым ИМ в реа</w:t>
      </w:r>
      <w:r>
        <w:t>билитационном отделении является продолжением лечения, назначенного в стационаре. Пациентам при соблюдении принципа преемственности и с учетом ранних сроков перевода больных назначается терапия в препаратах и дозах, рекомендуемых при выписке из стационара.</w:t>
      </w:r>
    </w:p>
    <w:p w:rsidR="008E3F15" w:rsidRDefault="005F449A">
      <w:pPr>
        <w:spacing w:after="359"/>
        <w:ind w:left="2" w:right="91"/>
      </w:pPr>
      <w:r>
        <w:t>С больными проводится работа по формированию здорового образа жизни, социальной реадаптации с акцентом на мотивацию к возвращению к профессиональной деятельности и активному продолжению реабилитационных мероприятий на последующем амбулаторном этапе.</w:t>
      </w:r>
    </w:p>
    <w:p w:rsidR="008E3F15" w:rsidRDefault="005F449A">
      <w:pPr>
        <w:pStyle w:val="Heading1"/>
        <w:ind w:left="2"/>
      </w:pPr>
      <w:r>
        <w:t>Часть</w:t>
      </w:r>
      <w:r>
        <w:t xml:space="preserve"> I. Сердечно-сосудистые болезни</w:t>
      </w:r>
    </w:p>
    <w:p w:rsidR="008E3F15" w:rsidRDefault="005F449A">
      <w:pPr>
        <w:spacing w:after="31"/>
        <w:ind w:left="2" w:right="15"/>
      </w:pPr>
      <w:r>
        <w:t>Глава 2. Коронарные синдромы хронические</w:t>
      </w:r>
    </w:p>
    <w:p w:rsidR="008E3F15" w:rsidRDefault="005F449A">
      <w:pPr>
        <w:pStyle w:val="Heading2"/>
        <w:ind w:left="2"/>
      </w:pPr>
      <w: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7936" behindDoc="0" locked="0" layoutInCell="1" allowOverlap="1">
                <wp:simplePos x="0" y="0"/>
                <wp:positionH relativeFrom="column">
                  <wp:posOffset>209550</wp:posOffset>
                </wp:positionH>
                <wp:positionV relativeFrom="paragraph">
                  <wp:posOffset>34777</wp:posOffset>
                </wp:positionV>
                <wp:extent cx="57150" cy="1609725"/>
                <wp:effectExtent l="0" t="0" r="0" b="0"/>
                <wp:wrapSquare wrapText="bothSides"/>
                <wp:docPr id="251479" name="Group 251479"/>
                <wp:cNvGraphicFramePr/>
                <a:graphic xmlns:a="http://schemas.openxmlformats.org/drawingml/2006/main">
                  <a:graphicData uri="http://schemas.microsoft.com/office/word/2010/wordprocessingGroup">
                    <wpg:wgp>
                      <wpg:cNvGrpSpPr/>
                      <wpg:grpSpPr>
                        <a:xfrm>
                          <a:off x="0" y="0"/>
                          <a:ext cx="57150" cy="1609725"/>
                          <a:chOff x="0" y="0"/>
                          <a:chExt cx="57150" cy="1609725"/>
                        </a:xfrm>
                      </wpg:grpSpPr>
                      <wps:wsp>
                        <wps:cNvPr id="3045" name="Shape 3045"/>
                        <wps:cNvSpPr/>
                        <wps:spPr>
                          <a:xfrm>
                            <a:off x="0" y="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62"/>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62"/>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51" name="Shape 3051"/>
                        <wps:cNvSpPr/>
                        <wps:spPr>
                          <a:xfrm>
                            <a:off x="0" y="1524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53" name="Shape 3053"/>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587"/>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55" name="Shape 3055"/>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97"/>
                                  <a:pt x="46101" y="5655"/>
                                  <a:pt x="48781" y="8334"/>
                                </a:cubicBezTo>
                                <a:cubicBezTo>
                                  <a:pt x="51460" y="10988"/>
                                  <a:pt x="53525" y="14064"/>
                                  <a:pt x="54975" y="17587"/>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587"/>
                                </a:cubicBezTo>
                                <a:cubicBezTo>
                                  <a:pt x="3625" y="14064"/>
                                  <a:pt x="5690" y="10988"/>
                                  <a:pt x="8369" y="8334"/>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59" name="Shape 3059"/>
                        <wps:cNvSpPr/>
                        <wps:spPr>
                          <a:xfrm>
                            <a:off x="0" y="638175"/>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61" name="Shape 3061"/>
                        <wps:cNvSpPr/>
                        <wps:spPr>
                          <a:xfrm>
                            <a:off x="0" y="790575"/>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089"/>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587"/>
                                </a:cubicBezTo>
                                <a:cubicBezTo>
                                  <a:pt x="3625" y="14089"/>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63" name="Shape 3063"/>
                        <wps:cNvSpPr/>
                        <wps:spPr>
                          <a:xfrm>
                            <a:off x="0" y="942975"/>
                            <a:ext cx="57150" cy="57150"/>
                          </a:xfrm>
                          <a:custGeom>
                            <a:avLst/>
                            <a:gdLst/>
                            <a:ahLst/>
                            <a:cxnLst/>
                            <a:rect l="0" t="0" r="0" b="0"/>
                            <a:pathLst>
                              <a:path w="57150" h="57150">
                                <a:moveTo>
                                  <a:pt x="28575" y="0"/>
                                </a:moveTo>
                                <a:cubicBezTo>
                                  <a:pt x="32364" y="0"/>
                                  <a:pt x="36009" y="719"/>
                                  <a:pt x="39510" y="2133"/>
                                </a:cubicBezTo>
                                <a:cubicBezTo>
                                  <a:pt x="43011" y="3597"/>
                                  <a:pt x="46101" y="5655"/>
                                  <a:pt x="48781" y="8334"/>
                                </a:cubicBezTo>
                                <a:cubicBezTo>
                                  <a:pt x="51460" y="10988"/>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18"/>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089"/>
                                  <a:pt x="5690" y="10988"/>
                                  <a:pt x="8369" y="8334"/>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65" name="Shape 3065"/>
                        <wps:cNvSpPr/>
                        <wps:spPr>
                          <a:xfrm>
                            <a:off x="0" y="1095375"/>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114"/>
                                  <a:pt x="54975" y="17611"/>
                                </a:cubicBezTo>
                                <a:cubicBezTo>
                                  <a:pt x="56425" y="21134"/>
                                  <a:pt x="57150" y="24780"/>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66"/>
                                </a:cubicBezTo>
                                <a:cubicBezTo>
                                  <a:pt x="5690" y="46062"/>
                                  <a:pt x="3625" y="42987"/>
                                  <a:pt x="2175" y="39489"/>
                                </a:cubicBezTo>
                                <a:cubicBezTo>
                                  <a:pt x="725" y="35992"/>
                                  <a:pt x="0" y="32345"/>
                                  <a:pt x="0" y="28575"/>
                                </a:cubicBezTo>
                                <a:cubicBezTo>
                                  <a:pt x="0" y="24780"/>
                                  <a:pt x="725" y="21134"/>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67" name="Shape 3067"/>
                        <wps:cNvSpPr/>
                        <wps:spPr>
                          <a:xfrm>
                            <a:off x="0" y="1247775"/>
                            <a:ext cx="57150" cy="57150"/>
                          </a:xfrm>
                          <a:custGeom>
                            <a:avLst/>
                            <a:gdLst/>
                            <a:ahLst/>
                            <a:cxnLst/>
                            <a:rect l="0" t="0" r="0" b="0"/>
                            <a:pathLst>
                              <a:path w="57150" h="57150">
                                <a:moveTo>
                                  <a:pt x="28575" y="0"/>
                                </a:moveTo>
                                <a:cubicBezTo>
                                  <a:pt x="32364" y="0"/>
                                  <a:pt x="36009" y="719"/>
                                  <a:pt x="39510" y="2133"/>
                                </a:cubicBezTo>
                                <a:cubicBezTo>
                                  <a:pt x="43011" y="3621"/>
                                  <a:pt x="46101" y="5680"/>
                                  <a:pt x="48781" y="8384"/>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84"/>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69" name="Shape 3069"/>
                        <wps:cNvSpPr/>
                        <wps:spPr>
                          <a:xfrm>
                            <a:off x="0" y="1400175"/>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479"/>
                                  <a:pt x="39510" y="54967"/>
                                </a:cubicBezTo>
                                <a:cubicBezTo>
                                  <a:pt x="36009" y="56406"/>
                                  <a:pt x="32364" y="57125"/>
                                  <a:pt x="28575" y="57150"/>
                                </a:cubicBezTo>
                                <a:cubicBezTo>
                                  <a:pt x="24786" y="57125"/>
                                  <a:pt x="21141" y="56406"/>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71" name="Shape 3071"/>
                        <wps:cNvSpPr/>
                        <wps:spPr>
                          <a:xfrm>
                            <a:off x="0" y="1552575"/>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089"/>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479" style="width:4.5pt;height:126.75pt;position:absolute;mso-position-horizontal-relative:text;mso-position-horizontal:absolute;margin-left:16.5pt;mso-position-vertical-relative:text;margin-top:2.73831pt;" coordsize="571,16097">
                <v:shape id="Shape 3045" style="position:absolute;width:571;height:571;left:0;top:0;" coordsize="57150,57150" path="m28575,0c32364,0,36009,719,39510,2158c43011,3621,46101,5680,48781,8359c51460,11013,53525,14114,54975,17611c56425,21109,57150,24755,57150,28575c57150,32345,56425,35992,54975,39489c53525,42962,51460,46062,48781,48766c46101,51420,43011,53479,39510,54942c36009,56406,32364,57125,28575,57150c24786,57125,21141,56406,17640,54942c14139,53479,11049,51420,8369,48766c5690,46062,3625,42962,2175,39489c725,35992,0,32345,0,28575c0,24755,725,21109,2175,17611c3625,14114,5690,11013,8369,8359c11049,5680,14139,3621,17640,2158c21141,719,24786,0,28575,0x">
                  <v:stroke weight="0pt" endcap="flat" joinstyle="miter" miterlimit="10" on="false" color="#000000" opacity="0"/>
                  <v:fill on="true" color="#333333"/>
                </v:shape>
                <v:shape id="Shape 3051" style="position:absolute;width:571;height:571;left:0;top:1524;" coordsize="57150,57150" path="m28575,0c32364,0,36009,719,39510,2158c43011,3597,46101,5655,48781,8359c51460,11038,53525,14114,54975,17611c56425,21109,57150,24755,57150,28575c57150,32345,56425,35992,54975,39464c53525,42987,51460,46062,48781,48766c46101,51420,43011,53479,39510,54942c36009,56381,32364,57125,28575,57150c24786,57125,21141,56381,17640,54942c14139,53479,11049,51420,8369,48766c5690,46062,3625,42987,2175,39489c725,35992,0,32345,0,28575c0,24755,725,21109,2175,17611c3625,14114,5690,11038,8369,8359c11049,5655,14139,3597,17640,2158c21141,719,24786,0,28575,0x">
                  <v:stroke weight="0pt" endcap="flat" joinstyle="miter" miterlimit="10" on="false" color="#000000" opacity="0"/>
                  <v:fill on="true" color="#333333"/>
                </v:shape>
                <v:shape id="Shape 3053" style="position:absolute;width:571;height:571;left:0;top:3048;" coordsize="57150,57150" path="m28575,0c32364,0,36009,719,39510,2158c43011,3597,46101,5655,48781,8359c51460,11013,53525,14114,54975,17611c56425,21109,57150,24755,57150,28575c57150,32345,56425,35967,54975,39464c53525,42987,51460,46062,48781,48766c46101,51420,43011,53479,39510,54942c36009,56381,32364,57125,28575,57150c24786,57125,21141,56381,17640,54942c14139,53479,11049,51420,8369,48766c5690,46062,3625,42987,2175,39489c725,35967,0,32345,0,28575c0,24755,725,21109,2175,17587c3625,14114,5690,11013,8369,8359c11049,5655,14139,3597,17640,2158c21141,719,24786,0,28575,0x">
                  <v:stroke weight="0pt" endcap="flat" joinstyle="miter" miterlimit="10" on="false" color="#000000" opacity="0"/>
                  <v:fill on="true" color="#333333"/>
                </v:shape>
                <v:shape id="Shape 3055" style="position:absolute;width:571;height:571;left:0;top:4572;" coordsize="57150,57150" path="m28575,0c32364,0,36009,719,39510,2158c43011,3597,46101,5655,48781,8334c51460,10988,53525,14064,54975,17587c56425,21109,57150,24755,57150,28575c57150,32345,56425,35992,54975,39489c53525,42987,51460,46087,48781,48766c46101,51420,43011,53479,39510,54967c36009,56381,32364,57125,28575,57150c24786,57125,21141,56381,17640,54942c14139,53479,11049,51420,8369,48766c5690,46087,3625,42987,2175,39489c725,35992,0,32345,0,28575c0,24755,725,21109,2175,17587c3625,14064,5690,10988,8369,8334c11049,5655,14139,3597,17640,2158c21141,719,24786,0,28575,0x">
                  <v:stroke weight="0pt" endcap="flat" joinstyle="miter" miterlimit="10" on="false" color="#000000" opacity="0"/>
                  <v:fill on="true" color="#333333"/>
                </v:shape>
                <v:shape id="Shape 3059" style="position:absolute;width:571;height:571;left:0;top:6381;" coordsize="57150,57150" path="m28575,0c32364,0,36009,719,39510,2158c43011,3597,46101,5655,48781,8359c51460,11038,53525,14114,54975,17611c56425,21109,57150,24755,57150,28575c57150,32345,56425,35967,54975,39464c53525,42987,51460,46062,48781,48766c46101,51420,43011,53479,39510,54967c36009,56381,32364,57125,28575,57150c24786,57125,21141,56381,17640,54942c14139,53479,11049,51420,8369,48766c5690,46062,3625,42987,2175,39489c725,35967,0,32345,0,28575c0,24755,725,21109,2175,17611c3625,14114,5690,11038,8369,8359c11049,5655,14139,3597,17640,2158c21141,719,24786,0,28575,0x">
                  <v:stroke weight="0pt" endcap="flat" joinstyle="miter" miterlimit="10" on="false" color="#000000" opacity="0"/>
                  <v:fill on="true" color="#333333"/>
                </v:shape>
                <v:shape id="Shape 3061" style="position:absolute;width:571;height:571;left:0;top:7905;" coordsize="57150,57150" path="m28575,0c32364,0,36009,719,39510,2158c43011,3597,46101,5655,48781,8359c51460,11013,53525,14089,54975,17611c56425,21109,57150,24755,57150,28575c57150,32345,56425,35967,54975,39464c53525,42987,51460,46062,48781,48766c46101,51420,43011,53479,39510,54967c36009,56381,32364,57125,28575,57150c24786,57125,21141,56381,17640,54942c14139,53479,11049,51420,8369,48766c5690,46062,3625,42987,2175,39489c725,35967,0,32345,0,28575c0,24755,725,21109,2175,17587c3625,14089,5690,11013,8369,8359c11049,5655,14139,3597,17640,2158c21141,719,24786,0,28575,0x">
                  <v:stroke weight="0pt" endcap="flat" joinstyle="miter" miterlimit="10" on="false" color="#000000" opacity="0"/>
                  <v:fill on="true" color="#333333"/>
                </v:shape>
                <v:shape id="Shape 3063" style="position:absolute;width:571;height:571;left:0;top:9429;" coordsize="57150,57150" path="m28575,0c32364,0,36009,719,39510,2133c43011,3597,46101,5655,48781,8334c51460,10988,53525,14089,54975,17611c56425,21109,57150,24755,57150,28575c57150,32345,56425,35992,54975,39489c53525,42987,51460,46062,48781,48766c46101,51420,43011,53479,39510,54942c36009,56381,32364,57125,28575,57150c24786,57125,21141,56381,17640,54918c14139,53479,11049,51420,8369,48766c5690,46062,3625,42987,2175,39489c725,35992,0,32345,0,28575c0,24755,725,21109,2175,17611c3625,14089,5690,10988,8369,8334c11049,5655,14139,3597,17640,2133c21141,719,24786,0,28575,0x">
                  <v:stroke weight="0pt" endcap="flat" joinstyle="miter" miterlimit="10" on="false" color="#000000" opacity="0"/>
                  <v:fill on="true" color="#333333"/>
                </v:shape>
                <v:shape id="Shape 3065" style="position:absolute;width:571;height:571;left:0;top:10953;" coordsize="57150,57150" path="m28575,0c32364,0,36009,719,39510,2133c43011,3621,46101,5680,48781,8359c51460,11013,53525,14114,54975,17611c56425,21134,57150,24780,57150,28575c57150,32345,56425,35992,54975,39489c53525,42987,51460,46062,48781,48766c46101,51445,43011,53504,39510,54942c36009,56406,32364,57125,28575,57150c24786,57125,21141,56406,17640,54942c14139,53504,11049,51445,8369,48766c5690,46062,3625,42987,2175,39489c725,35992,0,32345,0,28575c0,24780,725,21134,2175,17611c3625,14114,5690,11013,8369,8359c11049,5680,14139,3621,17640,2158c21141,719,24786,0,28575,0x">
                  <v:stroke weight="0pt" endcap="flat" joinstyle="miter" miterlimit="10" on="false" color="#000000" opacity="0"/>
                  <v:fill on="true" color="#333333"/>
                </v:shape>
                <v:shape id="Shape 3067" style="position:absolute;width:571;height:571;left:0;top:12477;" coordsize="57150,57150" path="m28575,0c32364,0,36009,719,39510,2133c43011,3621,46101,5680,48781,8384c51460,11038,53525,14114,54975,17611c56425,21109,57150,24755,57150,28575c57150,32345,56425,35992,54975,39489c53525,42987,51460,46087,48781,48791c46101,51445,43011,53504,39510,54967c36009,56406,32364,57125,28575,57150c24786,57125,21141,56406,17640,54967c14139,53504,11049,51445,8369,48791c5690,46087,3625,42987,2175,39489c725,35992,0,32345,0,28575c0,24755,725,21109,2175,17611c3625,14114,5690,11038,8369,8384c11049,5680,14139,3621,17640,2158c21141,719,24786,0,28575,0x">
                  <v:stroke weight="0pt" endcap="flat" joinstyle="miter" miterlimit="10" on="false" color="#000000" opacity="0"/>
                  <v:fill on="true" color="#333333"/>
                </v:shape>
                <v:shape id="Shape 3069" style="position:absolute;width:571;height:571;left:0;top:14001;" coordsize="57150,57150" path="m28575,0c32364,0,36009,719,39510,2133c43011,3597,46101,5655,48781,8359c51460,11013,53525,14114,54975,17611c56425,21109,57150,24755,57150,28575c57150,32345,56425,35992,54975,39489c53525,42987,51460,46087,48781,48791c46101,51445,43011,53479,39510,54967c36009,56406,32364,57125,28575,57150c24786,57125,21141,56406,17640,54967c14139,53504,11049,51445,8369,48791c5690,46087,3625,42987,2175,39489c725,35992,0,32345,0,28575c0,24755,725,21109,2175,17611c3625,14114,5690,11013,8369,8359c11049,5655,14139,3597,17640,2158c21141,719,24786,0,28575,0x">
                  <v:stroke weight="0pt" endcap="flat" joinstyle="miter" miterlimit="10" on="false" color="#000000" opacity="0"/>
                  <v:fill on="true" color="#333333"/>
                </v:shape>
                <v:shape id="Shape 3071" style="position:absolute;width:571;height:571;left:0;top:15525;" coordsize="57150,57150" path="m28575,0c32364,0,36009,719,39510,2158c43011,3621,46101,5680,48781,8359c51460,11013,53525,14089,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089,5690,11013,8369,8359c11049,5680,14139,3621,17640,2158c21141,719,24786,0,28575,0x">
                  <v:stroke weight="0pt" endcap="flat" joinstyle="miter" miterlimit="10" on="false" color="#000000" opacity="0"/>
                  <v:fill on="true" color="#333333"/>
                </v:shape>
                <w10:wrap type="square"/>
              </v:group>
            </w:pict>
          </mc:Fallback>
        </mc:AlternateContent>
      </w:r>
      <w:r>
        <w:t xml:space="preserve">ЭКГ: патологический зубец </w:t>
      </w:r>
      <w:r>
        <w:rPr>
          <w:i/>
        </w:rPr>
        <w:t>Q</w:t>
      </w:r>
      <w:r>
        <w:t xml:space="preserve">, аномалии </w:t>
      </w:r>
      <w:r>
        <w:rPr>
          <w:i/>
        </w:rPr>
        <w:t>ST–T</w:t>
      </w:r>
      <w:r>
        <w:t>, нарушения проводимости.</w:t>
      </w:r>
    </w:p>
    <w:p w:rsidR="008E3F15" w:rsidRDefault="005F449A">
      <w:pPr>
        <w:spacing w:after="31"/>
        <w:ind w:left="340" w:right="15"/>
      </w:pPr>
      <w:r>
        <w:t>Липидограмма.</w:t>
      </w:r>
    </w:p>
    <w:p w:rsidR="008E3F15" w:rsidRDefault="005F449A">
      <w:pPr>
        <w:spacing w:after="31"/>
        <w:ind w:left="340" w:right="15"/>
      </w:pPr>
      <w:r>
        <w:t>Гемоглобин.</w:t>
      </w:r>
    </w:p>
    <w:p w:rsidR="008E3F15" w:rsidRDefault="005F449A">
      <w:pPr>
        <w:spacing w:after="31"/>
        <w:ind w:left="340" w:right="15"/>
      </w:pPr>
      <w:r>
        <w:t>Гликемия, HbA</w:t>
      </w:r>
      <w:r>
        <w:rPr>
          <w:sz w:val="31"/>
          <w:vertAlign w:val="subscript"/>
        </w:rPr>
        <w:t>1</w:t>
      </w:r>
      <w:r>
        <w:rPr>
          <w:sz w:val="20"/>
        </w:rPr>
        <w:t>c</w:t>
      </w:r>
      <w:r>
        <w:t>, креатинин, рСКФ.</w:t>
      </w:r>
    </w:p>
    <w:p w:rsidR="008E3F15" w:rsidRDefault="005F449A">
      <w:pPr>
        <w:spacing w:after="31"/>
        <w:ind w:left="340" w:right="15"/>
      </w:pPr>
      <w:r>
        <w:t>Стресс-тест.</w:t>
      </w:r>
    </w:p>
    <w:p w:rsidR="008E3F15" w:rsidRDefault="005F449A">
      <w:pPr>
        <w:spacing w:after="31"/>
        <w:ind w:left="340" w:right="15"/>
      </w:pPr>
      <w:r>
        <w:t>Коронарный кальций.</w:t>
      </w:r>
    </w:p>
    <w:p w:rsidR="008E3F15" w:rsidRDefault="005F449A">
      <w:pPr>
        <w:spacing w:after="31"/>
        <w:ind w:left="340" w:right="15"/>
      </w:pPr>
      <w:r>
        <w:t>КТ-ангиография коронарных артерий.</w:t>
      </w:r>
    </w:p>
    <w:p w:rsidR="008E3F15" w:rsidRDefault="005F449A">
      <w:pPr>
        <w:spacing w:after="31"/>
        <w:ind w:left="340" w:right="15"/>
      </w:pPr>
      <w:r>
        <w:t>Коронарная ангиография (для реваскуляризации).</w:t>
      </w:r>
    </w:p>
    <w:p w:rsidR="008E3F15" w:rsidRDefault="005F449A">
      <w:pPr>
        <w:spacing w:after="31"/>
        <w:ind w:left="340" w:right="15"/>
      </w:pPr>
      <w:r>
        <w:t>Эхокардиография.</w:t>
      </w:r>
    </w:p>
    <w:p w:rsidR="008E3F15" w:rsidRDefault="005F449A">
      <w:pPr>
        <w:spacing w:after="179"/>
        <w:ind w:left="340" w:right="2990"/>
      </w:pPr>
      <w:r>
        <w:t>Мониторирование ЭКГ (вазоспастическая СК, аритмии). Шкалы CADC2, SMART, SYNTAX, NCDR CathPCI Risk.</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8960" behindDoc="0" locked="0" layoutInCell="1" allowOverlap="1">
                <wp:simplePos x="0" y="0"/>
                <wp:positionH relativeFrom="column">
                  <wp:posOffset>209550</wp:posOffset>
                </wp:positionH>
                <wp:positionV relativeFrom="paragraph">
                  <wp:posOffset>34776</wp:posOffset>
                </wp:positionV>
                <wp:extent cx="57150" cy="666750"/>
                <wp:effectExtent l="0" t="0" r="0" b="0"/>
                <wp:wrapSquare wrapText="bothSides"/>
                <wp:docPr id="251480" name="Group 251480"/>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3074" name="Shape 3074"/>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76" name="Shape 3076"/>
                        <wps:cNvSpPr/>
                        <wps:spPr>
                          <a:xfrm>
                            <a:off x="0" y="152400"/>
                            <a:ext cx="57150" cy="57150"/>
                          </a:xfrm>
                          <a:custGeom>
                            <a:avLst/>
                            <a:gdLst/>
                            <a:ahLst/>
                            <a:cxnLst/>
                            <a:rect l="0" t="0" r="0" b="0"/>
                            <a:pathLst>
                              <a:path w="57150" h="57150">
                                <a:moveTo>
                                  <a:pt x="28575" y="0"/>
                                </a:moveTo>
                                <a:cubicBezTo>
                                  <a:pt x="32364" y="0"/>
                                  <a:pt x="36009" y="719"/>
                                  <a:pt x="39510" y="2133"/>
                                </a:cubicBezTo>
                                <a:cubicBezTo>
                                  <a:pt x="43011" y="3621"/>
                                  <a:pt x="46101" y="5680"/>
                                  <a:pt x="48781" y="8384"/>
                                </a:cubicBezTo>
                                <a:cubicBezTo>
                                  <a:pt x="51460" y="11038"/>
                                  <a:pt x="53525" y="14114"/>
                                  <a:pt x="54975" y="17611"/>
                                </a:cubicBezTo>
                                <a:cubicBezTo>
                                  <a:pt x="56425" y="21109"/>
                                  <a:pt x="57150" y="24755"/>
                                  <a:pt x="57150" y="28575"/>
                                </a:cubicBezTo>
                                <a:cubicBezTo>
                                  <a:pt x="57150" y="32345"/>
                                  <a:pt x="56425" y="35992"/>
                                  <a:pt x="54975" y="39514"/>
                                </a:cubicBezTo>
                                <a:cubicBezTo>
                                  <a:pt x="53525" y="42987"/>
                                  <a:pt x="51460" y="46087"/>
                                  <a:pt x="48781" y="48791"/>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84"/>
                                </a:cubicBezTo>
                                <a:cubicBezTo>
                                  <a:pt x="11049" y="5680"/>
                                  <a:pt x="14139" y="3621"/>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79" name="Shape 3079"/>
                        <wps:cNvSpPr/>
                        <wps:spPr>
                          <a:xfrm>
                            <a:off x="0" y="4572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081" name="Shape 3081"/>
                        <wps:cNvSpPr/>
                        <wps:spPr>
                          <a:xfrm>
                            <a:off x="0" y="6096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480" style="width:4.5pt;height:52.5pt;position:absolute;mso-position-horizontal-relative:text;mso-position-horizontal:absolute;margin-left:16.5pt;mso-position-vertical-relative:text;margin-top:2.73828pt;" coordsize="571,6667">
                <v:shape id="Shape 3074" style="position:absolute;width:571;height:571;left:0;top:0;" coordsize="57150,57150" path="m28575,0c32364,0,36009,719,39510,2158c43011,3597,46101,5655,48781,8359c51460,11038,53525,14114,54975,17611c56425,21109,57150,24755,57150,28575c57150,32345,56425,35967,54975,39464c53525,42987,51460,46062,48781,48766c46101,51420,43011,53479,39510,54967c36009,56381,32364,57125,28575,57150c24786,57125,21141,56381,17640,54942c14139,53479,11049,51420,8369,48766c5690,46062,3625,42987,2175,39489c725,35967,0,32345,0,28575c0,24755,725,21109,2175,17611c3625,14114,5690,11038,8369,8359c11049,5655,14139,3597,17640,2158c21141,719,24786,0,28575,0x">
                  <v:stroke weight="0pt" endcap="flat" joinstyle="miter" miterlimit="10" on="false" color="#000000" opacity="0"/>
                  <v:fill on="true" color="#333333"/>
                </v:shape>
                <v:shape id="Shape 3076" style="position:absolute;width:571;height:571;left:0;top:1524;" coordsize="57150,57150" path="m28575,0c32364,0,36009,719,39510,2133c43011,3621,46101,5680,48781,8384c51460,11038,53525,14114,54975,17611c56425,21109,57150,24755,57150,28575c57150,32345,56425,35992,54975,39514c53525,42987,51460,46087,48781,48791c46101,51445,43011,53504,39510,54942c36009,56406,32364,57125,28575,57150c24786,57125,21141,56406,17640,54942c14139,53504,11049,51445,8369,48791c5690,46087,3625,42987,2175,39489c725,35992,0,32345,0,28575c0,24755,725,21109,2175,17611c3625,14114,5690,11038,8369,8384c11049,5680,14139,3621,17640,2133c21141,719,24786,0,28575,0x">
                  <v:stroke weight="0pt" endcap="flat" joinstyle="miter" miterlimit="10" on="false" color="#000000" opacity="0"/>
                  <v:fill on="true" color="#333333"/>
                </v:shape>
                <v:shape id="Shape 3079" style="position:absolute;width:571;height:571;left:0;top:4572;" coordsize="57150,57150" path="m28575,0c32364,0,36009,719,39510,2133c43011,3597,46101,5655,48781,8359c51460,11013,53525,14114,54975,17611c56425,21109,57150,24755,57150,28575c57150,32345,56425,35992,54975,39489c53525,42987,51460,46062,48781,48766c46101,51445,43011,53504,39510,54942c36009,56406,32364,57125,28575,57150c24786,57125,21141,56406,17640,54942c14139,53504,11049,51445,8369,48766c5690,46062,3625,42987,2175,39489c725,35992,0,32345,0,28575c0,24755,725,21109,2175,17611c3625,14114,5690,11013,8369,8359c11049,5655,14139,3597,17640,2158c21141,719,24786,0,28575,0x">
                  <v:stroke weight="0pt" endcap="flat" joinstyle="miter" miterlimit="10" on="false" color="#000000" opacity="0"/>
                  <v:fill on="true" color="#333333"/>
                </v:shape>
                <v:shape id="Shape 3081" style="position:absolute;width:571;height:571;left:0;top:6096;" coordsize="57150,57150" path="m28575,0c32364,0,36009,719,39510,2133c43011,3597,46101,5655,48781,8359c51460,11013,53525,14114,54975,17611c56425,21109,57150,24755,57150,28575c57150,32345,56425,35992,54975,39489c53525,42987,51460,46062,48781,48766c46101,51420,43011,53479,39510,54942c36009,56381,32364,57125,28575,57150c24786,57125,21141,56381,17640,54942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w10:wrap type="square"/>
              </v:group>
            </w:pict>
          </mc:Fallback>
        </mc:AlternateContent>
      </w:r>
      <w:r>
        <w:t>Антиагреганты (АСК, клопидогрел), ривароксабан.</w:t>
      </w:r>
    </w:p>
    <w:p w:rsidR="008E3F15" w:rsidRDefault="005F449A">
      <w:pPr>
        <w:ind w:left="340" w:right="15"/>
      </w:pPr>
      <w:r>
        <w:t>Антиангинальные препараты (β-адреноблокаторы, блокаторы кальциевых каналов, нитраты, никорандил, триметазидин, ранолазин).</w:t>
      </w:r>
    </w:p>
    <w:p w:rsidR="008E3F15" w:rsidRDefault="005F449A">
      <w:pPr>
        <w:spacing w:after="31"/>
        <w:ind w:left="340" w:right="15"/>
      </w:pPr>
      <w:r>
        <w:t>Статины.</w:t>
      </w:r>
    </w:p>
    <w:p w:rsidR="008E3F15" w:rsidRDefault="005F449A">
      <w:pPr>
        <w:spacing w:after="165"/>
        <w:ind w:left="340" w:right="15"/>
      </w:pPr>
      <w:r>
        <w:t>Реваскуляризация (ЧКВ, КШ).</w:t>
      </w:r>
    </w:p>
    <w:p w:rsidR="008E3F15" w:rsidRDefault="005F449A">
      <w:pPr>
        <w:ind w:left="2" w:right="477"/>
      </w:pPr>
      <w:r>
        <w:t>Болезнь коронарных артерий — динамический процесс накопления атеросклеротических бляшек и функци</w:t>
      </w:r>
      <w:r>
        <w:t>ональных изменений коронарного кровообращения, который можно стабилизировать или обратить с помощью образа жизни, лекарственных препаратов или реваскуляризации. Процесс может характеризоваться как острые или хронические коронарные синдромы (ESC).</w:t>
      </w:r>
    </w:p>
    <w:p w:rsidR="008E3F15" w:rsidRDefault="005F449A">
      <w:pPr>
        <w:ind w:left="2" w:right="15"/>
      </w:pPr>
      <w:r>
        <w:t>Распростр</w:t>
      </w:r>
      <w:r>
        <w:t>аненность хронической коронарной болезни значительно связана с мужским полом и увеличением возраста (</w:t>
      </w:r>
      <w:r>
        <w:rPr>
          <w:b/>
        </w:rPr>
        <w:t>рис. 2.1</w:t>
      </w:r>
      <w:r>
        <w:t>).</w:t>
      </w:r>
    </w:p>
    <w:p w:rsidR="008E3F15" w:rsidRDefault="005F449A">
      <w:pPr>
        <w:spacing w:after="65" w:line="259" w:lineRule="auto"/>
        <w:ind w:left="0" w:right="0" w:firstLine="0"/>
      </w:pPr>
      <w:r>
        <w:rPr>
          <w:noProof/>
        </w:rPr>
        <w:drawing>
          <wp:inline distT="0" distB="0" distL="0" distR="0">
            <wp:extent cx="5057775" cy="3200400"/>
            <wp:effectExtent l="0" t="0" r="0" b="0"/>
            <wp:docPr id="3112" name="Picture 3112"/>
            <wp:cNvGraphicFramePr/>
            <a:graphic xmlns:a="http://schemas.openxmlformats.org/drawingml/2006/main">
              <a:graphicData uri="http://schemas.openxmlformats.org/drawingml/2006/picture">
                <pic:pic xmlns:pic="http://schemas.openxmlformats.org/drawingml/2006/picture">
                  <pic:nvPicPr>
                    <pic:cNvPr id="3112" name="Picture 3112"/>
                    <pic:cNvPicPr/>
                  </pic:nvPicPr>
                  <pic:blipFill>
                    <a:blip r:embed="rId16"/>
                    <a:stretch>
                      <a:fillRect/>
                    </a:stretch>
                  </pic:blipFill>
                  <pic:spPr>
                    <a:xfrm>
                      <a:off x="0" y="0"/>
                      <a:ext cx="5057775" cy="3200400"/>
                    </a:xfrm>
                    <a:prstGeom prst="rect">
                      <a:avLst/>
                    </a:prstGeom>
                  </pic:spPr>
                </pic:pic>
              </a:graphicData>
            </a:graphic>
          </wp:inline>
        </w:drawing>
      </w:r>
    </w:p>
    <w:p w:rsidR="008E3F15" w:rsidRDefault="005F449A">
      <w:pPr>
        <w:spacing w:after="345"/>
        <w:ind w:left="2" w:right="15"/>
      </w:pPr>
      <w:r>
        <w:rPr>
          <w:b/>
        </w:rPr>
        <w:t xml:space="preserve">Рис. 2.1. </w:t>
      </w:r>
      <w:r>
        <w:t>Распространенность хронической коронарной болезни в США (NHANES 2015–2018)</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spacing w:after="165"/>
        <w:ind w:left="2" w:right="15"/>
      </w:pPr>
      <w:r>
        <w:t>Выделяют следующие формы хронических коронарных синдромов.</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89984" behindDoc="0" locked="0" layoutInCell="1" allowOverlap="1">
                <wp:simplePos x="0" y="0"/>
                <wp:positionH relativeFrom="column">
                  <wp:posOffset>209550</wp:posOffset>
                </wp:positionH>
                <wp:positionV relativeFrom="paragraph">
                  <wp:posOffset>34776</wp:posOffset>
                </wp:positionV>
                <wp:extent cx="57150" cy="819150"/>
                <wp:effectExtent l="0" t="0" r="0" b="0"/>
                <wp:wrapSquare wrapText="bothSides"/>
                <wp:docPr id="253232" name="Group 253232"/>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3118" name="Shape 3118"/>
                        <wps:cNvSpPr/>
                        <wps:spPr>
                          <a:xfrm>
                            <a:off x="0" y="0"/>
                            <a:ext cx="57150" cy="57150"/>
                          </a:xfrm>
                          <a:custGeom>
                            <a:avLst/>
                            <a:gdLst/>
                            <a:ahLst/>
                            <a:cxnLst/>
                            <a:rect l="0" t="0" r="0" b="0"/>
                            <a:pathLst>
                              <a:path w="57150" h="57150">
                                <a:moveTo>
                                  <a:pt x="28575" y="0"/>
                                </a:moveTo>
                                <a:cubicBezTo>
                                  <a:pt x="32364" y="0"/>
                                  <a:pt x="36009" y="719"/>
                                  <a:pt x="39510" y="2158"/>
                                </a:cubicBezTo>
                                <a:cubicBezTo>
                                  <a:pt x="43011" y="3621"/>
                                  <a:pt x="46101" y="5680"/>
                                  <a:pt x="48781" y="8359"/>
                                </a:cubicBezTo>
                                <a:cubicBezTo>
                                  <a:pt x="51460" y="11013"/>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089"/>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20" name="Shape 3120"/>
                        <wps:cNvSpPr/>
                        <wps:spPr>
                          <a:xfrm>
                            <a:off x="0" y="152400"/>
                            <a:ext cx="57150" cy="57150"/>
                          </a:xfrm>
                          <a:custGeom>
                            <a:avLst/>
                            <a:gdLst/>
                            <a:ahLst/>
                            <a:cxnLst/>
                            <a:rect l="0" t="0" r="0" b="0"/>
                            <a:pathLst>
                              <a:path w="57150" h="57150">
                                <a:moveTo>
                                  <a:pt x="28575" y="0"/>
                                </a:moveTo>
                                <a:cubicBezTo>
                                  <a:pt x="32364" y="0"/>
                                  <a:pt x="36009" y="719"/>
                                  <a:pt x="39510" y="2133"/>
                                </a:cubicBezTo>
                                <a:cubicBezTo>
                                  <a:pt x="43011" y="3597"/>
                                  <a:pt x="46101" y="5655"/>
                                  <a:pt x="48781" y="8334"/>
                                </a:cubicBezTo>
                                <a:cubicBezTo>
                                  <a:pt x="51460" y="10988"/>
                                  <a:pt x="53525" y="14089"/>
                                  <a:pt x="54975" y="17611"/>
                                </a:cubicBezTo>
                                <a:cubicBezTo>
                                  <a:pt x="56425" y="21109"/>
                                  <a:pt x="57150" y="24755"/>
                                  <a:pt x="57150" y="28575"/>
                                </a:cubicBezTo>
                                <a:cubicBezTo>
                                  <a:pt x="57150" y="32345"/>
                                  <a:pt x="56425" y="35992"/>
                                  <a:pt x="54975" y="39489"/>
                                </a:cubicBezTo>
                                <a:cubicBezTo>
                                  <a:pt x="53525" y="42962"/>
                                  <a:pt x="51460" y="46038"/>
                                  <a:pt x="48781" y="48741"/>
                                </a:cubicBezTo>
                                <a:cubicBezTo>
                                  <a:pt x="46101" y="51395"/>
                                  <a:pt x="43011" y="53479"/>
                                  <a:pt x="39510" y="54918"/>
                                </a:cubicBezTo>
                                <a:cubicBezTo>
                                  <a:pt x="36009" y="56381"/>
                                  <a:pt x="32364" y="57125"/>
                                  <a:pt x="28575" y="57150"/>
                                </a:cubicBezTo>
                                <a:cubicBezTo>
                                  <a:pt x="24786" y="57125"/>
                                  <a:pt x="21141" y="56381"/>
                                  <a:pt x="17640" y="54918"/>
                                </a:cubicBezTo>
                                <a:cubicBezTo>
                                  <a:pt x="14139" y="53479"/>
                                  <a:pt x="11049" y="51395"/>
                                  <a:pt x="8369" y="48741"/>
                                </a:cubicBezTo>
                                <a:cubicBezTo>
                                  <a:pt x="5690" y="46038"/>
                                  <a:pt x="3625" y="42962"/>
                                  <a:pt x="2175" y="39489"/>
                                </a:cubicBezTo>
                                <a:cubicBezTo>
                                  <a:pt x="725" y="35992"/>
                                  <a:pt x="0" y="32345"/>
                                  <a:pt x="0" y="28575"/>
                                </a:cubicBezTo>
                                <a:cubicBezTo>
                                  <a:pt x="0" y="24755"/>
                                  <a:pt x="725" y="21109"/>
                                  <a:pt x="2175" y="17611"/>
                                </a:cubicBezTo>
                                <a:cubicBezTo>
                                  <a:pt x="3625" y="14089"/>
                                  <a:pt x="5690" y="10988"/>
                                  <a:pt x="8369" y="8334"/>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22" name="Shape 3122"/>
                        <wps:cNvSpPr/>
                        <wps:spPr>
                          <a:xfrm>
                            <a:off x="0" y="30480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62"/>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62"/>
                                  <a:pt x="2175" y="39489"/>
                                </a:cubicBezTo>
                                <a:cubicBezTo>
                                  <a:pt x="725" y="35992"/>
                                  <a:pt x="0" y="32345"/>
                                  <a:pt x="0" y="28575"/>
                                </a:cubicBezTo>
                                <a:cubicBezTo>
                                  <a:pt x="0" y="24755"/>
                                  <a:pt x="725" y="21109"/>
                                  <a:pt x="2175" y="17611"/>
                                </a:cubicBezTo>
                                <a:cubicBezTo>
                                  <a:pt x="3625" y="14114"/>
                                  <a:pt x="5690" y="11013"/>
                                  <a:pt x="8369" y="8359"/>
                                </a:cubicBezTo>
                                <a:cubicBezTo>
                                  <a:pt x="11049" y="5680"/>
                                  <a:pt x="14139" y="3621"/>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24" name="Shape 3124"/>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26" name="Shape 3126"/>
                        <wps:cNvSpPr/>
                        <wps:spPr>
                          <a:xfrm>
                            <a:off x="0" y="609600"/>
                            <a:ext cx="57150" cy="57150"/>
                          </a:xfrm>
                          <a:custGeom>
                            <a:avLst/>
                            <a:gdLst/>
                            <a:ahLst/>
                            <a:cxnLst/>
                            <a:rect l="0" t="0" r="0" b="0"/>
                            <a:pathLst>
                              <a:path w="57150" h="57150">
                                <a:moveTo>
                                  <a:pt x="28575" y="0"/>
                                </a:moveTo>
                                <a:cubicBezTo>
                                  <a:pt x="32364" y="0"/>
                                  <a:pt x="36009" y="719"/>
                                  <a:pt x="39510" y="2158"/>
                                </a:cubicBezTo>
                                <a:cubicBezTo>
                                  <a:pt x="43011" y="3597"/>
                                  <a:pt x="46101" y="5680"/>
                                  <a:pt x="48781" y="8384"/>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381"/>
                                  <a:pt x="32364" y="57125"/>
                                  <a:pt x="28575" y="57150"/>
                                </a:cubicBezTo>
                                <a:cubicBezTo>
                                  <a:pt x="24786" y="57125"/>
                                  <a:pt x="21141" y="56381"/>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84"/>
                                </a:cubicBezTo>
                                <a:cubicBezTo>
                                  <a:pt x="11049" y="5680"/>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28" name="Shape 3128"/>
                        <wps:cNvSpPr/>
                        <wps:spPr>
                          <a:xfrm>
                            <a:off x="0" y="7620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67"/>
                                </a:cubicBezTo>
                                <a:cubicBezTo>
                                  <a:pt x="36009" y="56381"/>
                                  <a:pt x="32364" y="57125"/>
                                  <a:pt x="28575" y="57150"/>
                                </a:cubicBezTo>
                                <a:cubicBezTo>
                                  <a:pt x="24786" y="57125"/>
                                  <a:pt x="21141" y="56381"/>
                                  <a:pt x="17640" y="54918"/>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3232" style="width:4.5pt;height:64.5pt;position:absolute;mso-position-horizontal-relative:text;mso-position-horizontal:absolute;margin-left:16.5pt;mso-position-vertical-relative:text;margin-top:2.73828pt;" coordsize="571,8191">
                <v:shape id="Shape 3118" style="position:absolute;width:571;height:571;left:0;top:0;" coordsize="57150,57150" path="m28575,0c32364,0,36009,719,39510,2158c43011,3621,46101,5680,48781,8359c51460,11013,53525,14089,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089,5690,11013,8369,8359c11049,5680,14139,3621,17640,2158c21141,719,24786,0,28575,0x">
                  <v:stroke weight="0pt" endcap="flat" joinstyle="miter" miterlimit="10" on="false" color="#000000" opacity="0"/>
                  <v:fill on="true" color="#333333"/>
                </v:shape>
                <v:shape id="Shape 3120" style="position:absolute;width:571;height:571;left:0;top:1524;" coordsize="57150,57150" path="m28575,0c32364,0,36009,719,39510,2133c43011,3597,46101,5655,48781,8334c51460,10988,53525,14089,54975,17611c56425,21109,57150,24755,57150,28575c57150,32345,56425,35992,54975,39489c53525,42962,51460,46038,48781,48741c46101,51395,43011,53479,39510,54918c36009,56381,32364,57125,28575,57150c24786,57125,21141,56381,17640,54918c14139,53479,11049,51395,8369,48741c5690,46038,3625,42962,2175,39489c725,35992,0,32345,0,28575c0,24755,725,21109,2175,17611c3625,14089,5690,10988,8369,8334c11049,5655,14139,3597,17640,2133c21141,719,24786,0,28575,0x">
                  <v:stroke weight="0pt" endcap="flat" joinstyle="miter" miterlimit="10" on="false" color="#000000" opacity="0"/>
                  <v:fill on="true" color="#333333"/>
                </v:shape>
                <v:shape id="Shape 3122" style="position:absolute;width:571;height:571;left:0;top:3048;" coordsize="57150,57150" path="m28575,0c32364,0,36009,719,39510,2133c43011,3621,46101,5680,48781,8359c51460,11013,53525,14114,54975,17611c56425,21109,57150,24755,57150,28575c57150,32345,56425,35992,54975,39489c53525,42962,51460,46062,48781,48766c46101,51420,43011,53479,39510,54942c36009,56406,32364,57125,28575,57150c24786,57125,21141,56406,17640,54942c14139,53479,11049,51420,8369,48766c5690,46062,3625,42962,2175,39489c725,35992,0,32345,0,28575c0,24755,725,21109,2175,17611c3625,14114,5690,11013,8369,8359c11049,5680,14139,3621,17640,2133c21141,719,24786,0,28575,0x">
                  <v:stroke weight="0pt" endcap="flat" joinstyle="miter" miterlimit="10" on="false" color="#000000" opacity="0"/>
                  <v:fill on="true" color="#333333"/>
                </v:shape>
                <v:shape id="Shape 3124" style="position:absolute;width:571;height:571;left:0;top:4572;" coordsize="57150,57150" path="m28575,0c32364,0,36009,719,39510,2158c43011,3597,46101,5655,48781,8359c51460,11013,53525,14114,54975,17611c56425,21109,57150,24755,57150,28575c57150,32345,56425,35992,54975,39464c53525,42987,51460,46062,48781,48766c46101,51420,43011,53479,39510,54942c36009,56381,32364,57125,28575,57150c24786,57125,21141,56381,17640,54942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v:shape id="Shape 3126" style="position:absolute;width:571;height:571;left:0;top:6096;" coordsize="57150,57150" path="m28575,0c32364,0,36009,719,39510,2158c43011,3597,46101,5680,48781,8384c51460,11038,53525,14114,54975,17611c56425,21109,57150,24755,57150,28575c57150,32345,56425,35992,54975,39489c53525,42987,51460,46087,48781,48791c46101,51445,43011,53504,39510,54967c36009,56381,32364,57125,28575,57150c24786,57125,21141,56381,17640,54967c14139,53504,11049,51445,8369,48791c5690,46087,3625,42987,2175,39489c725,35992,0,32345,0,28575c0,24755,725,21109,2175,17611c3625,14114,5690,11038,8369,8384c11049,5680,14139,3597,17640,2158c21141,719,24786,0,28575,0x">
                  <v:stroke weight="0pt" endcap="flat" joinstyle="miter" miterlimit="10" on="false" color="#000000" opacity="0"/>
                  <v:fill on="true" color="#333333"/>
                </v:shape>
                <v:shape id="Shape 3128" style="position:absolute;width:571;height:571;left:0;top:7620;" coordsize="57150,57150" path="m28575,0c32364,0,36009,719,39510,2158c43011,3597,46101,5655,48781,8359c51460,11013,53525,14114,54975,17611c56425,21109,57150,24755,57150,28575c57150,32345,56425,35992,54975,39489c53525,42987,51460,46087,48781,48766c46101,51420,43011,53479,39510,54967c36009,56381,32364,57125,28575,57150c24786,57125,21141,56381,17640,54918c14139,53479,11049,51420,8369,48766c5690,46087,3625,42987,2175,39489c725,35992,0,32345,0,28575c0,24755,725,21109,2175,17611c3625,14114,5690,11013,8369,8359c11049,5655,14139,3597,17640,2158c21141,719,24786,0,28575,0x">
                  <v:stroke weight="0pt" endcap="flat" joinstyle="miter" miterlimit="10" on="false" color="#000000" opacity="0"/>
                  <v:fill on="true" color="#333333"/>
                </v:shape>
                <w10:wrap type="square"/>
              </v:group>
            </w:pict>
          </mc:Fallback>
        </mc:AlternateContent>
      </w:r>
      <w:r>
        <w:t>СК напряжения I–IV класса.</w:t>
      </w:r>
    </w:p>
    <w:p w:rsidR="008E3F15" w:rsidRDefault="005F449A">
      <w:pPr>
        <w:spacing w:after="31"/>
        <w:ind w:left="340" w:right="15"/>
      </w:pPr>
      <w:r>
        <w:t>Вазоспастическая СК.</w:t>
      </w:r>
    </w:p>
    <w:p w:rsidR="008E3F15" w:rsidRDefault="005F449A">
      <w:pPr>
        <w:spacing w:after="31"/>
        <w:ind w:left="340" w:right="15"/>
      </w:pPr>
      <w:r>
        <w:t>Микроваскулярная коронарная болезнь/СК.</w:t>
      </w:r>
    </w:p>
    <w:p w:rsidR="008E3F15" w:rsidRDefault="005F449A">
      <w:pPr>
        <w:spacing w:after="31"/>
        <w:ind w:left="340" w:right="15"/>
      </w:pPr>
      <w:r>
        <w:t>Ишемическая кардиомиопатия.</w:t>
      </w:r>
    </w:p>
    <w:p w:rsidR="008E3F15" w:rsidRDefault="005F449A">
      <w:pPr>
        <w:spacing w:after="31"/>
        <w:ind w:left="340" w:right="15"/>
      </w:pPr>
      <w:r>
        <w:t>Бессимптомная коронарная болезнь.</w:t>
      </w:r>
    </w:p>
    <w:p w:rsidR="008E3F15" w:rsidRDefault="005F449A">
      <w:pPr>
        <w:spacing w:after="165"/>
        <w:ind w:left="340" w:right="15"/>
      </w:pPr>
      <w:r>
        <w:t>Нарушения сердечного ритма и проводимости.</w:t>
      </w:r>
    </w:p>
    <w:p w:rsidR="008E3F15" w:rsidRDefault="005F449A">
      <w:pPr>
        <w:ind w:left="2" w:right="15"/>
      </w:pPr>
      <w:r>
        <w:t>Кор</w:t>
      </w:r>
      <w:r>
        <w:t>онарная болезнь, включая СК, классифицируется как стабильная или нестабильная, что важно для определения тактики ведения пациента.</w:t>
      </w:r>
    </w:p>
    <w:p w:rsidR="008E3F15" w:rsidRDefault="005F449A">
      <w:pPr>
        <w:ind w:left="2" w:right="323"/>
      </w:pPr>
      <w:r>
        <w:t>Стабильная СК составляет 22% всех случаев хронической коронарной болезни и ассоциируется с повышением частоты ИМ и сердечно-с</w:t>
      </w:r>
      <w:r>
        <w:t>осудистой смерти (CLARIFY). Стабильную СК напряжения в зависимости от тяжести делят на четыре ФК, коррелирующих с тяжестью коронарного атеросклероза (</w:t>
      </w:r>
      <w:r>
        <w:rPr>
          <w:b/>
        </w:rPr>
        <w:t>табл. 2.1</w:t>
      </w:r>
      <w:r>
        <w:t>; Guimarγes W. et al., 2021).</w:t>
      </w:r>
    </w:p>
    <w:p w:rsidR="008E3F15" w:rsidRDefault="005F449A">
      <w:pPr>
        <w:spacing w:after="31"/>
        <w:ind w:left="2" w:right="15"/>
      </w:pPr>
      <w:r>
        <w:rPr>
          <w:b/>
        </w:rPr>
        <w:t xml:space="preserve">Таблица 2.1. </w:t>
      </w:r>
      <w:r>
        <w:t>Классификация стабильной стенокардии (CCS)</w:t>
      </w:r>
    </w:p>
    <w:tbl>
      <w:tblPr>
        <w:tblStyle w:val="TableGrid"/>
        <w:tblW w:w="10485" w:type="dxa"/>
        <w:tblInd w:w="30" w:type="dxa"/>
        <w:tblCellMar>
          <w:top w:w="80" w:type="dxa"/>
          <w:left w:w="45" w:type="dxa"/>
          <w:bottom w:w="0" w:type="dxa"/>
          <w:right w:w="59" w:type="dxa"/>
        </w:tblCellMar>
        <w:tblLook w:val="04A0" w:firstRow="1" w:lastRow="0" w:firstColumn="1" w:lastColumn="0" w:noHBand="0" w:noVBand="1"/>
      </w:tblPr>
      <w:tblGrid>
        <w:gridCol w:w="675"/>
        <w:gridCol w:w="9810"/>
      </w:tblGrid>
      <w:tr w:rsidR="008E3F15">
        <w:trPr>
          <w:trHeight w:val="570"/>
        </w:trPr>
        <w:tc>
          <w:tcPr>
            <w:tcW w:w="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 ФК</w:t>
            </w:r>
          </w:p>
        </w:tc>
        <w:tc>
          <w:tcPr>
            <w:tcW w:w="98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536" w:firstLine="0"/>
            </w:pPr>
            <w:r>
              <w:t>Больной хорошо переносит обычные физические нагрузки (ходьба или подъем по лестнице). СК возникает только при нагрузках высокой интенсивности</w:t>
            </w:r>
          </w:p>
        </w:tc>
      </w:tr>
      <w:tr w:rsidR="008E3F15">
        <w:trPr>
          <w:trHeight w:val="570"/>
        </w:trPr>
        <w:tc>
          <w:tcPr>
            <w:tcW w:w="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II ФК</w:t>
            </w:r>
          </w:p>
        </w:tc>
        <w:tc>
          <w:tcPr>
            <w:tcW w:w="98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Небольшие ограничения физической активности; СК возникает при ходьбе в обычном темпе по ровному месту более</w:t>
            </w:r>
            <w:r>
              <w:t xml:space="preserve"> 200 м и при подъеме более чем на 1 пролет лестницы</w:t>
            </w:r>
          </w:p>
        </w:tc>
      </w:tr>
      <w:tr w:rsidR="008E3F15">
        <w:trPr>
          <w:trHeight w:val="788"/>
        </w:trPr>
        <w:tc>
          <w:tcPr>
            <w:tcW w:w="67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jc w:val="both"/>
            </w:pPr>
            <w:r>
              <w:t>III ФК</w:t>
            </w:r>
          </w:p>
        </w:tc>
        <w:tc>
          <w:tcPr>
            <w:tcW w:w="98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7" w:right="111" w:firstLine="0"/>
            </w:pPr>
            <w:r>
              <w:t>Выраженное ограничение обычной физической активности; СК возникает при ходьбе в обычном темпе по ровному месту на расстояние до 200 м или при подъеме на 1 пролет лестницы</w:t>
            </w:r>
          </w:p>
        </w:tc>
      </w:tr>
      <w:tr w:rsidR="008E3F15">
        <w:trPr>
          <w:trHeight w:val="375"/>
        </w:trPr>
        <w:tc>
          <w:tcPr>
            <w:tcW w:w="10485" w:type="dxa"/>
            <w:gridSpan w:val="2"/>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0" w:right="0" w:firstLine="0"/>
            </w:pPr>
            <w:r>
              <w:rPr>
                <w:bdr w:val="single" w:sz="12" w:space="0" w:color="000000"/>
              </w:rPr>
              <w:t>IV ФК Невозможность выполнения какой-либо физической нагрузки без возникновения СК</w:t>
            </w:r>
          </w:p>
        </w:tc>
      </w:tr>
    </w:tbl>
    <w:p w:rsidR="008E3F15" w:rsidRDefault="005F449A">
      <w:pPr>
        <w:spacing w:after="165"/>
        <w:ind w:left="2" w:right="15"/>
      </w:pPr>
      <w:r>
        <w:t>Различают следующие критерии нестабильной СК (Braunwald E., 1989; ESC).</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691008"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53233" name="Group 253233"/>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3153" name="Shape 3153"/>
                        <wps:cNvSpPr/>
                        <wps:spPr>
                          <a:xfrm>
                            <a:off x="0" y="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114"/>
                                  <a:pt x="54975" y="17611"/>
                                </a:cubicBezTo>
                                <a:cubicBezTo>
                                  <a:pt x="56425" y="21134"/>
                                  <a:pt x="57150" y="24780"/>
                                  <a:pt x="57150" y="28575"/>
                                </a:cubicBezTo>
                                <a:cubicBezTo>
                                  <a:pt x="57150" y="32345"/>
                                  <a:pt x="56425" y="35992"/>
                                  <a:pt x="54975" y="39464"/>
                                </a:cubicBezTo>
                                <a:cubicBezTo>
                                  <a:pt x="53525" y="42987"/>
                                  <a:pt x="51460" y="46062"/>
                                  <a:pt x="48781" y="48766"/>
                                </a:cubicBezTo>
                                <a:cubicBezTo>
                                  <a:pt x="46101" y="51445"/>
                                  <a:pt x="43011" y="53504"/>
                                  <a:pt x="39510" y="54942"/>
                                </a:cubicBezTo>
                                <a:cubicBezTo>
                                  <a:pt x="36009" y="56406"/>
                                  <a:pt x="32364" y="57125"/>
                                  <a:pt x="28575" y="57150"/>
                                </a:cubicBezTo>
                                <a:cubicBezTo>
                                  <a:pt x="24786" y="57125"/>
                                  <a:pt x="21141" y="56406"/>
                                  <a:pt x="17640" y="54942"/>
                                </a:cubicBezTo>
                                <a:cubicBezTo>
                                  <a:pt x="14139" y="53504"/>
                                  <a:pt x="11049" y="51445"/>
                                  <a:pt x="8369" y="48766"/>
                                </a:cubicBezTo>
                                <a:cubicBezTo>
                                  <a:pt x="5690" y="46062"/>
                                  <a:pt x="3625" y="42987"/>
                                  <a:pt x="2175" y="39464"/>
                                </a:cubicBezTo>
                                <a:cubicBezTo>
                                  <a:pt x="725" y="35992"/>
                                  <a:pt x="0" y="32345"/>
                                  <a:pt x="0" y="28575"/>
                                </a:cubicBezTo>
                                <a:cubicBezTo>
                                  <a:pt x="0" y="24780"/>
                                  <a:pt x="725" y="21134"/>
                                  <a:pt x="2175" y="17611"/>
                                </a:cubicBezTo>
                                <a:cubicBezTo>
                                  <a:pt x="3625" y="14114"/>
                                  <a:pt x="5690" y="11013"/>
                                  <a:pt x="8369" y="8359"/>
                                </a:cubicBezTo>
                                <a:cubicBezTo>
                                  <a:pt x="11049" y="5680"/>
                                  <a:pt x="14139" y="3621"/>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55" name="Shape 3155"/>
                        <wps:cNvSpPr/>
                        <wps:spPr>
                          <a:xfrm>
                            <a:off x="0" y="152400"/>
                            <a:ext cx="57150" cy="57150"/>
                          </a:xfrm>
                          <a:custGeom>
                            <a:avLst/>
                            <a:gdLst/>
                            <a:ahLst/>
                            <a:cxnLst/>
                            <a:rect l="0" t="0" r="0" b="0"/>
                            <a:pathLst>
                              <a:path w="57150" h="57150">
                                <a:moveTo>
                                  <a:pt x="28575" y="0"/>
                                </a:moveTo>
                                <a:cubicBezTo>
                                  <a:pt x="32364" y="0"/>
                                  <a:pt x="36009" y="719"/>
                                  <a:pt x="39510" y="2133"/>
                                </a:cubicBezTo>
                                <a:cubicBezTo>
                                  <a:pt x="43011" y="3572"/>
                                  <a:pt x="46101" y="5631"/>
                                  <a:pt x="48781" y="8334"/>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41"/>
                                </a:cubicBezTo>
                                <a:cubicBezTo>
                                  <a:pt x="46101" y="51395"/>
                                  <a:pt x="43011" y="53479"/>
                                  <a:pt x="39510" y="54942"/>
                                </a:cubicBezTo>
                                <a:cubicBezTo>
                                  <a:pt x="36009" y="56381"/>
                                  <a:pt x="32364" y="57125"/>
                                  <a:pt x="28575" y="57150"/>
                                </a:cubicBezTo>
                                <a:cubicBezTo>
                                  <a:pt x="24786" y="57125"/>
                                  <a:pt x="21141" y="56381"/>
                                  <a:pt x="17640" y="54918"/>
                                </a:cubicBezTo>
                                <a:cubicBezTo>
                                  <a:pt x="14139" y="53454"/>
                                  <a:pt x="11049" y="51395"/>
                                  <a:pt x="8369" y="48741"/>
                                </a:cubicBezTo>
                                <a:cubicBezTo>
                                  <a:pt x="5690" y="46062"/>
                                  <a:pt x="3625" y="42987"/>
                                  <a:pt x="2175" y="39464"/>
                                </a:cubicBezTo>
                                <a:cubicBezTo>
                                  <a:pt x="725" y="35992"/>
                                  <a:pt x="0" y="32345"/>
                                  <a:pt x="0" y="28575"/>
                                </a:cubicBezTo>
                                <a:cubicBezTo>
                                  <a:pt x="0" y="24755"/>
                                  <a:pt x="725" y="21109"/>
                                  <a:pt x="2175" y="17611"/>
                                </a:cubicBezTo>
                                <a:cubicBezTo>
                                  <a:pt x="3625" y="14114"/>
                                  <a:pt x="5690" y="11013"/>
                                  <a:pt x="8369" y="8334"/>
                                </a:cubicBezTo>
                                <a:cubicBezTo>
                                  <a:pt x="11049" y="5631"/>
                                  <a:pt x="14139" y="3572"/>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57" name="Shape 3157"/>
                        <wps:cNvSpPr/>
                        <wps:spPr>
                          <a:xfrm>
                            <a:off x="0" y="3048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3233" style="width:4.5pt;height:28.5pt;position:absolute;mso-position-horizontal-relative:text;mso-position-horizontal:absolute;margin-left:16.5pt;mso-position-vertical-relative:text;margin-top:2.73828pt;" coordsize="571,3619">
                <v:shape id="Shape 3153" style="position:absolute;width:571;height:571;left:0;top:0;" coordsize="57150,57150" path="m28575,0c32364,0,36009,719,39510,2133c43011,3621,46101,5680,48781,8359c51460,11013,53525,14114,54975,17611c56425,21134,57150,24780,57150,28575c57150,32345,56425,35992,54975,39464c53525,42987,51460,46062,48781,48766c46101,51445,43011,53504,39510,54942c36009,56406,32364,57125,28575,57150c24786,57125,21141,56406,17640,54942c14139,53504,11049,51445,8369,48766c5690,46062,3625,42987,2175,39464c725,35992,0,32345,0,28575c0,24780,725,21134,2175,17611c3625,14114,5690,11013,8369,8359c11049,5680,14139,3621,17640,2158c21141,719,24786,0,28575,0x">
                  <v:stroke weight="0pt" endcap="flat" joinstyle="miter" miterlimit="10" on="false" color="#000000" opacity="0"/>
                  <v:fill on="true" color="#333333"/>
                </v:shape>
                <v:shape id="Shape 3155" style="position:absolute;width:571;height:571;left:0;top:1524;" coordsize="57150,57150" path="m28575,0c32364,0,36009,719,39510,2133c43011,3572,46101,5631,48781,8334c51460,11013,53525,14114,54975,17611c56425,21109,57150,24755,57150,28575c57150,32345,56425,35992,54975,39489c53525,42987,51460,46062,48781,48741c46101,51395,43011,53479,39510,54942c36009,56381,32364,57125,28575,57150c24786,57125,21141,56381,17640,54918c14139,53454,11049,51395,8369,48741c5690,46062,3625,42987,2175,39464c725,35992,0,32345,0,28575c0,24755,725,21109,2175,17611c3625,14114,5690,11013,8369,8334c11049,5631,14139,3572,17640,2133c21141,719,24786,0,28575,0x">
                  <v:stroke weight="0pt" endcap="flat" joinstyle="miter" miterlimit="10" on="false" color="#000000" opacity="0"/>
                  <v:fill on="true" color="#333333"/>
                </v:shape>
                <v:shape id="Shape 3157" style="position:absolute;width:571;height:571;left:0;top:3048;" coordsize="57150,57150" path="m28575,0c32364,0,36009,719,39510,2133c43011,3597,46101,5655,48781,8359c51460,11013,53525,14114,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w10:wrap type="square"/>
              </v:group>
            </w:pict>
          </mc:Fallback>
        </mc:AlternateContent>
      </w:r>
      <w:r>
        <w:t>Длительные (&gt;20 мин) боли в покое.</w:t>
      </w:r>
    </w:p>
    <w:p w:rsidR="008E3F15" w:rsidRDefault="005F449A">
      <w:pPr>
        <w:spacing w:after="31"/>
        <w:ind w:left="340" w:right="15"/>
      </w:pPr>
      <w:r>
        <w:t>Впервые (до 2 мес) возникшая СК II–IV ФК.</w:t>
      </w:r>
    </w:p>
    <w:p w:rsidR="008E3F15" w:rsidRDefault="005F449A">
      <w:pPr>
        <w:spacing w:after="179"/>
        <w:ind w:left="340" w:right="15"/>
      </w:pPr>
      <w:r>
        <w:t>Прогрессирующее усиление тяжести и интенсивности СК, снижение порога возникновения за короткий период.</w:t>
      </w:r>
    </w:p>
    <w:p w:rsidR="008E3F15" w:rsidRDefault="005F449A">
      <w:pPr>
        <w:ind w:left="2" w:right="842"/>
      </w:pPr>
      <w:r>
        <w:t>Нестабильная СК характеризуется высоким риском ИМ и смерти в ближайшие недели/ месяцы. Тактика лечения нестабильной СК аналогична лечению пациентов с ОКС</w:t>
      </w:r>
      <w:r>
        <w:t xml:space="preserve"> в соответствии с оценкой риска.</w:t>
      </w:r>
    </w:p>
    <w:p w:rsidR="008E3F15" w:rsidRDefault="005F449A">
      <w:pPr>
        <w:ind w:left="2" w:right="15"/>
      </w:pPr>
      <w:r>
        <w:t>Нецелесообразно устанавливать диагноз нестабильной СК при отсутствии критериев для обоснования госпитализации.</w:t>
      </w:r>
    </w:p>
    <w:p w:rsidR="008E3F15" w:rsidRDefault="005F449A">
      <w:pPr>
        <w:spacing w:after="186"/>
        <w:ind w:left="2" w:right="15"/>
      </w:pPr>
      <w:r>
        <w:rPr>
          <w:i/>
        </w:rPr>
        <w:t xml:space="preserve">Вазоспастическая СК </w:t>
      </w:r>
      <w:r>
        <w:t>характеризуется следующими признаками (COVADIS).</w:t>
      </w:r>
    </w:p>
    <w:p w:rsidR="008E3F15" w:rsidRDefault="005F449A">
      <w:pPr>
        <w:spacing w:after="165"/>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251982" name="Group 25198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175" name="Shape 3175"/>
                        <wps:cNvSpPr/>
                        <wps:spPr>
                          <a:xfrm>
                            <a:off x="0" y="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87"/>
                                  <a:pt x="48781" y="48766"/>
                                </a:cubicBezTo>
                                <a:cubicBezTo>
                                  <a:pt x="46101" y="51420"/>
                                  <a:pt x="43011" y="53479"/>
                                  <a:pt x="39510" y="54942"/>
                                </a:cubicBezTo>
                                <a:cubicBezTo>
                                  <a:pt x="36009" y="56381"/>
                                  <a:pt x="32364" y="57125"/>
                                  <a:pt x="28575" y="57150"/>
                                </a:cubicBezTo>
                                <a:cubicBezTo>
                                  <a:pt x="24786" y="57125"/>
                                  <a:pt x="21141" y="56381"/>
                                  <a:pt x="17640" y="54918"/>
                                </a:cubicBezTo>
                                <a:cubicBezTo>
                                  <a:pt x="14139" y="53479"/>
                                  <a:pt x="11049" y="51420"/>
                                  <a:pt x="8369" y="48766"/>
                                </a:cubicBezTo>
                                <a:cubicBezTo>
                                  <a:pt x="5690" y="46087"/>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1982" style="width:4.5pt;height:4.5pt;mso-position-horizontal-relative:char;mso-position-vertical-relative:line" coordsize="571,571">
                <v:shape id="Shape 3175" style="position:absolute;width:571;height:571;left:0;top:0;" coordsize="57150,57150" path="m28575,0c32364,0,36009,719,39510,2133c43011,3597,46101,5655,48781,8359c51460,11013,53525,14114,54975,17611c56425,21109,57150,24755,57150,28575c57150,32345,56425,35992,54975,39489c53525,42987,51460,46087,48781,48766c46101,51420,43011,53479,39510,54942c36009,56381,32364,57125,28575,57150c24786,57125,21141,56381,17640,54918c14139,53479,11049,51420,8369,48766c5690,46087,3625,42987,2175,39489c725,35992,0,32345,0,28575c0,24755,725,21109,2175,17611c3625,14114,5690,11013,8369,8359c11049,5655,14139,3597,17640,2133c21141,719,24786,0,28575,0x">
                  <v:stroke weight="0pt" endcap="flat" joinstyle="miter" miterlimit="10" on="false" color="#000000" opacity="0"/>
                  <v:fill on="true" color="#333333"/>
                </v:shape>
              </v:group>
            </w:pict>
          </mc:Fallback>
        </mc:AlternateContent>
      </w:r>
      <w:r>
        <w:t xml:space="preserve"> Реагирует на нитраты и проявляется хотя бы одним признаком:</w:t>
      </w:r>
    </w:p>
    <w:p w:rsidR="008E3F15" w:rsidRDefault="005F449A">
      <w:pPr>
        <w:spacing w:after="31"/>
        <w:ind w:left="2" w:right="15"/>
      </w:pPr>
      <w:r>
        <w:t>а) возникает в покое, особенно ночью и рано утром;</w:t>
      </w:r>
    </w:p>
    <w:p w:rsidR="008E3F15" w:rsidRDefault="005F449A">
      <w:pPr>
        <w:ind w:left="2" w:right="306"/>
      </w:pPr>
      <w:r>
        <w:t>б) выраженная суточная вариативность переносимости нагрузок, со снижением по утрам; в) провокация при гипервентиляции;</w:t>
      </w:r>
    </w:p>
    <w:p w:rsidR="008E3F15" w:rsidRDefault="005F449A">
      <w:pPr>
        <w:spacing w:after="165"/>
        <w:ind w:left="2" w:right="15"/>
      </w:pPr>
      <w:r>
        <w:t>г) хороший профилактическ</w:t>
      </w:r>
      <w:r>
        <w:t>ий эффект антагонистов кальция (но не β-адреноблокаторов).</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692032"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51985" name="Group 25198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3181" name="Shape 3181"/>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190" name="Shape 3190"/>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67"/>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985" style="width:4.5pt;height:28.5pt;position:absolute;mso-position-horizontal-relative:text;mso-position-horizontal:absolute;margin-left:16.5pt;mso-position-vertical-relative:text;margin-top:2.73828pt;" coordsize="571,3619">
                <v:shape id="Shape 3181" style="position:absolute;width:571;height:571;left:0;top:0;" coordsize="57150,57150" path="m28575,0c32364,0,36009,719,39510,2158c43011,3597,46101,5655,48781,8359c51460,11013,53525,14114,54975,17611c56425,21109,57150,24755,57150,28575c57150,32345,56425,35992,54975,39464c53525,42987,51460,46062,48781,48766c46101,51420,43011,53479,39510,54942c36009,56381,32364,57125,28575,57150c24786,57125,21141,56381,17640,54942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v:shape id="Shape 3190" style="position:absolute;width:571;height:571;left:0;top:3048;" coordsize="57150,57150" path="m28575,0c32364,0,36009,719,39510,2158c43011,3597,46101,5655,48781,8359c51460,11013,53525,14114,54975,17611c56425,21109,57150,24755,57150,28575c57150,32345,56425,35967,54975,39464c53525,42987,51460,46062,48781,48766c46101,51420,43011,53479,39510,54967c36009,56381,32364,57125,28575,57150c24786,57125,21141,56381,17640,54942c14139,53479,11049,51420,8369,48766c5690,46062,3625,42987,2175,39489c725,35967,0,32345,0,28575c0,24755,725,21109,2175,17611c3625,14114,5690,11013,8369,8359c11049,5655,14139,3597,17640,2158c21141,719,24786,0,28575,0x">
                  <v:stroke weight="0pt" endcap="flat" joinstyle="miter" miterlimit="10" on="false" color="#000000" opacity="0"/>
                  <v:fill on="true" color="#333333"/>
                </v:shape>
                <w10:wrap type="square"/>
              </v:group>
            </w:pict>
          </mc:Fallback>
        </mc:AlternateContent>
      </w:r>
      <w:r>
        <w:t xml:space="preserve">Преходящие ишемические изменения ЭКГ в ≥2 отведениях во время спонтанного эпизода: подъем </w:t>
      </w:r>
      <w:r>
        <w:rPr>
          <w:i/>
        </w:rPr>
        <w:t>SТ</w:t>
      </w:r>
      <w:r>
        <w:t xml:space="preserve"> ≥1 мм, депрессия </w:t>
      </w:r>
      <w:r>
        <w:rPr>
          <w:i/>
        </w:rPr>
        <w:t>ST</w:t>
      </w:r>
      <w:r>
        <w:t xml:space="preserve"> ≥1 мм, новая отрицательная волна </w:t>
      </w:r>
      <w:r>
        <w:rPr>
          <w:i/>
        </w:rPr>
        <w:t>U</w:t>
      </w:r>
      <w:r>
        <w:t>.</w:t>
      </w:r>
    </w:p>
    <w:p w:rsidR="008E3F15" w:rsidRDefault="005F449A">
      <w:pPr>
        <w:spacing w:after="179"/>
        <w:ind w:left="340" w:right="102"/>
      </w:pPr>
      <w:r>
        <w:t>Спазм коронарной артерии, определяемый как прех</w:t>
      </w:r>
      <w:r>
        <w:t>одящая тотальная или субтотальная окклюзия (&gt;90%) артерии со СК и ишемическими изменениями на ЭКГ спонтанно или в ответ на провокационные стимулы (ацетилхолин, эргоновин при КГ, гипервентиляция).</w:t>
      </w:r>
    </w:p>
    <w:p w:rsidR="008E3F15" w:rsidRDefault="005F449A">
      <w:pPr>
        <w:ind w:left="2" w:right="143"/>
      </w:pPr>
      <w:r>
        <w:t>В случаях неежедневных приступов может помочь многодневное м</w:t>
      </w:r>
      <w:r>
        <w:t>ониторирование ЭКГ. При вазоспастической СК хороший эффект выявлен у антагонистов кальция, а βадреноблокаторы, АСК и короткодействующий изосорбида мононитрат могут ухудшить состояние (Kim C. et al., 2018).</w:t>
      </w:r>
    </w:p>
    <w:p w:rsidR="008E3F15" w:rsidRDefault="005F449A">
      <w:pPr>
        <w:ind w:left="2" w:right="111"/>
      </w:pPr>
      <w:r>
        <w:rPr>
          <w:i/>
        </w:rPr>
        <w:t xml:space="preserve">Микрососудистая </w:t>
      </w:r>
      <w:r>
        <w:t xml:space="preserve">СК </w:t>
      </w:r>
      <w:r>
        <w:rPr>
          <w:i/>
        </w:rPr>
        <w:t xml:space="preserve">(коронарная микроваскулярная болезнь). </w:t>
      </w:r>
      <w:r>
        <w:t>В случае клиники типичной СК, при объективных признаках ишемии мио карда, отсутствии значимой обструкции эпикардиальных коронарных артерий при ангиографии предполагают микрососудистую СК. В основе заболевания — дисфун</w:t>
      </w:r>
      <w:r>
        <w:t>кция (повышенная вазоконстрикция, нарушенная вазодилатация) малых коронарных сосудов. Кроме того, при ишемии мио карда с нормальными коронарными артериями возможны атеросклероз малых артерий, мио кардиальные мостики (сдавление мио кардом коронарной артерии</w:t>
      </w:r>
      <w:r>
        <w:t xml:space="preserve"> извне).</w:t>
      </w:r>
    </w:p>
    <w:p w:rsidR="008E3F15" w:rsidRDefault="005F449A">
      <w:pPr>
        <w:spacing w:after="179"/>
        <w:ind w:left="2" w:right="664"/>
      </w:pPr>
      <w:r>
        <w:t>Дискомфорт в груди может сохраняться несколько минут после прекращения нагрузки, а нитроглицерин — не оказывать быстрого или полного эффекта (Lanza G. et al., 2010). Международной группой COVADIS предложены критерии микрососудистой СК.</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693056" behindDoc="0" locked="0" layoutInCell="1" allowOverlap="1">
                <wp:simplePos x="0" y="0"/>
                <wp:positionH relativeFrom="column">
                  <wp:posOffset>209550</wp:posOffset>
                </wp:positionH>
                <wp:positionV relativeFrom="paragraph">
                  <wp:posOffset>34776</wp:posOffset>
                </wp:positionV>
                <wp:extent cx="57150" cy="666750"/>
                <wp:effectExtent l="0" t="0" r="0" b="0"/>
                <wp:wrapSquare wrapText="bothSides"/>
                <wp:docPr id="251990" name="Group 251990"/>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3213" name="Shape 3213"/>
                        <wps:cNvSpPr/>
                        <wps:spPr>
                          <a:xfrm>
                            <a:off x="0" y="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34"/>
                                  <a:pt x="57150" y="24780"/>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18"/>
                                </a:cubicBezTo>
                                <a:cubicBezTo>
                                  <a:pt x="14139" y="53479"/>
                                  <a:pt x="11049" y="51420"/>
                                  <a:pt x="8369" y="48766"/>
                                </a:cubicBezTo>
                                <a:cubicBezTo>
                                  <a:pt x="5690" y="46062"/>
                                  <a:pt x="3625" y="42987"/>
                                  <a:pt x="2175" y="39489"/>
                                </a:cubicBezTo>
                                <a:cubicBezTo>
                                  <a:pt x="725" y="35992"/>
                                  <a:pt x="0" y="32345"/>
                                  <a:pt x="0" y="28575"/>
                                </a:cubicBezTo>
                                <a:cubicBezTo>
                                  <a:pt x="0" y="24780"/>
                                  <a:pt x="725" y="21134"/>
                                  <a:pt x="2175" y="17611"/>
                                </a:cubicBezTo>
                                <a:cubicBezTo>
                                  <a:pt x="3625" y="14114"/>
                                  <a:pt x="5690" y="11013"/>
                                  <a:pt x="8369" y="8359"/>
                                </a:cubicBezTo>
                                <a:cubicBezTo>
                                  <a:pt x="11049" y="5655"/>
                                  <a:pt x="14139" y="3597"/>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216" name="Shape 3216"/>
                        <wps:cNvSpPr/>
                        <wps:spPr>
                          <a:xfrm>
                            <a:off x="0" y="304800"/>
                            <a:ext cx="57150" cy="57150"/>
                          </a:xfrm>
                          <a:custGeom>
                            <a:avLst/>
                            <a:gdLst/>
                            <a:ahLst/>
                            <a:cxnLst/>
                            <a:rect l="0" t="0" r="0" b="0"/>
                            <a:pathLst>
                              <a:path w="57150" h="57150">
                                <a:moveTo>
                                  <a:pt x="28575" y="0"/>
                                </a:moveTo>
                                <a:cubicBezTo>
                                  <a:pt x="32364" y="0"/>
                                  <a:pt x="36009" y="719"/>
                                  <a:pt x="39510" y="2133"/>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3219" name="Shape 3219"/>
                        <wps:cNvSpPr/>
                        <wps:spPr>
                          <a:xfrm>
                            <a:off x="0" y="60960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67"/>
                                </a:cubicBezTo>
                                <a:cubicBezTo>
                                  <a:pt x="36009" y="56406"/>
                                  <a:pt x="32364" y="57125"/>
                                  <a:pt x="28575" y="57150"/>
                                </a:cubicBezTo>
                                <a:cubicBezTo>
                                  <a:pt x="24786" y="57125"/>
                                  <a:pt x="21141" y="56406"/>
                                  <a:pt x="17640" y="54967"/>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089"/>
                                  <a:pt x="5690" y="11013"/>
                                  <a:pt x="8369" y="8359"/>
                                </a:cubicBezTo>
                                <a:cubicBezTo>
                                  <a:pt x="11049" y="5680"/>
                                  <a:pt x="14139" y="3621"/>
                                  <a:pt x="17640" y="2133"/>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1990" style="width:4.5pt;height:52.5pt;position:absolute;mso-position-horizontal-relative:text;mso-position-horizontal:absolute;margin-left:16.5pt;mso-position-vertical-relative:text;margin-top:2.73828pt;" coordsize="571,6667">
                <v:shape id="Shape 3213" style="position:absolute;width:571;height:571;left:0;top:0;" coordsize="57150,57150" path="m28575,0c32364,0,36009,719,39510,2133c43011,3597,46101,5655,48781,8359c51460,11013,53525,14114,54975,17611c56425,21134,57150,24780,57150,28575c57150,32345,56425,35992,54975,39489c53525,42987,51460,46062,48781,48766c46101,51420,43011,53479,39510,54942c36009,56381,32364,57125,28575,57150c24786,57125,21141,56381,17640,54918c14139,53479,11049,51420,8369,48766c5690,46062,3625,42987,2175,39489c725,35992,0,32345,0,28575c0,24780,725,21134,2175,17611c3625,14114,5690,11013,8369,8359c11049,5655,14139,3597,17640,2133c21141,719,24786,0,28575,0x">
                  <v:stroke weight="0pt" endcap="flat" joinstyle="miter" miterlimit="10" on="false" color="#000000" opacity="0"/>
                  <v:fill on="true" color="#333333"/>
                </v:shape>
                <v:shape id="Shape 3216" style="position:absolute;width:571;height:571;left:0;top:3048;" coordsize="57150,57150" path="m28575,0c32364,0,36009,719,39510,2133c43011,3597,46101,5655,48781,8359c51460,11013,53525,14114,54975,17611c56425,21109,57150,24755,57150,28575c57150,32345,56425,35992,54975,39489c53525,42987,51460,46062,48781,48766c46101,51420,43011,53479,39510,54942c36009,56381,32364,57125,28575,57150c24786,57125,21141,56381,17640,54942c14139,53479,11049,51420,8369,48766c5690,46062,3625,42987,2175,39489c725,35992,0,32345,0,28575c0,24755,725,21109,2175,17611c3625,14114,5690,11013,8369,8359c11049,5655,14139,3597,17640,2158c21141,719,24786,0,28575,0x">
                  <v:stroke weight="0pt" endcap="flat" joinstyle="miter" miterlimit="10" on="false" color="#000000" opacity="0"/>
                  <v:fill on="true" color="#333333"/>
                </v:shape>
                <v:shape id="Shape 3219" style="position:absolute;width:571;height:571;left:0;top:6096;" coordsize="57150,57150" path="m28575,0c32364,0,36009,719,39510,2133c43011,3621,46101,5680,48781,8359c51460,11013,53525,14089,54975,17611c56425,21109,57150,24755,57150,28575c57150,32345,56425,35992,54975,39489c53525,42987,51460,46062,48781,48766c46101,51420,43011,53479,39510,54967c36009,56406,32364,57125,28575,57150c24786,57125,21141,56406,17640,54967c14139,53479,11049,51420,8369,48766c5690,46062,3625,42987,2175,39489c725,35992,0,32345,0,28575c0,24755,725,21109,2175,17611c3625,14089,5690,11013,8369,8359c11049,5680,14139,3621,17640,2133c21141,719,24786,0,28575,0x">
                  <v:stroke weight="0pt" endcap="flat" joinstyle="miter" miterlimit="10" on="false" color="#000000" opacity="0"/>
                  <v:fill on="true" color="#333333"/>
                </v:shape>
                <w10:wrap type="square"/>
              </v:group>
            </w:pict>
          </mc:Fallback>
        </mc:AlternateContent>
      </w:r>
      <w:r>
        <w:t>Симптомы и</w:t>
      </w:r>
      <w:r>
        <w:t>шемии мио карда: СК напряжения и/или покоя, эквиваленты СК (например, одышка).</w:t>
      </w:r>
    </w:p>
    <w:p w:rsidR="008E3F15" w:rsidRDefault="005F449A">
      <w:pPr>
        <w:ind w:left="340" w:right="410"/>
      </w:pPr>
      <w:r>
        <w:t>Отсутствие обструктивной коронарной болезни (диаметр &lt;50% или резерв кровотока &gt;0,8) при компьютерной томографической или инвазивной КГ.</w:t>
      </w:r>
    </w:p>
    <w:p w:rsidR="008E3F15" w:rsidRDefault="005F449A">
      <w:pPr>
        <w:ind w:left="340" w:right="424"/>
      </w:pPr>
      <w:r>
        <w:t>Объективные признаки ишемии мио карда: и</w:t>
      </w:r>
      <w:r>
        <w:t>шемические изменения на ЭКГ во время эпизода боли в груди, стресс-индуцированная боль в груди и/или ишемические изменения на ЭКГ при наличии или отсутствии преходящих нарушений перфузии или дискинезии мио карда.</w:t>
      </w:r>
    </w:p>
    <w:p w:rsidR="008E3F15" w:rsidRDefault="005F449A">
      <w:pPr>
        <w:spacing w:after="31"/>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251992" name="Group 25199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224" name="Shape 3224"/>
                        <wps:cNvSpPr/>
                        <wps:spPr>
                          <a:xfrm>
                            <a:off x="0" y="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92"/>
                                  <a:pt x="54975" y="39489"/>
                                </a:cubicBezTo>
                                <a:cubicBezTo>
                                  <a:pt x="53525" y="42987"/>
                                  <a:pt x="51460" y="46087"/>
                                  <a:pt x="48781" y="48791"/>
                                </a:cubicBezTo>
                                <a:cubicBezTo>
                                  <a:pt x="46101" y="51445"/>
                                  <a:pt x="43011" y="53504"/>
                                  <a:pt x="39510" y="54967"/>
                                </a:cubicBezTo>
                                <a:cubicBezTo>
                                  <a:pt x="36009" y="56381"/>
                                  <a:pt x="32364" y="57125"/>
                                  <a:pt x="28575" y="57150"/>
                                </a:cubicBezTo>
                                <a:cubicBezTo>
                                  <a:pt x="24786" y="57125"/>
                                  <a:pt x="21141" y="56381"/>
                                  <a:pt x="17640" y="54967"/>
                                </a:cubicBezTo>
                                <a:cubicBezTo>
                                  <a:pt x="14139" y="53504"/>
                                  <a:pt x="11049" y="51445"/>
                                  <a:pt x="8369" y="48791"/>
                                </a:cubicBezTo>
                                <a:cubicBezTo>
                                  <a:pt x="5690" y="46087"/>
                                  <a:pt x="3625" y="42987"/>
                                  <a:pt x="2175" y="39489"/>
                                </a:cubicBezTo>
                                <a:cubicBezTo>
                                  <a:pt x="725" y="35992"/>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1992" style="width:4.5pt;height:4.5pt;mso-position-horizontal-relative:char;mso-position-vertical-relative:line" coordsize="571,571">
                <v:shape id="Shape 3224" style="position:absolute;width:571;height:571;left:0;top:0;" coordsize="57150,57150" path="m28575,0c32364,0,36009,719,39510,2158c43011,3597,46101,5655,48781,8359c51460,11038,53525,14114,54975,17611c56425,21109,57150,24755,57150,28575c57150,32345,56425,35992,54975,39489c53525,42987,51460,46087,48781,48791c46101,51445,43011,53504,39510,54967c36009,56381,32364,57125,28575,57150c24786,57125,21141,56381,17640,54967c14139,53504,11049,51445,8369,48791c5690,46087,3625,42987,2175,39489c725,35992,0,32345,0,28575c0,24755,725,21109,2175,17611c3625,14114,5690,11038,8369,8359c11049,5655,14139,3597,17640,2158c21141,719,24786,0,28575,0x">
                  <v:stroke weight="0pt" endcap="flat" joinstyle="miter" miterlimit="10" on="false" color="#000000" opacity="0"/>
                  <v:fill on="true" color="#333333"/>
                </v:shape>
              </v:group>
            </w:pict>
          </mc:Fallback>
        </mc:AlternateContent>
      </w:r>
      <w:r>
        <w:t xml:space="preserve"> Доказательства микрососудистой дисфункции:</w:t>
      </w:r>
      <w:r>
        <w:t xml:space="preserve"> нарушение резерва кровотока</w:t>
      </w:r>
    </w:p>
    <w:p w:rsidR="008E3F15" w:rsidRDefault="005F449A">
      <w:pPr>
        <w:spacing w:after="179"/>
        <w:ind w:left="610" w:right="15"/>
      </w:pPr>
      <w:r>
        <w:t xml:space="preserve">(граница ≤2,0–2,5), микрососудистый спазм (воспроизведение симптомов, ишемических изменений на ЭКГ без эпикардиального спазма во время теста с ацетилхолином), аномальный индекс коронарной микроваскулярной резистентности (&gt;25), </w:t>
      </w:r>
      <w:r>
        <w:t>феномен медленного коронарного кровотока.</w:t>
      </w:r>
    </w:p>
    <w:p w:rsidR="008E3F15" w:rsidRDefault="005F449A">
      <w:pPr>
        <w:spacing w:after="359"/>
        <w:ind w:left="2" w:right="15"/>
      </w:pPr>
      <w:r>
        <w:t>Микрососудистую СК рекомендуют считать определенной при наличии всех четырех критериев, а возможной — если наряду с первыми двумя критериями имеется третий либо четвертый.</w:t>
      </w:r>
    </w:p>
    <w:p w:rsidR="008E3F15" w:rsidRDefault="005F449A">
      <w:pPr>
        <w:pStyle w:val="Heading1"/>
        <w:ind w:left="2"/>
      </w:pPr>
      <w:r>
        <w:t>Часть I. Сердечно-сосудистые болезни</w:t>
      </w:r>
    </w:p>
    <w:p w:rsidR="008E3F15" w:rsidRDefault="005F449A">
      <w:pPr>
        <w:ind w:left="2" w:right="251"/>
      </w:pPr>
      <w:r>
        <w:t>Обстр</w:t>
      </w:r>
      <w:r>
        <w:t xml:space="preserve">уктивная и микрососудистая формы коронарной болезни могут сочетаться у одного пациента. Прогноз микрососудистого заболевания благоприятнее, чем при обструктивной форме болезни. Для контроля симптомов и улучшения качества жизни, наряду с βадреноблокаторами </w:t>
      </w:r>
      <w:r>
        <w:t>и антагонистами кальция, могут быть полезны ранолазин, никорандил и иАПФ (Turgeon R. et al., 2018).</w:t>
      </w:r>
    </w:p>
    <w:p w:rsidR="008E3F15" w:rsidRDefault="005F449A">
      <w:pPr>
        <w:ind w:left="2" w:right="15"/>
      </w:pPr>
      <w:r>
        <w:rPr>
          <w:i/>
        </w:rPr>
        <w:t xml:space="preserve">Бессимптомная коронарная болезнь. </w:t>
      </w:r>
      <w:r>
        <w:t xml:space="preserve">В связи с распространением КТ-ангиографии чаще стали выявляться случаи бессимптомного атеросклероза коронарных артерий. В </w:t>
      </w:r>
      <w:r>
        <w:t>проспективном исследовании у 46% датчан старше 40 лет был выявлен коронарный атеросклероз, преимущественно (78%) необструктивный со стенозом &lt;50% просвета сосуда (Fuchs A. et al., 2023). Частота ИМ в течение 3,5 года наблюдения в группе с обструктивным сте</w:t>
      </w:r>
      <w:r>
        <w:t>нозом была в 9 раз выше по сравнению с группой необструктивного стеноза, что, очевидно, требует более активной профилактики, включая жесткий контроль факторов риска ССЗ.</w:t>
      </w:r>
    </w:p>
    <w:p w:rsidR="008E3F15" w:rsidRDefault="005F449A">
      <w:pPr>
        <w:ind w:left="2" w:right="643"/>
      </w:pPr>
      <w:r>
        <w:t>Следует учитывать, что часть эпизодов ишемии мио карда может проходить без СК или ее э</w:t>
      </w:r>
      <w:r>
        <w:t>квивалентов, вплоть до развития бессимптомного ИМ. Повреждающее действие ишемии на мио кард определяется не наличием боли, а выраженностью</w:t>
      </w:r>
    </w:p>
    <w:p w:rsidR="008E3F15" w:rsidRDefault="005F449A">
      <w:pPr>
        <w:ind w:left="2" w:right="15"/>
      </w:pPr>
      <w:r>
        <w:t>и продолжительностью нарушения его перфузии. Эпизоды бессимптомной ишемии мио карда обычно диагностируют при стресс-т</w:t>
      </w:r>
      <w:r>
        <w:t>есте, мониторировании ЭКГ, редко при случайной регистрации ЭКГ. Результаты мониторирования ЭКГ у пациентов без установленной коронарной болезни или факторов высокого риска (преклонный возраст, СД, гиперхолестеринемия) следует оценивать очень осторожно, так</w:t>
      </w:r>
      <w:r>
        <w:t xml:space="preserve"> как нередко встречаются ложноположительные результаты. Нет надежных данных об улучшении выживаемости при медикаментозном лечении или реваскуляризации у пациентов с бессимптомной ишемией мио карда.</w:t>
      </w:r>
    </w:p>
    <w:p w:rsidR="008E3F15" w:rsidRDefault="005F449A">
      <w:pPr>
        <w:ind w:left="2" w:right="489"/>
      </w:pPr>
      <w:r>
        <w:rPr>
          <w:i/>
        </w:rPr>
        <w:t xml:space="preserve">Ишемическая кардиомиопатия. </w:t>
      </w:r>
      <w:r>
        <w:t>Нередко ишемия и ишемическое п</w:t>
      </w:r>
      <w:r>
        <w:t>овреждение мио карда приводят к снижению сократимости и расширению левого желудочка, а впоследствии и других камер сердца.</w:t>
      </w:r>
    </w:p>
    <w:p w:rsidR="008E3F15" w:rsidRDefault="005F449A">
      <w:pPr>
        <w:spacing w:after="31"/>
        <w:ind w:left="2" w:right="15"/>
      </w:pPr>
      <w:r>
        <w:t>Предложены следующие критерии дилатационной кардиомиопатии ишемической природы</w:t>
      </w:r>
    </w:p>
    <w:p w:rsidR="008E3F15" w:rsidRDefault="005F449A">
      <w:pPr>
        <w:spacing w:after="165"/>
        <w:ind w:left="2" w:right="15"/>
      </w:pPr>
      <w:r>
        <w:t>(Felker G. et al., 2002):</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694080" behindDoc="0" locked="0" layoutInCell="1" allowOverlap="1">
                <wp:simplePos x="0" y="0"/>
                <wp:positionH relativeFrom="column">
                  <wp:posOffset>209550</wp:posOffset>
                </wp:positionH>
                <wp:positionV relativeFrom="paragraph">
                  <wp:posOffset>34776</wp:posOffset>
                </wp:positionV>
                <wp:extent cx="57150" cy="514350"/>
                <wp:effectExtent l="0" t="0" r="0" b="0"/>
                <wp:wrapSquare wrapText="bothSides"/>
                <wp:docPr id="262911" name="Group 262911"/>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3312" name="Shape 3312"/>
                        <wps:cNvSpPr/>
                        <wps:spPr>
                          <a:xfrm>
                            <a:off x="0" y="0"/>
                            <a:ext cx="57150" cy="57150"/>
                          </a:xfrm>
                          <a:custGeom>
                            <a:avLst/>
                            <a:gdLst/>
                            <a:ahLst/>
                            <a:cxnLst/>
                            <a:rect l="0" t="0" r="0" b="0"/>
                            <a:pathLst>
                              <a:path w="57150" h="57150">
                                <a:moveTo>
                                  <a:pt x="28575" y="0"/>
                                </a:moveTo>
                                <a:cubicBezTo>
                                  <a:pt x="32364" y="0"/>
                                  <a:pt x="36009" y="719"/>
                                  <a:pt x="39510" y="2133"/>
                                </a:cubicBezTo>
                                <a:cubicBezTo>
                                  <a:pt x="43011" y="3621"/>
                                  <a:pt x="46101" y="5680"/>
                                  <a:pt x="48781" y="8359"/>
                                </a:cubicBezTo>
                                <a:cubicBezTo>
                                  <a:pt x="51460" y="11013"/>
                                  <a:pt x="53525" y="14089"/>
                                  <a:pt x="54975" y="17611"/>
                                </a:cubicBezTo>
                                <a:cubicBezTo>
                                  <a:pt x="56425" y="21109"/>
                                  <a:pt x="57150" y="24755"/>
                                  <a:pt x="57150" y="28575"/>
                                </a:cubicBezTo>
                                <a:cubicBezTo>
                                  <a:pt x="57150" y="32345"/>
                                  <a:pt x="56425" y="35992"/>
                                  <a:pt x="54975" y="39489"/>
                                </a:cubicBezTo>
                                <a:cubicBezTo>
                                  <a:pt x="53525" y="42987"/>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089"/>
                                  <a:pt x="5690" y="11013"/>
                                  <a:pt x="8369" y="8359"/>
                                </a:cubicBezTo>
                                <a:cubicBezTo>
                                  <a:pt x="11049" y="5680"/>
                                  <a:pt x="14139" y="3621"/>
                                  <a:pt x="17640" y="2133"/>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3315" name="Shape 3315"/>
                        <wps:cNvSpPr/>
                        <wps:spPr>
                          <a:xfrm>
                            <a:off x="0" y="3048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13"/>
                                  <a:pt x="53525" y="14114"/>
                                  <a:pt x="54975" y="17611"/>
                                </a:cubicBezTo>
                                <a:cubicBezTo>
                                  <a:pt x="56425" y="21109"/>
                                  <a:pt x="57150" y="24755"/>
                                  <a:pt x="57150" y="28575"/>
                                </a:cubicBezTo>
                                <a:cubicBezTo>
                                  <a:pt x="57150" y="32345"/>
                                  <a:pt x="56425" y="35992"/>
                                  <a:pt x="54975" y="39464"/>
                                </a:cubicBezTo>
                                <a:cubicBezTo>
                                  <a:pt x="53525" y="42987"/>
                                  <a:pt x="51460" y="46062"/>
                                  <a:pt x="48781" y="48766"/>
                                </a:cubicBezTo>
                                <a:cubicBezTo>
                                  <a:pt x="46101" y="51420"/>
                                  <a:pt x="43011" y="53479"/>
                                  <a:pt x="39510" y="54942"/>
                                </a:cubicBezTo>
                                <a:cubicBezTo>
                                  <a:pt x="36009" y="56406"/>
                                  <a:pt x="32364" y="57125"/>
                                  <a:pt x="28575" y="57150"/>
                                </a:cubicBezTo>
                                <a:cubicBezTo>
                                  <a:pt x="24786" y="57125"/>
                                  <a:pt x="21141" y="56406"/>
                                  <a:pt x="17640" y="54942"/>
                                </a:cubicBezTo>
                                <a:cubicBezTo>
                                  <a:pt x="14139" y="53479"/>
                                  <a:pt x="11049" y="51420"/>
                                  <a:pt x="8369" y="48766"/>
                                </a:cubicBezTo>
                                <a:cubicBezTo>
                                  <a:pt x="5690" y="46062"/>
                                  <a:pt x="3625" y="42987"/>
                                  <a:pt x="2175" y="39489"/>
                                </a:cubicBezTo>
                                <a:cubicBezTo>
                                  <a:pt x="725" y="35992"/>
                                  <a:pt x="0" y="32345"/>
                                  <a:pt x="0" y="28575"/>
                                </a:cubicBezTo>
                                <a:cubicBezTo>
                                  <a:pt x="0" y="24755"/>
                                  <a:pt x="725" y="21109"/>
                                  <a:pt x="2175" y="17611"/>
                                </a:cubicBezTo>
                                <a:cubicBezTo>
                                  <a:pt x="3625" y="14114"/>
                                  <a:pt x="5690" y="11013"/>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3317" name="Shape 3317"/>
                        <wps:cNvSpPr/>
                        <wps:spPr>
                          <a:xfrm>
                            <a:off x="0" y="457200"/>
                            <a:ext cx="57150" cy="57150"/>
                          </a:xfrm>
                          <a:custGeom>
                            <a:avLst/>
                            <a:gdLst/>
                            <a:ahLst/>
                            <a:cxnLst/>
                            <a:rect l="0" t="0" r="0" b="0"/>
                            <a:pathLst>
                              <a:path w="57150" h="57150">
                                <a:moveTo>
                                  <a:pt x="28575" y="0"/>
                                </a:moveTo>
                                <a:cubicBezTo>
                                  <a:pt x="32364" y="0"/>
                                  <a:pt x="36009" y="719"/>
                                  <a:pt x="39510" y="2158"/>
                                </a:cubicBezTo>
                                <a:cubicBezTo>
                                  <a:pt x="43011" y="3597"/>
                                  <a:pt x="46101" y="5655"/>
                                  <a:pt x="48781" y="8359"/>
                                </a:cubicBezTo>
                                <a:cubicBezTo>
                                  <a:pt x="51460" y="11038"/>
                                  <a:pt x="53525" y="14114"/>
                                  <a:pt x="54975" y="17611"/>
                                </a:cubicBezTo>
                                <a:cubicBezTo>
                                  <a:pt x="56425" y="21109"/>
                                  <a:pt x="57150" y="24755"/>
                                  <a:pt x="57150" y="28575"/>
                                </a:cubicBezTo>
                                <a:cubicBezTo>
                                  <a:pt x="57150" y="32345"/>
                                  <a:pt x="56425" y="35967"/>
                                  <a:pt x="54975" y="39464"/>
                                </a:cubicBezTo>
                                <a:cubicBezTo>
                                  <a:pt x="53525" y="42987"/>
                                  <a:pt x="51460" y="46062"/>
                                  <a:pt x="48781" y="48766"/>
                                </a:cubicBezTo>
                                <a:cubicBezTo>
                                  <a:pt x="46101" y="51420"/>
                                  <a:pt x="43011" y="53479"/>
                                  <a:pt x="39510" y="54942"/>
                                </a:cubicBezTo>
                                <a:cubicBezTo>
                                  <a:pt x="36009" y="56381"/>
                                  <a:pt x="32364" y="57125"/>
                                  <a:pt x="28575" y="57150"/>
                                </a:cubicBezTo>
                                <a:cubicBezTo>
                                  <a:pt x="24786" y="57125"/>
                                  <a:pt x="21141" y="56381"/>
                                  <a:pt x="17640" y="54942"/>
                                </a:cubicBezTo>
                                <a:cubicBezTo>
                                  <a:pt x="14139" y="53479"/>
                                  <a:pt x="11049" y="51420"/>
                                  <a:pt x="8369" y="48766"/>
                                </a:cubicBezTo>
                                <a:cubicBezTo>
                                  <a:pt x="5690" y="46062"/>
                                  <a:pt x="3625" y="42987"/>
                                  <a:pt x="2175" y="39489"/>
                                </a:cubicBezTo>
                                <a:cubicBezTo>
                                  <a:pt x="725" y="35967"/>
                                  <a:pt x="0" y="32345"/>
                                  <a:pt x="0" y="28575"/>
                                </a:cubicBezTo>
                                <a:cubicBezTo>
                                  <a:pt x="0" y="24755"/>
                                  <a:pt x="725" y="21109"/>
                                  <a:pt x="2175" y="17611"/>
                                </a:cubicBezTo>
                                <a:cubicBezTo>
                                  <a:pt x="3625" y="14114"/>
                                  <a:pt x="5690" y="11038"/>
                                  <a:pt x="8369" y="8359"/>
                                </a:cubicBezTo>
                                <a:cubicBezTo>
                                  <a:pt x="11049" y="5655"/>
                                  <a:pt x="14139" y="3597"/>
                                  <a:pt x="17640" y="2158"/>
                                </a:cubicBezTo>
                                <a:cubicBezTo>
                                  <a:pt x="21141" y="719"/>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2911" style="width:4.5pt;height:40.5pt;position:absolute;mso-position-horizontal-relative:text;mso-position-horizontal:absolute;margin-left:16.5pt;mso-position-vertical-relative:text;margin-top:2.73828pt;" coordsize="571,5143">
                <v:shape id="Shape 3312" style="position:absolute;width:571;height:571;left:0;top:0;" coordsize="57150,57150" path="m28575,0c32364,0,36009,719,39510,2133c43011,3621,46101,5680,48781,8359c51460,11013,53525,14089,54975,17611c56425,21109,57150,24755,57150,28575c57150,32345,56425,35992,54975,39489c53525,42987,51460,46062,48781,48766c46101,51420,43011,53479,39510,54942c36009,56406,32364,57125,28575,57150c24786,57125,21141,56406,17640,54942c14139,53479,11049,51420,8369,48766c5690,46062,3625,42987,2175,39489c725,35992,0,32345,0,28575c0,24755,725,21109,2175,17611c3625,14089,5690,11013,8369,8359c11049,5680,14139,3621,17640,2133c21141,719,24786,0,28575,0x">
                  <v:stroke weight="0pt" endcap="flat" joinstyle="miter" miterlimit="4" on="false" color="#000000" opacity="0"/>
                  <v:fill on="true" color="#333333"/>
                </v:shape>
                <v:shape id="Shape 3315" style="position:absolute;width:571;height:571;left:0;top:3048;" coordsize="57150,57150" path="m28575,0c32364,0,36009,719,39510,2158c43011,3597,46101,5655,48781,8359c51460,11013,53525,14114,54975,17611c56425,21109,57150,24755,57150,28575c57150,32345,56425,35992,54975,39464c53525,42987,51460,46062,48781,48766c46101,51420,43011,53479,39510,54942c36009,56406,32364,57125,28575,57150c24786,57125,21141,56406,17640,54942c14139,53479,11049,51420,8369,48766c5690,46062,3625,42987,2175,39489c725,35992,0,32345,0,28575c0,24755,725,21109,2175,17611c3625,14114,5690,11013,8369,8359c11049,5655,14139,3597,17640,2158c21141,719,24786,0,28575,0x">
                  <v:stroke weight="0pt" endcap="flat" joinstyle="miter" miterlimit="4" on="false" color="#000000" opacity="0"/>
                  <v:fill on="true" color="#333333"/>
                </v:shape>
                <v:shape id="Shape 3317" style="position:absolute;width:571;height:571;left:0;top:4572;" coordsize="57150,57150" path="m28575,0c32364,0,36009,719,39510,2158c43011,3597,46101,5655,48781,8359c51460,11038,53525,14114,54975,17611c56425,21109,57150,24755,57150,28575c57150,32345,56425,35967,54975,39464c53525,42987,51460,46062,48781,48766c46101,51420,43011,53479,39510,54942c36009,56381,32364,57125,28575,57150c24786,57125,21141,56381,17640,54942c14139,53479,11049,51420,8369,48766c5690,46062,3625,42987,2175,39489c725,35967,0,32345,0,28575c0,24755,725,21109,2175,17611c3625,14114,5690,11038,8369,8359c11049,5655,14139,3597,17640,2158c21141,719,24786,0,28575,0x">
                  <v:stroke weight="0pt" endcap="flat" joinstyle="miter" miterlimit="4" on="false" color="#000000" opacity="0"/>
                  <v:fill on="true" color="#333333"/>
                </v:shape>
                <w10:wrap type="square"/>
              </v:group>
            </w:pict>
          </mc:Fallback>
        </mc:AlternateContent>
      </w:r>
      <w:r>
        <w:t>≥75% стеноз ствола левой коронарной артерии или проксимального отдела левой нисходящей коронарной артерии;</w:t>
      </w:r>
    </w:p>
    <w:p w:rsidR="008E3F15" w:rsidRDefault="005F449A">
      <w:pPr>
        <w:spacing w:after="179"/>
        <w:ind w:left="340" w:right="1788"/>
      </w:pPr>
      <w:r>
        <w:t>≥75% стеноз двух и более эпикардиальных коронарных артерий; анамнез ИМ или реваскуляризации.</w:t>
      </w:r>
    </w:p>
    <w:p w:rsidR="008E3F15" w:rsidRDefault="005F449A">
      <w:pPr>
        <w:ind w:left="2" w:right="1218"/>
      </w:pPr>
      <w:r>
        <w:t>Ведущим способом лечения пациентов с ФВЛЖ ≤35% считается</w:t>
      </w:r>
      <w:r>
        <w:t xml:space="preserve"> реваскуляризация с помощью КШ. Из β-адреноблокаторов предпочтительнее метопролола сукцинат и бисопролол, а верапамил и дилтиазем противопоказаны.</w:t>
      </w:r>
    </w:p>
    <w:p w:rsidR="008E3F15" w:rsidRDefault="005F449A">
      <w:pPr>
        <w:ind w:left="2" w:right="15"/>
      </w:pPr>
      <w:r>
        <w:t>Кодировка хронической коронарной болезни по МКБ-10 и примеры оформления диагноза представлены в</w:t>
      </w:r>
      <w:r>
        <w:rPr>
          <w:b/>
        </w:rPr>
        <w:t xml:space="preserve"> табл. 2.2 </w:t>
      </w:r>
      <w:r>
        <w:t>и</w:t>
      </w:r>
      <w:r>
        <w:rPr>
          <w:b/>
        </w:rPr>
        <w:t xml:space="preserve"> 2</w:t>
      </w:r>
      <w:r>
        <w:rPr>
          <w:b/>
        </w:rPr>
        <w:t>.3</w:t>
      </w:r>
      <w:r>
        <w:t>.</w:t>
      </w:r>
    </w:p>
    <w:p w:rsidR="008E3F15" w:rsidRDefault="005F449A">
      <w:pPr>
        <w:spacing w:after="31"/>
        <w:ind w:left="2" w:right="15"/>
      </w:pPr>
      <w:r>
        <w:rPr>
          <w:b/>
        </w:rPr>
        <w:t xml:space="preserve">Таблица 2.2. </w:t>
      </w:r>
      <w:r>
        <w:t>Классификация коронарной болезни по Международной классификации болезней 10-го пересмотра</w:t>
      </w:r>
    </w:p>
    <w:tbl>
      <w:tblPr>
        <w:tblStyle w:val="TableGrid"/>
        <w:tblW w:w="8715" w:type="dxa"/>
        <w:tblInd w:w="30" w:type="dxa"/>
        <w:tblCellMar>
          <w:top w:w="80" w:type="dxa"/>
          <w:left w:w="43" w:type="dxa"/>
          <w:bottom w:w="0" w:type="dxa"/>
          <w:right w:w="47" w:type="dxa"/>
        </w:tblCellMar>
        <w:tblLook w:val="04A0" w:firstRow="1" w:lastRow="0" w:firstColumn="1" w:lastColumn="0" w:noHBand="0" w:noVBand="1"/>
      </w:tblPr>
      <w:tblGrid>
        <w:gridCol w:w="7200"/>
        <w:gridCol w:w="1515"/>
      </w:tblGrid>
      <w:tr w:rsidR="008E3F15">
        <w:trPr>
          <w:trHeight w:val="330"/>
        </w:trPr>
        <w:tc>
          <w:tcPr>
            <w:tcW w:w="720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2" w:right="0" w:firstLine="0"/>
            </w:pPr>
            <w:r>
              <w:rPr>
                <w:b/>
              </w:rPr>
              <w:t>Форма коронарной болезни</w:t>
            </w:r>
          </w:p>
        </w:tc>
        <w:tc>
          <w:tcPr>
            <w:tcW w:w="15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Код МКБ-10</w:t>
            </w:r>
          </w:p>
        </w:tc>
      </w:tr>
      <w:tr w:rsidR="008E3F15">
        <w:trPr>
          <w:trHeight w:val="330"/>
        </w:trPr>
        <w:tc>
          <w:tcPr>
            <w:tcW w:w="7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Нестабильная СК</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I20.0</w:t>
            </w:r>
          </w:p>
        </w:tc>
      </w:tr>
      <w:tr w:rsidR="008E3F15">
        <w:trPr>
          <w:trHeight w:val="330"/>
        </w:trPr>
        <w:tc>
          <w:tcPr>
            <w:tcW w:w="72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СК с документированным вазоспазмом</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I20.1</w:t>
            </w:r>
          </w:p>
        </w:tc>
      </w:tr>
      <w:tr w:rsidR="008E3F15">
        <w:trPr>
          <w:trHeight w:val="330"/>
        </w:trPr>
        <w:tc>
          <w:tcPr>
            <w:tcW w:w="7200" w:type="dxa"/>
            <w:tcBorders>
              <w:top w:val="single" w:sz="6" w:space="0" w:color="000000"/>
              <w:left w:val="single" w:sz="6" w:space="0" w:color="000000"/>
              <w:bottom w:val="single" w:sz="6" w:space="0" w:color="000000"/>
              <w:right w:val="nil"/>
            </w:tcBorders>
          </w:tcPr>
          <w:p w:rsidR="008E3F15" w:rsidRDefault="005F449A">
            <w:pPr>
              <w:spacing w:after="0" w:line="259" w:lineRule="auto"/>
              <w:ind w:left="2" w:right="0" w:firstLine="0"/>
              <w:jc w:val="both"/>
            </w:pPr>
            <w:r>
              <w:rPr>
                <w:bdr w:val="single" w:sz="12" w:space="0" w:color="000000"/>
              </w:rPr>
              <w:t>Другие формы СК (стабильная, напряжения, микроваскулярная)</w:t>
            </w:r>
          </w:p>
        </w:tc>
        <w:tc>
          <w:tcPr>
            <w:tcW w:w="151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I20.8</w:t>
            </w:r>
          </w:p>
        </w:tc>
      </w:tr>
      <w:tr w:rsidR="008E3F15">
        <w:trPr>
          <w:trHeight w:val="330"/>
        </w:trPr>
        <w:tc>
          <w:tcPr>
            <w:tcW w:w="72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СК неуточненная</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I20.9</w:t>
            </w:r>
          </w:p>
        </w:tc>
      </w:tr>
      <w:tr w:rsidR="008E3F15">
        <w:trPr>
          <w:trHeight w:val="330"/>
        </w:trPr>
        <w:tc>
          <w:tcPr>
            <w:tcW w:w="7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Атеросклеротическая болезнь сердца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I25.1</w:t>
            </w:r>
          </w:p>
        </w:tc>
      </w:tr>
      <w:tr w:rsidR="008E3F15">
        <w:trPr>
          <w:trHeight w:val="330"/>
        </w:trPr>
        <w:tc>
          <w:tcPr>
            <w:tcW w:w="7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Перенесенный в прошлом ИМ</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I25.2</w:t>
            </w:r>
          </w:p>
        </w:tc>
      </w:tr>
      <w:tr w:rsidR="008E3F15">
        <w:trPr>
          <w:trHeight w:val="330"/>
        </w:trPr>
        <w:tc>
          <w:tcPr>
            <w:tcW w:w="7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Ишемическая кардиомиопатия</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I25.5</w:t>
            </w:r>
          </w:p>
        </w:tc>
      </w:tr>
      <w:tr w:rsidR="008E3F15">
        <w:trPr>
          <w:trHeight w:val="330"/>
        </w:trPr>
        <w:tc>
          <w:tcPr>
            <w:tcW w:w="7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Бессимптомная ишемия мио карда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I25.6</w:t>
            </w:r>
          </w:p>
        </w:tc>
      </w:tr>
    </w:tbl>
    <w:p w:rsidR="008E3F15" w:rsidRDefault="005F449A">
      <w:pPr>
        <w:spacing w:after="31"/>
        <w:ind w:left="2" w:right="15"/>
      </w:pPr>
      <w:r>
        <w:rPr>
          <w:b/>
        </w:rPr>
        <w:t xml:space="preserve">Таблица 2.3. </w:t>
      </w:r>
      <w:r>
        <w:t>Примеры оформления диагноза</w:t>
      </w:r>
    </w:p>
    <w:tbl>
      <w:tblPr>
        <w:tblStyle w:val="TableGrid"/>
        <w:tblW w:w="10485" w:type="dxa"/>
        <w:tblInd w:w="30" w:type="dxa"/>
        <w:tblCellMar>
          <w:top w:w="80" w:type="dxa"/>
          <w:left w:w="40" w:type="dxa"/>
          <w:bottom w:w="0" w:type="dxa"/>
          <w:right w:w="115" w:type="dxa"/>
        </w:tblCellMar>
        <w:tblLook w:val="04A0" w:firstRow="1" w:lastRow="0" w:firstColumn="1" w:lastColumn="0" w:noHBand="0" w:noVBand="1"/>
      </w:tblPr>
      <w:tblGrid>
        <w:gridCol w:w="9195"/>
        <w:gridCol w:w="1290"/>
      </w:tblGrid>
      <w:tr w:rsidR="008E3F15">
        <w:trPr>
          <w:trHeight w:val="570"/>
        </w:trPr>
        <w:tc>
          <w:tcPr>
            <w:tcW w:w="91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Диагноз</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788" w:firstLine="0"/>
            </w:pPr>
            <w:r>
              <w:t>Стабильная стенокардия III ФК, инфаркт мио карда (2017). Гипертоническая болезнь. Миалгия (аторвастатин)</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I20.8</w:t>
            </w:r>
          </w:p>
        </w:tc>
      </w:tr>
      <w:tr w:rsidR="008E3F15">
        <w:trPr>
          <w:trHeight w:val="3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Вазоспастическая стенокардия. Отеки (амлодипин)</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I20.1</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Микроваскулярная стенокардия, частые желудочковые экстрасистолы. Тревожное расстройство</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I20.8</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Стабильная стенокардия I ФК. Имплантация голометаллического стента в ПНА, осложненная инфарктом мио карда (12.11.2017)</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I20.8</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Нестенозирующий атеросклероз (36%) передней нисходящей коронарной артерии. Гиперхолестеринемия</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I25.1</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1395" w:firstLine="0"/>
            </w:pPr>
            <w:r>
              <w:t>Инфаркт мио карда (2019). Хроническая сердечная недостаточность с пониженной ФВЛЖ, NYHA II. Сахарный диабет 2 типа</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I25.8</w:t>
            </w:r>
          </w:p>
        </w:tc>
      </w:tr>
    </w:tbl>
    <w:p w:rsidR="008E3F15" w:rsidRDefault="005F449A">
      <w:pPr>
        <w:spacing w:after="345"/>
        <w:ind w:left="2" w:right="15"/>
      </w:pPr>
      <w:r>
        <w:rPr>
          <w:b/>
        </w:rPr>
        <w:t>Примечание.</w:t>
      </w:r>
      <w:r>
        <w:t xml:space="preserve"> ПНА — передняя нисхо</w:t>
      </w:r>
      <w:r>
        <w:t>дящая коронарная артерия.</w:t>
      </w:r>
    </w:p>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ind w:left="2" w:right="507"/>
      </w:pPr>
      <w:r>
        <w:rPr>
          <w:b/>
        </w:rPr>
        <w:t>Клиническая картина</w:t>
      </w:r>
      <w:r>
        <w:rPr>
          <w:b/>
          <w:i/>
        </w:rPr>
        <w:t xml:space="preserve">. </w:t>
      </w:r>
      <w:r>
        <w:t>СК — клинический синдром, характеризующийся дискомфортом в грудной клетке, нижней челюсти, плече, спине или руке; провоцируется физической нагрузкой или эмоциональным стрессом и прекращается в покое или после приема нитроглицерина (ESC). Боль за грудиной о</w:t>
      </w:r>
      <w:r>
        <w:t>бычно непродолжительная — от 1 до 10 мин.</w:t>
      </w:r>
    </w:p>
    <w:p w:rsidR="008E3F15" w:rsidRDefault="005F449A">
      <w:pPr>
        <w:spacing w:after="31"/>
        <w:ind w:left="2" w:right="1167"/>
      </w:pPr>
      <w:r>
        <w:t>Наряду с типичной СК встречаются и атипичные проявления СК (</w:t>
      </w:r>
      <w:r>
        <w:rPr>
          <w:b/>
        </w:rPr>
        <w:t>табл. 2.4</w:t>
      </w:r>
      <w:r>
        <w:t xml:space="preserve">). </w:t>
      </w:r>
      <w:r>
        <w:rPr>
          <w:b/>
        </w:rPr>
        <w:t xml:space="preserve">Таблица 2.4. </w:t>
      </w:r>
      <w:r>
        <w:t>Клиническая классификация болей в грудной клетке (Европейское кардиологическое общество)</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2100"/>
        <w:gridCol w:w="8385"/>
      </w:tblGrid>
      <w:tr w:rsidR="008E3F15">
        <w:trPr>
          <w:trHeight w:val="330"/>
        </w:trPr>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Боль в груди</w:t>
            </w:r>
          </w:p>
        </w:tc>
        <w:tc>
          <w:tcPr>
            <w:tcW w:w="8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rPr>
                <w:b/>
              </w:rPr>
              <w:t>Характеристика</w:t>
            </w:r>
          </w:p>
        </w:tc>
      </w:tr>
      <w:tr w:rsidR="008E3F15">
        <w:trPr>
          <w:trHeight w:val="1290"/>
        </w:trPr>
        <w:tc>
          <w:tcPr>
            <w:tcW w:w="21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Типичная СК</w:t>
            </w:r>
          </w:p>
        </w:tc>
        <w:tc>
          <w:tcPr>
            <w:tcW w:w="8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Имеются все три критерия.</w:t>
            </w:r>
          </w:p>
          <w:p w:rsidR="008E3F15" w:rsidRDefault="005F449A">
            <w:pPr>
              <w:numPr>
                <w:ilvl w:val="0"/>
                <w:numId w:val="18"/>
              </w:numPr>
              <w:spacing w:after="0" w:line="216" w:lineRule="auto"/>
              <w:ind w:right="0" w:firstLine="0"/>
            </w:pPr>
            <w:r>
              <w:t>Давящий дискомфорт в грудной клетке спереди или в шее, челюсти,плечах или руках.</w:t>
            </w:r>
          </w:p>
          <w:p w:rsidR="008E3F15" w:rsidRDefault="005F449A">
            <w:pPr>
              <w:numPr>
                <w:ilvl w:val="0"/>
                <w:numId w:val="18"/>
              </w:numPr>
              <w:spacing w:after="0" w:line="259" w:lineRule="auto"/>
              <w:ind w:right="0" w:firstLine="0"/>
            </w:pPr>
            <w:r>
              <w:t>Усиление при физической нагрузке.</w:t>
            </w:r>
          </w:p>
          <w:p w:rsidR="008E3F15" w:rsidRDefault="005F449A">
            <w:pPr>
              <w:numPr>
                <w:ilvl w:val="0"/>
                <w:numId w:val="18"/>
              </w:numPr>
              <w:spacing w:after="0" w:line="259" w:lineRule="auto"/>
              <w:ind w:right="0" w:firstLine="0"/>
            </w:pPr>
            <w:r>
              <w:t>Облегчение в покое или нитратами в течение 5 мин</w:t>
            </w:r>
          </w:p>
        </w:tc>
      </w:tr>
      <w:tr w:rsidR="008E3F15">
        <w:trPr>
          <w:trHeight w:val="330"/>
        </w:trPr>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Атипичная СК</w:t>
            </w:r>
          </w:p>
        </w:tc>
        <w:tc>
          <w:tcPr>
            <w:tcW w:w="8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Два из вышеперечисленных признаков</w:t>
            </w:r>
          </w:p>
        </w:tc>
      </w:tr>
      <w:tr w:rsidR="008E3F15">
        <w:trPr>
          <w:trHeight w:val="570"/>
        </w:trPr>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Неангинозная боль</w:t>
            </w:r>
          </w:p>
        </w:tc>
        <w:tc>
          <w:tcPr>
            <w:tcW w:w="83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Один или ни одного из вышеперечисленных признаков</w:t>
            </w:r>
          </w:p>
        </w:tc>
      </w:tr>
    </w:tbl>
    <w:p w:rsidR="008E3F15" w:rsidRDefault="005F449A">
      <w:pPr>
        <w:ind w:left="2" w:right="15"/>
      </w:pPr>
      <w:r>
        <w:t>Для выявления СК важны квалифицированный опрос пациента и оценка воспроизводимости дискомфорта/боли при пальпации грудной клетки. Исследования выявили существенную недооценку врачами имею</w:t>
      </w:r>
      <w:r>
        <w:t>щейся у пациента СК (Kemp I. et al., 2019; Shafiq A. et al., 2016). Вероятность коронарной болезни существенно зависит как от клиники болей, так и от других факторов риска: возраст, пол, гиперхолестеринемия, СД, курение, артериальная гипертензия. Оценка пр</w:t>
      </w:r>
      <w:r>
        <w:t>етестовой вероятности обструктивной коронарной болезни со стенозом &gt;50% позволяет определить необходимость дальнейшего обследования, включая стресс-тест (</w:t>
      </w:r>
      <w:r>
        <w:rPr>
          <w:b/>
        </w:rPr>
        <w:t>табл. 2.5</w:t>
      </w:r>
      <w:r>
        <w:t xml:space="preserve">, </w:t>
      </w:r>
      <w:r>
        <w:rPr>
          <w:b/>
        </w:rPr>
        <w:t>рис. 2.2</w:t>
      </w:r>
      <w:r>
        <w:t>). Оценки вероятности на современных данных оказались ниже, чем в предшествующих мо</w:t>
      </w:r>
      <w:r>
        <w:t>делях прогноза (Juarez-Orozco L. et al., 2019). В последних американских рекомендациях предложено рассчитывать претестовую вероятность только для типичной стенокардии.</w:t>
      </w:r>
    </w:p>
    <w:p w:rsidR="008E3F15" w:rsidRDefault="005F449A">
      <w:pPr>
        <w:spacing w:after="31"/>
        <w:ind w:left="2" w:right="15"/>
      </w:pPr>
      <w:r>
        <w:rPr>
          <w:b/>
        </w:rPr>
        <w:t xml:space="preserve">Таблица 2.5. </w:t>
      </w:r>
      <w:r>
        <w:t>Претестовая вероятность обструктивной коронарной болезни у симптомных пациентов, 2019-ESC-PTP</w:t>
      </w:r>
    </w:p>
    <w:tbl>
      <w:tblPr>
        <w:tblStyle w:val="TableGrid"/>
        <w:tblW w:w="8520" w:type="dxa"/>
        <w:tblInd w:w="30" w:type="dxa"/>
        <w:tblCellMar>
          <w:top w:w="58" w:type="dxa"/>
          <w:left w:w="39" w:type="dxa"/>
          <w:bottom w:w="0" w:type="dxa"/>
          <w:right w:w="40" w:type="dxa"/>
        </w:tblCellMar>
        <w:tblLook w:val="04A0" w:firstRow="1" w:lastRow="0" w:firstColumn="1" w:lastColumn="0" w:noHBand="0" w:noVBand="1"/>
      </w:tblPr>
      <w:tblGrid>
        <w:gridCol w:w="1710"/>
        <w:gridCol w:w="555"/>
        <w:gridCol w:w="540"/>
        <w:gridCol w:w="1185"/>
        <w:gridCol w:w="1200"/>
        <w:gridCol w:w="870"/>
        <w:gridCol w:w="870"/>
        <w:gridCol w:w="795"/>
        <w:gridCol w:w="795"/>
      </w:tblGrid>
      <w:tr w:rsidR="008E3F15">
        <w:trPr>
          <w:trHeight w:val="308"/>
        </w:trPr>
        <w:tc>
          <w:tcPr>
            <w:tcW w:w="17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rPr>
                <w:b/>
              </w:rPr>
              <w:t>Возраст, годы</w:t>
            </w:r>
          </w:p>
        </w:tc>
        <w:tc>
          <w:tcPr>
            <w:tcW w:w="6810" w:type="dxa"/>
            <w:gridSpan w:val="8"/>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rPr>
                <w:b/>
              </w:rPr>
              <w:t>Вероятность коронарной болезни, %</w:t>
            </w:r>
          </w:p>
        </w:tc>
      </w:tr>
      <w:tr w:rsidR="008E3F15">
        <w:trPr>
          <w:trHeight w:val="37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6810" w:type="dxa"/>
            <w:gridSpan w:val="8"/>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12" w:right="0" w:firstLine="0"/>
              <w:jc w:val="both"/>
            </w:pPr>
            <w:r>
              <w:rPr>
                <w:b/>
                <w:bdr w:val="single" w:sz="12" w:space="0" w:color="000000"/>
              </w:rPr>
              <w:t>Одышка Неангинозная боль Атипичная СК Типичная СК</w:t>
            </w:r>
          </w:p>
        </w:tc>
      </w:tr>
      <w:tr w:rsidR="008E3F15">
        <w:trPr>
          <w:trHeight w:val="308"/>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55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rPr>
                <w:b/>
              </w:rPr>
              <w:t>м</w:t>
            </w:r>
          </w:p>
        </w:tc>
        <w:tc>
          <w:tcPr>
            <w:tcW w:w="5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ж</w:t>
            </w:r>
          </w:p>
        </w:tc>
        <w:tc>
          <w:tcPr>
            <w:tcW w:w="118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м</w:t>
            </w:r>
          </w:p>
        </w:tc>
        <w:tc>
          <w:tcPr>
            <w:tcW w:w="12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rPr>
                <w:b/>
              </w:rPr>
              <w:t>ж</w:t>
            </w:r>
          </w:p>
        </w:tc>
        <w:tc>
          <w:tcPr>
            <w:tcW w:w="8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м</w:t>
            </w:r>
          </w:p>
        </w:tc>
        <w:tc>
          <w:tcPr>
            <w:tcW w:w="8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ж</w:t>
            </w:r>
          </w:p>
        </w:tc>
        <w:tc>
          <w:tcPr>
            <w:tcW w:w="7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rPr>
                <w:b/>
              </w:rPr>
              <w:t>м</w:t>
            </w:r>
          </w:p>
        </w:tc>
        <w:tc>
          <w:tcPr>
            <w:tcW w:w="7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rPr>
                <w:b/>
              </w:rPr>
              <w:t>ж</w:t>
            </w:r>
          </w:p>
        </w:tc>
      </w:tr>
      <w:tr w:rsidR="008E3F15">
        <w:trPr>
          <w:trHeight w:val="330"/>
        </w:trPr>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30–39</w:t>
            </w:r>
          </w:p>
        </w:tc>
        <w:tc>
          <w:tcPr>
            <w:tcW w:w="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1</w:t>
            </w:r>
          </w:p>
        </w:tc>
        <w:tc>
          <w:tcPr>
            <w:tcW w:w="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1</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4</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3</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3</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5</w:t>
            </w:r>
          </w:p>
        </w:tc>
      </w:tr>
      <w:tr w:rsidR="008E3F15">
        <w:trPr>
          <w:trHeight w:val="330"/>
        </w:trPr>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40–49</w:t>
            </w:r>
          </w:p>
        </w:tc>
        <w:tc>
          <w:tcPr>
            <w:tcW w:w="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12</w:t>
            </w:r>
          </w:p>
        </w:tc>
        <w:tc>
          <w:tcPr>
            <w:tcW w:w="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3</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2</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10</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6</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22</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10</w:t>
            </w:r>
          </w:p>
        </w:tc>
      </w:tr>
      <w:tr w:rsidR="008E3F15">
        <w:trPr>
          <w:trHeight w:val="330"/>
        </w:trPr>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50–59</w:t>
            </w:r>
          </w:p>
        </w:tc>
        <w:tc>
          <w:tcPr>
            <w:tcW w:w="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20</w:t>
            </w:r>
          </w:p>
        </w:tc>
        <w:tc>
          <w:tcPr>
            <w:tcW w:w="54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9</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11</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3</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17</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6</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32</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13</w:t>
            </w:r>
          </w:p>
        </w:tc>
      </w:tr>
      <w:tr w:rsidR="008E3F15">
        <w:trPr>
          <w:trHeight w:val="330"/>
        </w:trPr>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60–69</w:t>
            </w:r>
          </w:p>
        </w:tc>
        <w:tc>
          <w:tcPr>
            <w:tcW w:w="55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2" w:right="0" w:firstLine="0"/>
            </w:pPr>
            <w:r>
              <w:t>27</w:t>
            </w:r>
          </w:p>
        </w:tc>
        <w:tc>
          <w:tcPr>
            <w:tcW w:w="540" w:type="dxa"/>
            <w:vMerge w:val="restart"/>
            <w:tcBorders>
              <w:top w:val="nil"/>
              <w:left w:val="nil"/>
              <w:bottom w:val="single" w:sz="6" w:space="0" w:color="000000"/>
              <w:right w:val="nil"/>
            </w:tcBorders>
          </w:tcPr>
          <w:p w:rsidR="008E3F15" w:rsidRDefault="005F449A">
            <w:pPr>
              <w:spacing w:after="0" w:line="259" w:lineRule="auto"/>
              <w:ind w:left="0" w:right="0" w:firstLine="0"/>
            </w:pPr>
            <w:r>
              <w:rPr>
                <w:bdr w:val="single" w:sz="12" w:space="0" w:color="000000"/>
              </w:rPr>
              <w:t>14</w:t>
            </w:r>
          </w:p>
          <w:p w:rsidR="008E3F15" w:rsidRDefault="005F449A">
            <w:pPr>
              <w:spacing w:after="0" w:line="259" w:lineRule="auto"/>
              <w:ind w:left="0" w:right="0" w:firstLine="0"/>
            </w:pPr>
            <w:r>
              <w:rPr>
                <w:bdr w:val="single" w:sz="12" w:space="0" w:color="000000"/>
              </w:rPr>
              <w:t>12</w:t>
            </w:r>
          </w:p>
        </w:tc>
        <w:tc>
          <w:tcPr>
            <w:tcW w:w="11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22</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6</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26</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11</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44</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16</w:t>
            </w:r>
          </w:p>
        </w:tc>
      </w:tr>
      <w:tr w:rsidR="008E3F15">
        <w:trPr>
          <w:trHeight w:val="330"/>
        </w:trPr>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≥70</w:t>
            </w:r>
          </w:p>
        </w:tc>
        <w:tc>
          <w:tcPr>
            <w:tcW w:w="55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2" w:right="0" w:firstLine="0"/>
            </w:pPr>
            <w:r>
              <w:t>32</w:t>
            </w:r>
          </w:p>
        </w:tc>
        <w:tc>
          <w:tcPr>
            <w:tcW w:w="0" w:type="auto"/>
            <w:vMerge/>
            <w:tcBorders>
              <w:top w:val="nil"/>
              <w:left w:val="nil"/>
              <w:bottom w:val="single" w:sz="6" w:space="0" w:color="000000"/>
              <w:right w:val="nil"/>
            </w:tcBorders>
          </w:tcPr>
          <w:p w:rsidR="008E3F15" w:rsidRDefault="008E3F15">
            <w:pPr>
              <w:spacing w:after="160" w:line="259" w:lineRule="auto"/>
              <w:ind w:left="0" w:right="0" w:firstLine="0"/>
            </w:pPr>
          </w:p>
        </w:tc>
        <w:tc>
          <w:tcPr>
            <w:tcW w:w="11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24</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10</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34</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19</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52</w:t>
            </w:r>
          </w:p>
        </w:tc>
        <w:tc>
          <w:tcPr>
            <w:tcW w:w="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27</w:t>
            </w:r>
          </w:p>
        </w:tc>
      </w:tr>
    </w:tbl>
    <w:p w:rsidR="008E3F15" w:rsidRDefault="005F449A">
      <w:pPr>
        <w:ind w:left="2" w:right="558"/>
      </w:pPr>
      <w:r>
        <w:t>Если вероятность низкая (&lt;5%), тестирование обычно (нет факторов высокого риска ССЗ) неоправданно, поскольку риск сердечно-сосудистой смерти или ИМ не превышает 1%, а частота ложноположительного результата высока (ESC).</w:t>
      </w:r>
    </w:p>
    <w:p w:rsidR="008E3F15" w:rsidRDefault="005F449A">
      <w:pPr>
        <w:ind w:left="2" w:right="15"/>
      </w:pPr>
      <w:r>
        <w:t>У пациентов с вероятностью 5–15% рис</w:t>
      </w:r>
      <w:r>
        <w:t>к катастроф остается низким, вместе с тем рекомендуют использовать дополнительные критерии рис ка хронической коронарной болезни (коронарный кальциноз, шкалу PROMISE Minimal-Risk Tool) для оценки необходимости дальнейшего тестирования.</w:t>
      </w:r>
    </w:p>
    <w:p w:rsidR="008E3F15" w:rsidRDefault="005F449A">
      <w:pPr>
        <w:ind w:left="2" w:right="15"/>
      </w:pPr>
      <w:r>
        <w:t>В случае промежуточн</w:t>
      </w:r>
      <w:r>
        <w:t>ой вероятности стеноза коронарных артерий показано дальнейшее неинвазивное обследование, включающее визуальный стресс-тест (возраст ≥65 лет, подозрение на рубец, микроваскулярную дисфункцию, контроль ишемии миокарда) или КТангиографию (возраст &lt;65 лет, оце</w:t>
      </w:r>
      <w:r>
        <w:t>нка аномалий коронарных артерий, аорты или легочных сосудов, оценка степени коронарной обструкции) (AHA/ACC).</w:t>
      </w:r>
    </w:p>
    <w:p w:rsidR="008E3F15" w:rsidRDefault="005F449A">
      <w:pPr>
        <w:ind w:left="2" w:right="15"/>
      </w:pPr>
      <w:r>
        <w:t>При высокой вероятности значимого стеноза коронарной артерии (&gt;85%), отсутствии эффекта лекарственных препаратов и типичной СК при низкой физическ</w:t>
      </w:r>
      <w:r>
        <w:t>ой нагрузке можно рассмотреть целесообразность инвазивной КГ и последующей реваскуляризации. Помимо оценки коронарной болезни, важно уточнить вовлеченность других сосудов (периферический пульс, аускультация каротидных и бедренных артерий, лодыжечноплечевой</w:t>
      </w:r>
      <w:r>
        <w:t xml:space="preserve"> индекс) и коморбидность (СД, ХБП, дисфункция щитовидной железы). </w:t>
      </w:r>
      <w:r>
        <w:rPr>
          <w:b/>
        </w:rPr>
        <w:t xml:space="preserve">Лабораторные тесты. </w:t>
      </w:r>
      <w:r>
        <w:t>Уровень ХС ЛНП обычно рассчитывается по формуле Friedewald, которая менее точна при уровне триглицеридов &gt;2,3 ммоль/л и может дать большую ошибку при уровне триглицеридов</w:t>
      </w:r>
      <w:r>
        <w:t xml:space="preserve"> &gt;4,5 ммоль/л, а также занижает величину ХС ЛНП при невысоких значениях последнего. При выраженной гипертриглицеридемии предпочтительнее</w:t>
      </w:r>
    </w:p>
    <w:p w:rsidR="008E3F15" w:rsidRDefault="005F449A">
      <w:pPr>
        <w:ind w:left="2" w:right="15"/>
      </w:pPr>
      <w:r>
        <w:t>оценивать уровень холестерина липопротеинов невысокой плотности или отношение общего холестерина к холестерину липопрот</w:t>
      </w:r>
      <w:r>
        <w:t>еинов высокой плотности.</w:t>
      </w:r>
    </w:p>
    <w:p w:rsidR="008E3F15" w:rsidRDefault="005F449A">
      <w:pPr>
        <w:spacing w:after="359"/>
        <w:ind w:left="2" w:right="15"/>
      </w:pPr>
      <w:r>
        <w:t>Для более точной оценки дислипидемии, с учетом выраженной биологической вариабельности липидов и липопротеинов, большинство экспертов перед назначением статинов рекомендуют повторить липидограмму через неделю. Хотя рекомендуют сдавать анализ не позднее 8–1</w:t>
      </w:r>
      <w:r>
        <w:t>2 ч после последнего приема пищи, в исследовании NHANES-III прогностическое значение ХС ЛНП в анализе крови, взятом раньше 8 ч, не уменьшилось.</w:t>
      </w:r>
    </w:p>
    <w:p w:rsidR="008E3F15" w:rsidRDefault="005F449A">
      <w:pPr>
        <w:pStyle w:val="Heading1"/>
        <w:ind w:left="2"/>
      </w:pPr>
      <w:r>
        <w:t>Часть I. Сердечно-сосудистые болезни</w:t>
      </w:r>
    </w:p>
    <w:p w:rsidR="008E3F15" w:rsidRDefault="005F449A">
      <w:pPr>
        <w:ind w:left="2" w:right="15"/>
      </w:pPr>
      <w:r>
        <w:t>Для оценки факторов риска атеросклеротических заболеваний наряду с липидогр</w:t>
      </w:r>
      <w:r>
        <w:t>аммой (</w:t>
      </w:r>
      <w:r>
        <w:rPr>
          <w:b/>
        </w:rPr>
        <w:t>табл. 2.6</w:t>
      </w:r>
      <w:r>
        <w:t>) определяют уровень гликемии (HbA</w:t>
      </w:r>
      <w:r>
        <w:rPr>
          <w:sz w:val="31"/>
          <w:vertAlign w:val="subscript"/>
        </w:rPr>
        <w:t>1</w:t>
      </w:r>
      <w:r>
        <w:rPr>
          <w:sz w:val="20"/>
        </w:rPr>
        <w:t>c</w:t>
      </w:r>
      <w:r>
        <w:t xml:space="preserve"> или пероральный глюкозотолератный тест), креатинин и рСКФ.</w:t>
      </w:r>
    </w:p>
    <w:p w:rsidR="008E3F15" w:rsidRDefault="005F449A">
      <w:pPr>
        <w:spacing w:after="31"/>
        <w:ind w:left="2" w:right="15"/>
      </w:pPr>
      <w:r>
        <w:rPr>
          <w:b/>
        </w:rPr>
        <w:t xml:space="preserve">Таблица 2.6. </w:t>
      </w:r>
      <w:r>
        <w:t>Нормальные и целевые показатели липидограммы (ESC/EAS)</w:t>
      </w:r>
    </w:p>
    <w:tbl>
      <w:tblPr>
        <w:tblStyle w:val="TableGrid"/>
        <w:tblW w:w="10485" w:type="dxa"/>
        <w:tblInd w:w="30" w:type="dxa"/>
        <w:tblCellMar>
          <w:top w:w="80" w:type="dxa"/>
          <w:left w:w="39" w:type="dxa"/>
          <w:bottom w:w="0" w:type="dxa"/>
          <w:right w:w="86" w:type="dxa"/>
        </w:tblCellMar>
        <w:tblLook w:val="04A0" w:firstRow="1" w:lastRow="0" w:firstColumn="1" w:lastColumn="0" w:noHBand="0" w:noVBand="1"/>
      </w:tblPr>
      <w:tblGrid>
        <w:gridCol w:w="5220"/>
        <w:gridCol w:w="2025"/>
        <w:gridCol w:w="3240"/>
      </w:tblGrid>
      <w:tr w:rsidR="008E3F15">
        <w:trPr>
          <w:trHeight w:val="570"/>
        </w:trPr>
        <w:tc>
          <w:tcPr>
            <w:tcW w:w="52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Липиды</w:t>
            </w:r>
          </w:p>
        </w:tc>
        <w:tc>
          <w:tcPr>
            <w:tcW w:w="20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rPr>
                <w:b/>
              </w:rPr>
              <w:t>Норма, ммоль/ л</w:t>
            </w:r>
          </w:p>
        </w:tc>
        <w:tc>
          <w:tcPr>
            <w:tcW w:w="32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Целевой уровень, ммоль/ л</w:t>
            </w:r>
          </w:p>
        </w:tc>
      </w:tr>
      <w:tr w:rsidR="008E3F15">
        <w:trPr>
          <w:trHeight w:val="330"/>
        </w:trPr>
        <w:tc>
          <w:tcPr>
            <w:tcW w:w="5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Общий холестерин</w:t>
            </w:r>
          </w:p>
        </w:tc>
        <w:tc>
          <w:tcPr>
            <w:tcW w:w="20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&lt;5,0</w:t>
            </w:r>
          </w:p>
        </w:tc>
        <w:tc>
          <w:tcPr>
            <w:tcW w:w="32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&lt;4,0</w:t>
            </w:r>
          </w:p>
        </w:tc>
      </w:tr>
      <w:tr w:rsidR="008E3F15">
        <w:trPr>
          <w:trHeight w:val="570"/>
        </w:trPr>
        <w:tc>
          <w:tcPr>
            <w:tcW w:w="5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Холестерин липопротеинов высокой плотности</w:t>
            </w:r>
          </w:p>
        </w:tc>
        <w:tc>
          <w:tcPr>
            <w:tcW w:w="20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≥1,0 (м) ≥1,2 (ж)</w:t>
            </w:r>
          </w:p>
        </w:tc>
        <w:tc>
          <w:tcPr>
            <w:tcW w:w="32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≥1,0 (м) ≥1,2 (ж)</w:t>
            </w:r>
          </w:p>
        </w:tc>
      </w:tr>
      <w:tr w:rsidR="008E3F15">
        <w:trPr>
          <w:trHeight w:val="330"/>
        </w:trPr>
        <w:tc>
          <w:tcPr>
            <w:tcW w:w="5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ХС ЛНП</w:t>
            </w:r>
          </w:p>
        </w:tc>
        <w:tc>
          <w:tcPr>
            <w:tcW w:w="20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&lt;3,0</w:t>
            </w:r>
          </w:p>
        </w:tc>
        <w:tc>
          <w:tcPr>
            <w:tcW w:w="32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&lt;1,4</w:t>
            </w:r>
          </w:p>
        </w:tc>
      </w:tr>
      <w:tr w:rsidR="008E3F15">
        <w:trPr>
          <w:trHeight w:val="330"/>
        </w:trPr>
        <w:tc>
          <w:tcPr>
            <w:tcW w:w="5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Триглицериды</w:t>
            </w:r>
          </w:p>
        </w:tc>
        <w:tc>
          <w:tcPr>
            <w:tcW w:w="20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&lt;1,7</w:t>
            </w:r>
          </w:p>
        </w:tc>
        <w:tc>
          <w:tcPr>
            <w:tcW w:w="32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&lt;1,7</w:t>
            </w:r>
          </w:p>
        </w:tc>
      </w:tr>
    </w:tbl>
    <w:p w:rsidR="008E3F15" w:rsidRDefault="005F449A">
      <w:pPr>
        <w:ind w:left="2" w:right="15"/>
      </w:pPr>
      <w:r>
        <w:rPr>
          <w:b/>
        </w:rPr>
        <w:t>Примечание.</w:t>
      </w:r>
      <w:r>
        <w:t xml:space="preserve"> Коэффициенты перевода: холестерин мг/дл в ммоль/л — 0,0259, обратно — 38,61; триглицериды мг/дл в ммоль/л 0,0113, обратно — 88,5.</w:t>
      </w:r>
    </w:p>
    <w:p w:rsidR="008E3F15" w:rsidRDefault="005F449A">
      <w:pPr>
        <w:spacing w:after="31"/>
        <w:ind w:left="2" w:right="15"/>
      </w:pPr>
      <w:r>
        <w:rPr>
          <w:b/>
        </w:rPr>
        <w:t>Стресс-тесты.</w:t>
      </w:r>
      <w:r>
        <w:t>В качестве нагрузки (стресса) для мио карда используют физический тест</w:t>
      </w:r>
    </w:p>
    <w:p w:rsidR="008E3F15" w:rsidRDefault="005F449A">
      <w:pPr>
        <w:ind w:left="2" w:right="15"/>
      </w:pPr>
      <w:r>
        <w:t>(велоэргометрия, тредмил), чреспищеводную</w:t>
      </w:r>
      <w:r>
        <w:t xml:space="preserve"> стимуляцию сердца, симпатомиметики (добутамин) или вазодилататоры (дипиридамол, аденозин). Тредмил и велоэргометрия обеспечивают физиологическую нагрузку, но ограничены при остеоартрозе нижних конечностей, перемежающейся хромоте, слабой физической подгото</w:t>
      </w:r>
      <w:r>
        <w:t>вке.</w:t>
      </w:r>
    </w:p>
    <w:p w:rsidR="008E3F15" w:rsidRDefault="005F449A">
      <w:pPr>
        <w:ind w:left="2" w:right="15"/>
      </w:pPr>
      <w:r>
        <w:t>Оценка ишемии мио карда проводится по ЭКГ (↓</w:t>
      </w:r>
      <w:r>
        <w:rPr>
          <w:i/>
        </w:rPr>
        <w:t>ST</w:t>
      </w:r>
      <w:r>
        <w:t>) или более точной перфузионной визуализации — накоплению радиофармпрепарата (позитронная эмиссионная томография, SPECT) и нарушению локальной сократимости (эхокардиография).</w:t>
      </w:r>
    </w:p>
    <w:p w:rsidR="008E3F15" w:rsidRDefault="005F449A">
      <w:pPr>
        <w:ind w:left="2" w:right="15"/>
      </w:pPr>
      <w:r>
        <w:t>Важно понимать, что чем выше вероятность коронарной болезни (на основании наличия факторов риска заболевания, клиники, лабораторных тестов), тем более информативен стресс-тест. У асимптомных пациентов с низким риском коронарной болезни применение стресс-те</w:t>
      </w:r>
      <w:r>
        <w:t>стов нецелесообразно (ICSI).</w:t>
      </w:r>
    </w:p>
    <w:p w:rsidR="008E3F15" w:rsidRDefault="005F449A">
      <w:pPr>
        <w:ind w:left="2" w:right="83"/>
      </w:pPr>
      <w:r>
        <w:t xml:space="preserve">Стресс-тест с ЭКГ используется для диагностики ишемии миокарда у пациентов с отсутствием изменений </w:t>
      </w:r>
      <w:r>
        <w:rPr>
          <w:i/>
        </w:rPr>
        <w:t>ST—T</w:t>
      </w:r>
      <w:r>
        <w:t>, без выраженных аритмий (включая феномен Вольфа–Паркинсона–Уайта, блокаду ножек пучка Гиса, стимуляцию желудочков, ФП), стр</w:t>
      </w:r>
      <w:r>
        <w:t xml:space="preserve">уктурных заболеваний сердца и крупных сосудов, ФВЛЖ ≤30%. Критерием положительной пробы считается горизонтальная или косонисходящая депрессия </w:t>
      </w:r>
      <w:r>
        <w:rPr>
          <w:i/>
        </w:rPr>
        <w:t>ST</w:t>
      </w:r>
      <w:r>
        <w:t xml:space="preserve"> ≥1 мм. Чем глубже депрессия </w:t>
      </w:r>
      <w:r>
        <w:rPr>
          <w:i/>
        </w:rPr>
        <w:t>ST</w:t>
      </w:r>
      <w:r>
        <w:t>, тем более выражен коронарный атеросклероз.</w:t>
      </w:r>
    </w:p>
    <w:p w:rsidR="008E3F15" w:rsidRDefault="005F449A">
      <w:pPr>
        <w:spacing w:after="31"/>
        <w:ind w:left="2" w:right="15"/>
      </w:pPr>
      <w:r>
        <w:t xml:space="preserve">Косовосходящая депрессия </w:t>
      </w:r>
      <w:r>
        <w:rPr>
          <w:i/>
        </w:rPr>
        <w:t>ST</w:t>
      </w:r>
      <w:r>
        <w:t>, особенн</w:t>
      </w:r>
      <w:r>
        <w:t>о медленно восходящая (&lt;10 мм/с или ≥1 мм через</w:t>
      </w:r>
    </w:p>
    <w:p w:rsidR="008E3F15" w:rsidRDefault="005F449A">
      <w:pPr>
        <w:spacing w:after="31"/>
        <w:ind w:left="2" w:right="15"/>
      </w:pPr>
      <w:r>
        <w:t>80 мс от точки J), свидетельствует о повышенном риске коронарной болезни (Rijneke R. et al.,</w:t>
      </w:r>
    </w:p>
    <w:p w:rsidR="008E3F15" w:rsidRDefault="005F449A">
      <w:pPr>
        <w:spacing w:after="31"/>
        <w:ind w:left="2" w:right="15"/>
      </w:pPr>
      <w:r>
        <w:t>1980; Stuart R., Ellestad M., 1976). При использовании этого критерия повышается</w:t>
      </w:r>
    </w:p>
    <w:p w:rsidR="008E3F15" w:rsidRDefault="005F449A">
      <w:pPr>
        <w:ind w:left="2" w:right="15"/>
      </w:pPr>
      <w:r>
        <w:t>чувствительность теста (79% против</w:t>
      </w:r>
      <w:r>
        <w:t xml:space="preserve"> 58%), но снижается специфичность (88% против 92%) для случаев с коронарным стенозом &gt;70% (Rijneke R. et al., 1980).</w:t>
      </w:r>
    </w:p>
    <w:p w:rsidR="008E3F15" w:rsidRDefault="005F449A">
      <w:pPr>
        <w:ind w:left="2" w:right="103"/>
      </w:pPr>
      <w:r>
        <w:t>Для оценки теста предпочтительнее использовать термины «нормальный» и «аномальный» (а не «положительный» и «отрицательный») с описанием отк</w:t>
      </w:r>
      <w:r>
        <w:t>лонений — субъективного состояния, изменений ЭКГ, пиковой нагрузки и т.д. (AHA).</w:t>
      </w:r>
    </w:p>
    <w:p w:rsidR="008E3F15" w:rsidRDefault="005F449A">
      <w:pPr>
        <w:ind w:left="2" w:right="15"/>
      </w:pPr>
      <w:r>
        <w:t>Информативность стресс-теста может уменьшаться при приеме антиангинальных препаратов. В этих случаях следует иметь в виду, для чего выполняется нагрузочная проба. Когда она пр</w:t>
      </w:r>
      <w:r>
        <w:t>оводится для того, чтобы установить, есть ли у пациента коронарная болезнь, тогда эти препараты должны быть отменены за 24–72 ч перед тестом.</w:t>
      </w:r>
    </w:p>
    <w:p w:rsidR="008E3F15" w:rsidRDefault="005F449A">
      <w:pPr>
        <w:ind w:left="2" w:right="15"/>
      </w:pPr>
      <w:r>
        <w:t>Стресс-тест с ЭКГ также используется для оценки физических возможностей пациента, диагностики аритмий, индуцируемы</w:t>
      </w:r>
      <w:r>
        <w:t>х физической нагрузкой, синдрома Вольфа–Паркинсона– Уайта, клапанных стенозов.</w:t>
      </w:r>
    </w:p>
    <w:p w:rsidR="008E3F15" w:rsidRDefault="005F449A">
      <w:pPr>
        <w:ind w:left="2" w:right="15"/>
      </w:pPr>
      <w:r>
        <w:t>В связи с недостаточной информативностью стресс-ЭКГ для выявления обструктивной коронарной болезни рекомендуют предпочесть визуальные стресс-тесты (эхокардиография, перфузионная</w:t>
      </w:r>
      <w:r>
        <w:t xml:space="preserve"> визуализация) (</w:t>
      </w:r>
      <w:r>
        <w:rPr>
          <w:b/>
        </w:rPr>
        <w:t>табл. 2.7</w:t>
      </w:r>
      <w:r>
        <w:t>).</w:t>
      </w:r>
    </w:p>
    <w:p w:rsidR="008E3F15" w:rsidRDefault="005F449A">
      <w:pPr>
        <w:ind w:left="2" w:right="15"/>
      </w:pPr>
      <w:r>
        <w:rPr>
          <w:b/>
        </w:rPr>
        <w:t xml:space="preserve">Таблица 2.7. </w:t>
      </w:r>
      <w:r>
        <w:t>Информативность анатомических и функциональных тестов для диагностики болезни коронарных артерий (Knuuti J. et al., 2018)</w:t>
      </w:r>
    </w:p>
    <w:tbl>
      <w:tblPr>
        <w:tblStyle w:val="TableGrid"/>
        <w:tblW w:w="10095" w:type="dxa"/>
        <w:tblInd w:w="30" w:type="dxa"/>
        <w:tblCellMar>
          <w:top w:w="80" w:type="dxa"/>
          <w:left w:w="42" w:type="dxa"/>
          <w:bottom w:w="0" w:type="dxa"/>
          <w:right w:w="43" w:type="dxa"/>
        </w:tblCellMar>
        <w:tblLook w:val="04A0" w:firstRow="1" w:lastRow="0" w:firstColumn="1" w:lastColumn="0" w:noHBand="0" w:noVBand="1"/>
      </w:tblPr>
      <w:tblGrid>
        <w:gridCol w:w="5250"/>
        <w:gridCol w:w="2550"/>
        <w:gridCol w:w="2295"/>
      </w:tblGrid>
      <w:tr w:rsidR="008E3F15">
        <w:trPr>
          <w:trHeight w:val="330"/>
        </w:trPr>
        <w:tc>
          <w:tcPr>
            <w:tcW w:w="525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rPr>
                <w:b/>
              </w:rPr>
              <w:t>Тест</w:t>
            </w:r>
          </w:p>
        </w:tc>
        <w:tc>
          <w:tcPr>
            <w:tcW w:w="4845" w:type="dxa"/>
            <w:gridSpan w:val="2"/>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Чувствительность, % Специфичность, %</w:t>
            </w:r>
          </w:p>
        </w:tc>
      </w:tr>
      <w:tr w:rsidR="008E3F15">
        <w:trPr>
          <w:trHeight w:val="330"/>
        </w:trPr>
        <w:tc>
          <w:tcPr>
            <w:tcW w:w="5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КТ-ангиография</w:t>
            </w:r>
          </w:p>
        </w:tc>
        <w:tc>
          <w:tcPr>
            <w:tcW w:w="25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96 (93–99)</w:t>
            </w:r>
          </w:p>
        </w:tc>
        <w:tc>
          <w:tcPr>
            <w:tcW w:w="22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77 (67–86)</w:t>
            </w:r>
          </w:p>
        </w:tc>
      </w:tr>
      <w:tr w:rsidR="008E3F15">
        <w:trPr>
          <w:trHeight w:val="330"/>
        </w:trPr>
        <w:tc>
          <w:tcPr>
            <w:tcW w:w="5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Стресс-ЭКГ</w:t>
            </w:r>
          </w:p>
        </w:tc>
        <w:tc>
          <w:tcPr>
            <w:tcW w:w="25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58 (46–69)</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62 (54–69)</w:t>
            </w:r>
          </w:p>
        </w:tc>
      </w:tr>
      <w:tr w:rsidR="008E3F15">
        <w:trPr>
          <w:trHeight w:val="330"/>
        </w:trPr>
        <w:tc>
          <w:tcPr>
            <w:tcW w:w="5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Стресс-эхокардиография</w:t>
            </w:r>
          </w:p>
        </w:tc>
        <w:tc>
          <w:tcPr>
            <w:tcW w:w="25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85 (80–89)</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81 (72–89)</w:t>
            </w:r>
          </w:p>
        </w:tc>
      </w:tr>
      <w:tr w:rsidR="008E3F15">
        <w:trPr>
          <w:trHeight w:val="330"/>
        </w:trPr>
        <w:tc>
          <w:tcPr>
            <w:tcW w:w="52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Стресс-SPECT</w:t>
            </w:r>
          </w:p>
        </w:tc>
        <w:tc>
          <w:tcPr>
            <w:tcW w:w="25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87 (83–90)</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70 (63–76)</w:t>
            </w:r>
          </w:p>
        </w:tc>
      </w:tr>
      <w:tr w:rsidR="008E3F15">
        <w:trPr>
          <w:trHeight w:val="330"/>
        </w:trPr>
        <w:tc>
          <w:tcPr>
            <w:tcW w:w="5250" w:type="dxa"/>
            <w:tcBorders>
              <w:top w:val="single" w:sz="6" w:space="0" w:color="000000"/>
              <w:left w:val="single" w:sz="6" w:space="0" w:color="000000"/>
              <w:bottom w:val="single" w:sz="6" w:space="0" w:color="000000"/>
              <w:right w:val="nil"/>
            </w:tcBorders>
          </w:tcPr>
          <w:p w:rsidR="008E3F15" w:rsidRDefault="005F449A">
            <w:pPr>
              <w:spacing w:after="0" w:line="259" w:lineRule="auto"/>
              <w:ind w:left="3" w:right="0" w:firstLine="0"/>
              <w:jc w:val="both"/>
            </w:pPr>
            <w:r>
              <w:rPr>
                <w:bdr w:val="single" w:sz="12" w:space="0" w:color="000000"/>
              </w:rPr>
              <w:t>Стресс-позитронная эмиссионная томография</w:t>
            </w:r>
          </w:p>
        </w:tc>
        <w:tc>
          <w:tcPr>
            <w:tcW w:w="255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87 (78–96)</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84 (78–90)</w:t>
            </w:r>
          </w:p>
        </w:tc>
      </w:tr>
      <w:tr w:rsidR="008E3F15">
        <w:trPr>
          <w:trHeight w:val="330"/>
        </w:trPr>
        <w:tc>
          <w:tcPr>
            <w:tcW w:w="52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Стресс-МРТ</w:t>
            </w:r>
          </w:p>
        </w:tc>
        <w:tc>
          <w:tcPr>
            <w:tcW w:w="25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89 (83–94)</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79 (69–88)</w:t>
            </w:r>
          </w:p>
        </w:tc>
      </w:tr>
    </w:tbl>
    <w:p w:rsidR="008E3F15" w:rsidRDefault="005F449A">
      <w:pPr>
        <w:ind w:left="2" w:right="15"/>
      </w:pPr>
      <w:r>
        <w:rPr>
          <w:b/>
        </w:rPr>
        <w:t>Примечание.</w:t>
      </w:r>
      <w:r>
        <w:t xml:space="preserve"> Приведена медиана и 95% доверительные интервалы. Чувствительность — частота положительного теста при коронарной болезни, специфичность — частота отрицательного теста при отсутствии коронарной болезни. МРТ — магнитно-резонансная томография.</w:t>
      </w:r>
    </w:p>
    <w:p w:rsidR="008E3F15" w:rsidRDefault="005F449A">
      <w:pPr>
        <w:spacing w:after="31"/>
        <w:ind w:left="2" w:right="15"/>
      </w:pPr>
      <w:r>
        <w:t>Несмотря на сло</w:t>
      </w:r>
      <w:r>
        <w:t>жности с использованием изотопов (включая массу тела &lt;95 кг),</w:t>
      </w:r>
    </w:p>
    <w:p w:rsidR="008E3F15" w:rsidRDefault="005F449A">
      <w:pPr>
        <w:ind w:left="2" w:right="15"/>
      </w:pPr>
      <w:r>
        <w:t>перфузионная визуализация мио карда с помощью однофотонной эмиссионной КТ мио карда (стресс-SPECT) может быть предпочтительнее стресс-эхокардиографии, так как у 15% пациентов сердце плохо визуал</w:t>
      </w:r>
      <w:r>
        <w:t>изируется при эхографии и результаты существенно зависят от опыта и подготовки исследователя.</w:t>
      </w:r>
    </w:p>
    <w:p w:rsidR="008E3F15" w:rsidRDefault="005F449A">
      <w:pPr>
        <w:spacing w:after="359"/>
        <w:ind w:left="2" w:right="15"/>
      </w:pPr>
      <w:r>
        <w:t xml:space="preserve">Стресс-тест с позитронной эмиссионной томографией по сравнению с однофотонной эмиссионной КТ обеспечивает лучшее качество изображения, меньшее время исследования </w:t>
      </w:r>
      <w:r>
        <w:t>и лучевую нагрузку, количественную оценку кровотока (ASNC/SNMMI). Однако в России очень мало позитронных эмиссионных томографов.</w:t>
      </w:r>
    </w:p>
    <w:p w:rsidR="008E3F15" w:rsidRDefault="005F449A">
      <w:pPr>
        <w:pStyle w:val="Heading1"/>
        <w:ind w:left="2"/>
      </w:pPr>
      <w:r>
        <w:t>Часть I. Сердечно-сосудистые болезни</w:t>
      </w:r>
    </w:p>
    <w:p w:rsidR="008E3F15" w:rsidRDefault="005F449A">
      <w:pPr>
        <w:ind w:left="2" w:right="681"/>
      </w:pPr>
      <w:r>
        <w:t>Выявление при магнитно-резонансной томографии фиброза (невыявленного или выявленного ранее</w:t>
      </w:r>
      <w:r>
        <w:t xml:space="preserve"> ИМ) ассоциируется с ухудшением прогноза (SPINS; ICELAND MI). Следует учитывать возможность диффузного снижения коронарного кровотока, что не позволяет визуализировать локальную ишемию мио карда.</w:t>
      </w:r>
    </w:p>
    <w:p w:rsidR="008E3F15" w:rsidRDefault="005F449A">
      <w:pPr>
        <w:ind w:left="2" w:right="15"/>
      </w:pPr>
      <w:r>
        <w:rPr>
          <w:b/>
        </w:rPr>
        <w:t>Коронарный кальциноз.</w:t>
      </w:r>
      <w:r>
        <w:t xml:space="preserve"> Многосрезовая КТ позволяет выявить кал</w:t>
      </w:r>
      <w:r>
        <w:t>ьцификацию коронарных артерий, которая свидетельствует о коронарном атеросклерозе у пациента без выраженной почечной дисфункции. Количество кальция коррелирует с объемом атеросклероза, но не отражает степень обструкции. Плотность кальциноза обратно связана</w:t>
      </w:r>
      <w:r>
        <w:t xml:space="preserve"> с риском коронарной болезни, риском ССЗ вне зависимости от лечения статинами (MESA). Отсутствие кальциноза не исключает обструктивной коронарной болезни у симптомных пациентов, особенно у пациентов до 60 лет с симптомами (Mortensen M. et al., 2022). Кальц</w:t>
      </w:r>
      <w:r>
        <w:t>иевый индекс, равный 0, определялся у 18 и 34% пациентов со значимым коронарным стенозом в возрасте 50–59 и 40–49 лет.</w:t>
      </w:r>
    </w:p>
    <w:p w:rsidR="008E3F15" w:rsidRDefault="005F449A">
      <w:pPr>
        <w:ind w:left="2" w:right="495"/>
      </w:pPr>
      <w:r>
        <w:rPr>
          <w:b/>
        </w:rPr>
        <w:t>Коронарная КТ-ангиография.</w:t>
      </w:r>
      <w:r>
        <w:t xml:space="preserve"> Диагностические возможности визуальных стресс-тестов и анатомических тестов близки. Последние включают неинваз</w:t>
      </w:r>
      <w:r>
        <w:t>ивную и инвазивную коронарную ангиографию (</w:t>
      </w:r>
      <w:r>
        <w:rPr>
          <w:b/>
        </w:rPr>
        <w:t>рис. 2.2</w:t>
      </w:r>
      <w:r>
        <w:t>).</w:t>
      </w:r>
    </w:p>
    <w:p w:rsidR="008E3F15" w:rsidRDefault="005F449A">
      <w:pPr>
        <w:spacing w:after="65" w:line="259" w:lineRule="auto"/>
        <w:ind w:left="0" w:right="0" w:firstLine="0"/>
      </w:pPr>
      <w:r>
        <w:rPr>
          <w:noProof/>
        </w:rPr>
        <w:drawing>
          <wp:inline distT="0" distB="0" distL="0" distR="0">
            <wp:extent cx="5057775" cy="3867150"/>
            <wp:effectExtent l="0" t="0" r="0" b="0"/>
            <wp:docPr id="3851" name="Picture 3851"/>
            <wp:cNvGraphicFramePr/>
            <a:graphic xmlns:a="http://schemas.openxmlformats.org/drawingml/2006/main">
              <a:graphicData uri="http://schemas.openxmlformats.org/drawingml/2006/picture">
                <pic:pic xmlns:pic="http://schemas.openxmlformats.org/drawingml/2006/picture">
                  <pic:nvPicPr>
                    <pic:cNvPr id="3851" name="Picture 3851"/>
                    <pic:cNvPicPr/>
                  </pic:nvPicPr>
                  <pic:blipFill>
                    <a:blip r:embed="rId17"/>
                    <a:stretch>
                      <a:fillRect/>
                    </a:stretch>
                  </pic:blipFill>
                  <pic:spPr>
                    <a:xfrm>
                      <a:off x="0" y="0"/>
                      <a:ext cx="5057775" cy="3867150"/>
                    </a:xfrm>
                    <a:prstGeom prst="rect">
                      <a:avLst/>
                    </a:prstGeom>
                  </pic:spPr>
                </pic:pic>
              </a:graphicData>
            </a:graphic>
          </wp:inline>
        </w:drawing>
      </w:r>
    </w:p>
    <w:p w:rsidR="008E3F15" w:rsidRDefault="005F449A">
      <w:pPr>
        <w:spacing w:after="31"/>
        <w:ind w:left="2" w:right="15"/>
      </w:pPr>
      <w:r>
        <w:rPr>
          <w:b/>
        </w:rPr>
        <w:t xml:space="preserve">Рис. 2.2. </w:t>
      </w:r>
      <w:r>
        <w:t>Выбор метода визуализации коронарных артерий</w:t>
      </w:r>
    </w:p>
    <w:p w:rsidR="008E3F15" w:rsidRDefault="005F449A">
      <w:pPr>
        <w:ind w:left="2" w:right="15"/>
      </w:pPr>
      <w:r>
        <w:t>Методы многосрезовой (64–640) рентгеновской КТ с контрастированием сосудов широко используются для неинвазивной диагностики коронарной болезни.</w:t>
      </w:r>
    </w:p>
    <w:p w:rsidR="008E3F15" w:rsidRDefault="005F449A">
      <w:pPr>
        <w:ind w:left="2" w:right="15"/>
      </w:pPr>
      <w:r>
        <w:t>КТ-ангиография предпочтительнее визуальных стресс-тестов при невысокой вероятности обструктивной коронарной болезни (7–67% в исследовании COME-CCT). КТ-ангиография по сравнению со стресс-тестами позволяет чаще выявлять коронарную болезнь, включая необструк</w:t>
      </w:r>
      <w:r>
        <w:t>тивную, и назначать лекарственные препараты или инвазивное лечение, что приводит к снижению частоты ИМ, но не общей смертности (Foy A. et al., 2017; Hoffmann U. et al., 2017).</w:t>
      </w:r>
    </w:p>
    <w:p w:rsidR="008E3F15" w:rsidRDefault="005F449A">
      <w:pPr>
        <w:ind w:left="2" w:right="15"/>
      </w:pPr>
      <w:r>
        <w:t>Сравнение неинвазивной и инвазивной коронарной ангиографии при вероятности обстр</w:t>
      </w:r>
      <w:r>
        <w:t>уктивной коронарной болезни в 10–60% показало сходный отдаленный прогноз ССЗ (DISCHARGE).</w:t>
      </w:r>
    </w:p>
    <w:p w:rsidR="008E3F15" w:rsidRDefault="005F449A">
      <w:pPr>
        <w:ind w:left="2" w:right="15"/>
      </w:pPr>
      <w:r>
        <w:t>В исследовании SCOT-HEART у пациентов со стабильными болями в груди использование КТангиографии снизило риск ИМ и коронарной смерти.</w:t>
      </w:r>
    </w:p>
    <w:p w:rsidR="008E3F15" w:rsidRDefault="005F449A">
      <w:pPr>
        <w:ind w:left="2" w:right="1391"/>
      </w:pPr>
      <w:r>
        <w:t>Важно отметить, что даже выраженн</w:t>
      </w:r>
      <w:r>
        <w:t>ая коронарная обструкция (50–90%) может не сопровождаться ишемией мио карда.</w:t>
      </w:r>
    </w:p>
    <w:p w:rsidR="008E3F15" w:rsidRDefault="005F449A">
      <w:pPr>
        <w:ind w:left="2" w:right="15"/>
      </w:pPr>
      <w:r>
        <w:t>КТ-ангиография может переоценивать степень стеноза, особенно в областях с выраженным коронарным кальцинозом, поэтому может потребоваться дополнительный стресс-тест для оценки пока</w:t>
      </w:r>
      <w:r>
        <w:t>заний для инвазивной КГ. Метод не используют при нерегулярном ритме сердца, выраженном ожирении, невозможности задержать дыхание. Для получения хорошей визуализации сосудов может потребоваться снижение ЧСС (&lt;60–80 в минуту), особенно для сканеров с невысок</w:t>
      </w:r>
      <w:r>
        <w:t>им (&lt;256 срезов) разрешением.</w:t>
      </w:r>
    </w:p>
    <w:p w:rsidR="008E3F15" w:rsidRDefault="005F449A">
      <w:pPr>
        <w:ind w:left="2" w:right="454"/>
      </w:pPr>
      <w:r>
        <w:t>Оценка фракционного резерва коронарного кровотока методом КТ-ангиографии у выбранных пациентов позволяет снизить частоту инвазивной ангиографии, но не влияет на исходы (FORECAST).</w:t>
      </w:r>
    </w:p>
    <w:p w:rsidR="008E3F15" w:rsidRDefault="005F449A">
      <w:pPr>
        <w:ind w:left="2" w:right="15"/>
      </w:pPr>
      <w:r>
        <w:rPr>
          <w:b/>
        </w:rPr>
        <w:t>Инвазивная коронарная ангиография.</w:t>
      </w:r>
      <w:r>
        <w:t xml:space="preserve"> КГ проводит</w:t>
      </w:r>
      <w:r>
        <w:t xml:space="preserve">ся для уточнения диагноза в случаях недостаточной информативности результатов неинвазивных тестов и с целью определения возможности реваскуляризации мио карда и характера вмешательства. Метод позволяет оценить состояние коронарного русла и степень сужения </w:t>
      </w:r>
      <w:r>
        <w:t>сосуда. Гемодинамическую значимость коронарного стеноза до 90% и прогноз после реваскуляризации можно оценить с помощью фракционного резерва коронарного кровотока.</w:t>
      </w:r>
    </w:p>
    <w:p w:rsidR="008E3F15" w:rsidRDefault="005F449A">
      <w:pPr>
        <w:spacing w:after="169" w:line="259" w:lineRule="auto"/>
        <w:ind w:right="0"/>
      </w:pPr>
      <w:r>
        <w:rPr>
          <w:i/>
        </w:rPr>
        <w:t>Показания для коронарной ангиографии при подозрении на стабильную коронарную болезнь (ACC/AH</w:t>
      </w:r>
      <w:r>
        <w:rPr>
          <w:i/>
        </w:rPr>
        <w:t>A/AATS/PCNA/SCAI/STS):</w:t>
      </w:r>
    </w:p>
    <w:p w:rsidR="008E3F15" w:rsidRDefault="005F449A">
      <w:pPr>
        <w:ind w:left="340" w:right="259"/>
      </w:pPr>
      <w:r>
        <w:rPr>
          <w:rFonts w:ascii="Calibri" w:eastAsia="Calibri" w:hAnsi="Calibri" w:cs="Calibri"/>
          <w:noProof/>
          <w:color w:val="000000"/>
          <w:sz w:val="22"/>
        </w:rPr>
        <mc:AlternateContent>
          <mc:Choice Requires="wpg">
            <w:drawing>
              <wp:inline distT="0" distB="0" distL="0" distR="0">
                <wp:extent cx="57150" cy="57150"/>
                <wp:effectExtent l="0" t="0" r="0" b="0"/>
                <wp:docPr id="254240" name="Group 25424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87" name="Shape 3887"/>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21"/>
                                  <a:pt x="56425" y="35942"/>
                                  <a:pt x="54975" y="39439"/>
                                </a:cubicBezTo>
                                <a:cubicBezTo>
                                  <a:pt x="53525" y="42962"/>
                                  <a:pt x="51460" y="46062"/>
                                  <a:pt x="48781" y="48741"/>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41"/>
                                </a:cubicBezTo>
                                <a:cubicBezTo>
                                  <a:pt x="5690" y="46062"/>
                                  <a:pt x="3625" y="42962"/>
                                  <a:pt x="2175" y="39439"/>
                                </a:cubicBezTo>
                                <a:cubicBezTo>
                                  <a:pt x="725" y="35942"/>
                                  <a:pt x="0" y="32321"/>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4240" style="width:4.5pt;height:4.5pt;mso-position-horizontal-relative:char;mso-position-vertical-relative:line" coordsize="571,571">
                <v:shape id="Shape 3887" style="position:absolute;width:571;height:571;left:0;top:0;" coordsize="57150,57150" path="m28575,0c32364,0,36009,695,39510,2158c43011,3597,46101,5655,48781,8334c51460,10964,53525,14064,54975,17587c56425,21084,57150,24730,57150,28575c57150,32321,56425,35942,54975,39439c53525,42962,51460,46062,48781,48741c46101,51420,43011,53454,39510,54918c36009,56356,32364,57100,28575,57150c24786,57100,21141,56356,17640,54918c14139,53454,11049,51420,8369,48741c5690,46062,3625,42962,2175,39439c725,35942,0,32321,0,28575c0,24730,725,21084,2175,17587c3625,14064,5690,10964,8369,8334c11049,5655,14139,3597,17640,2158c21141,695,24786,0,28575,0x">
                  <v:stroke weight="0pt" endcap="flat" joinstyle="miter" miterlimit="10" on="false" color="#000000" opacity="0"/>
                  <v:fill on="true" color="#333333"/>
                </v:shape>
              </v:group>
            </w:pict>
          </mc:Fallback>
        </mc:AlternateContent>
      </w:r>
      <w:r>
        <w:t xml:space="preserve"> пациенты с предположительной стабильной коронарной болезнью и неприемлемыми ишемическими симптомами, несмотря на адекватную медикаментозную терапию, которые настроены или являются кандидатами на коронарную реваскуляризацию; </w:t>
      </w:r>
      <w:r>
        <w:rPr>
          <w:rFonts w:ascii="Calibri" w:eastAsia="Calibri" w:hAnsi="Calibri" w:cs="Calibri"/>
          <w:noProof/>
          <w:color w:val="000000"/>
          <w:sz w:val="22"/>
        </w:rPr>
        <mc:AlternateContent>
          <mc:Choice Requires="wpg">
            <w:drawing>
              <wp:inline distT="0" distB="0" distL="0" distR="0">
                <wp:extent cx="57150" cy="57150"/>
                <wp:effectExtent l="0" t="0" r="0" b="0"/>
                <wp:docPr id="254241" name="Group 25424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91" name="Shape 3891"/>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21"/>
                                  <a:pt x="56425" y="35967"/>
                                  <a:pt x="54975" y="39439"/>
                                </a:cubicBezTo>
                                <a:cubicBezTo>
                                  <a:pt x="53525" y="42937"/>
                                  <a:pt x="51460" y="46013"/>
                                  <a:pt x="48781" y="48741"/>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41"/>
                                </a:cubicBezTo>
                                <a:cubicBezTo>
                                  <a:pt x="5690" y="46013"/>
                                  <a:pt x="3625" y="42937"/>
                                  <a:pt x="2175" y="39439"/>
                                </a:cubicBezTo>
                                <a:cubicBezTo>
                                  <a:pt x="725" y="35967"/>
                                  <a:pt x="0" y="32321"/>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4241" style="width:4.5pt;height:4.5pt;mso-position-horizontal-relative:char;mso-position-vertical-relative:line" coordsize="571,571">
                <v:shape id="Shape 3891" style="position:absolute;width:571;height:571;left:0;top:0;" coordsize="57150,57150" path="m28575,0c32364,0,36009,695,39510,2158c43011,3597,46101,5655,48781,8334c51460,10964,53525,14064,54975,17587c56425,21084,57150,24730,57150,28575c57150,32321,56425,35967,54975,39439c53525,42937,51460,46013,48781,48741c46101,51420,43011,53454,39510,54918c36009,56356,32364,57100,28575,57150c24786,57100,21141,56356,17640,54918c14139,53454,11049,51420,8369,48741c5690,46013,3625,42937,2175,39439c725,35967,0,32321,0,28575c0,24730,725,21084,2175,17587c3625,14064,5690,10964,8369,8334c11049,5655,14139,3597,17640,2158c21141,695,24786,0,28575,0x">
                  <v:stroke weight="0pt" endcap="flat" joinstyle="miter" miterlimit="10" on="false" color="#000000" opacity="0"/>
                  <v:fill on="true" color="#333333"/>
                </v:shape>
              </v:group>
            </w:pict>
          </mc:Fallback>
        </mc:AlternateContent>
      </w:r>
      <w:r>
        <w:t xml:space="preserve"> опред</w:t>
      </w:r>
      <w:r>
        <w:t>еление степени и тяжести болезни коронарных артерий у пациентов с подозрением на стабильную коронарную болезнь, если клиническая картина и результаты неинвазивных тестов (исключая стресс-тест) указывают на высокую</w:t>
      </w:r>
    </w:p>
    <w:p w:rsidR="008E3F15" w:rsidRDefault="005F449A">
      <w:pPr>
        <w:tabs>
          <w:tab w:val="center" w:pos="876"/>
          <w:tab w:val="center" w:pos="1237"/>
          <w:tab w:val="center" w:pos="4550"/>
          <w:tab w:val="center" w:pos="6001"/>
          <w:tab w:val="center" w:pos="7075"/>
          <w:tab w:val="center" w:pos="9382"/>
        </w:tabs>
        <w:spacing w:after="31"/>
        <w:ind w:left="0" w:right="0" w:firstLine="0"/>
      </w:pPr>
      <w:r>
        <w:rPr>
          <w:rFonts w:ascii="Calibri" w:eastAsia="Calibri" w:hAnsi="Calibri" w:cs="Calibri"/>
          <w:color w:val="000000"/>
          <w:sz w:val="22"/>
        </w:rPr>
        <w:tab/>
      </w:r>
      <w:r>
        <w:t>р</w:t>
      </w:r>
      <w:r>
        <w:tab/>
        <w:t>у</w:t>
      </w:r>
      <w:r>
        <w:tab/>
        <w:t>(</w:t>
      </w:r>
      <w:r>
        <w:tab/>
        <w:t>р</w:t>
      </w:r>
      <w:r>
        <w:tab/>
        <w:t>) у</w:t>
      </w:r>
      <w:r>
        <w:tab/>
        <w:t>у</w:t>
      </w:r>
    </w:p>
    <w:p w:rsidR="008E3F15" w:rsidRDefault="005F449A">
      <w:pPr>
        <w:ind w:left="610" w:right="15"/>
      </w:pPr>
      <w:r>
        <w:t>вероятность тяжелой коронарной болезни, которые настроены или являются кандидатами на коронарную реваскуляризацию;</w:t>
      </w:r>
    </w:p>
    <w:p w:rsidR="008E3F15" w:rsidRDefault="005F449A">
      <w:pPr>
        <w:ind w:left="600" w:right="208"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57692" name="Group 25769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44" name="Shape 3944"/>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1" y="8359"/>
                                </a:cubicBezTo>
                                <a:cubicBezTo>
                                  <a:pt x="51460" y="11013"/>
                                  <a:pt x="53525" y="14089"/>
                                  <a:pt x="54975" y="17587"/>
                                </a:cubicBezTo>
                                <a:cubicBezTo>
                                  <a:pt x="56425" y="21084"/>
                                  <a:pt x="57150" y="24730"/>
                                  <a:pt x="57150" y="28575"/>
                                </a:cubicBezTo>
                                <a:cubicBezTo>
                                  <a:pt x="57150" y="32321"/>
                                  <a:pt x="56425" y="35967"/>
                                  <a:pt x="54975" y="39464"/>
                                </a:cubicBezTo>
                                <a:cubicBezTo>
                                  <a:pt x="53525" y="43011"/>
                                  <a:pt x="51460" y="46087"/>
                                  <a:pt x="48781" y="48766"/>
                                </a:cubicBezTo>
                                <a:cubicBezTo>
                                  <a:pt x="46101" y="51445"/>
                                  <a:pt x="43011" y="53504"/>
                                  <a:pt x="39510" y="54942"/>
                                </a:cubicBezTo>
                                <a:cubicBezTo>
                                  <a:pt x="36009" y="56406"/>
                                  <a:pt x="32364" y="57100"/>
                                  <a:pt x="28575" y="57150"/>
                                </a:cubicBezTo>
                                <a:cubicBezTo>
                                  <a:pt x="24786" y="57100"/>
                                  <a:pt x="21141" y="56406"/>
                                  <a:pt x="17640" y="54942"/>
                                </a:cubicBezTo>
                                <a:cubicBezTo>
                                  <a:pt x="14139" y="53504"/>
                                  <a:pt x="11049" y="51445"/>
                                  <a:pt x="8369" y="48766"/>
                                </a:cubicBezTo>
                                <a:cubicBezTo>
                                  <a:pt x="5690" y="46087"/>
                                  <a:pt x="3625" y="43011"/>
                                  <a:pt x="2175" y="39464"/>
                                </a:cubicBezTo>
                                <a:cubicBezTo>
                                  <a:pt x="725" y="35967"/>
                                  <a:pt x="0" y="32321"/>
                                  <a:pt x="0" y="28575"/>
                                </a:cubicBezTo>
                                <a:cubicBezTo>
                                  <a:pt x="0" y="24730"/>
                                  <a:pt x="725" y="21084"/>
                                  <a:pt x="2175" y="17587"/>
                                </a:cubicBezTo>
                                <a:cubicBezTo>
                                  <a:pt x="3625" y="14089"/>
                                  <a:pt x="5690" y="11013"/>
                                  <a:pt x="8369" y="8359"/>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7692" style="width:4.5pt;height:4.5pt;mso-position-horizontal-relative:char;mso-position-vertical-relative:line" coordsize="571,571">
                <v:shape id="Shape 3944" style="position:absolute;width:571;height:571;left:0;top:0;" coordsize="57150,57150" path="m28575,0c32364,0,36009,695,39510,2158c43011,3597,46101,5655,48781,8359c51460,11013,53525,14089,54975,17587c56425,21084,57150,24730,57150,28575c57150,32321,56425,35967,54975,39464c53525,43011,51460,46087,48781,48766c46101,51445,43011,53504,39510,54942c36009,56406,32364,57100,28575,57150c24786,57100,21141,56406,17640,54942c14139,53504,11049,51445,8369,48766c5690,46087,3625,43011,2175,39464c725,35967,0,32321,0,28575c0,24730,725,21084,2175,17587c3625,14089,5690,11013,8369,8359c11049,5655,14139,3597,17640,2158c21141,695,24786,0,28575,0x">
                  <v:stroke weight="0pt" endcap="flat" joinstyle="miter" miterlimit="4" on="false" color="#000000" opacity="0"/>
                  <v:fill on="true" color="#333333"/>
                </v:shape>
              </v:group>
            </w:pict>
          </mc:Fallback>
        </mc:AlternateContent>
      </w:r>
      <w:r>
        <w:t xml:space="preserve"> пациенты с подозрением на симптомную стабильную коронарную болезнь, которые не могут выполнить стресс-тест или имеют сомнительные или недиагностические результаты, когда высока вероятность, что данные КГ могут существенно изменить лечение.</w:t>
      </w:r>
    </w:p>
    <w:p w:rsidR="008E3F15" w:rsidRDefault="005F449A">
      <w:pPr>
        <w:ind w:left="2" w:right="15"/>
      </w:pPr>
      <w:r>
        <w:rPr>
          <w:b/>
        </w:rPr>
        <w:t>Мониторирование</w:t>
      </w:r>
      <w:r>
        <w:rPr>
          <w:b/>
        </w:rPr>
        <w:t xml:space="preserve"> ЭКГ</w:t>
      </w:r>
      <w:r>
        <w:t xml:space="preserve">. Выявление преходящей депрессии </w:t>
      </w:r>
      <w:r>
        <w:rPr>
          <w:i/>
        </w:rPr>
        <w:t>ST</w:t>
      </w:r>
      <w:r>
        <w:t xml:space="preserve"> при мониторировании ЭКГ не позволяет диагностировать коронарную болезнь у асимптомных пациентов ввиду высокой частоты ложноположительных изменений у здоровых лиц и не помогает предсказывать коронарные события у пацие</w:t>
      </w:r>
      <w:r>
        <w:t>нтов с низким риском (Quyyumi A. et al., 1993).</w:t>
      </w:r>
    </w:p>
    <w:p w:rsidR="008E3F15" w:rsidRDefault="005F449A">
      <w:pPr>
        <w:spacing w:after="359"/>
        <w:ind w:left="2" w:right="75"/>
      </w:pPr>
      <w:r>
        <w:t>Суточное или многодневное мониторирование показано для выявления СК с возможной аритмией и при подозрении на спонтанную СК. Кроме того, длительная регистрация ЭКГ позволяет точнее оценить контроль ЧСС, эффект</w:t>
      </w:r>
      <w:r>
        <w:t>ивность антиангинального лечения. Для диагностики коронарного вазоспазма, при редких эпизодах, которыене удается зарегистрировать даже при многодневном мониторировании ЭКГ, рекомендуют провокационные тесты с внутрикоронарным введением эргоновина или ацетил</w:t>
      </w:r>
      <w:r>
        <w:t>холина. Тесты достаточно безопасные для широкого использования с невысокой частотой больших (0,8%) и малых (4,7%) осложнений, более частых при использовании ацетилхолина (Ciliberti G. et al., 2017).</w:t>
      </w:r>
    </w:p>
    <w:p w:rsidR="008E3F15" w:rsidRDefault="005F449A">
      <w:pPr>
        <w:pStyle w:val="Heading1"/>
        <w:ind w:left="2"/>
      </w:pPr>
      <w:r>
        <w:t>Часть I. Сердечно-сосудистые болезни</w:t>
      </w:r>
    </w:p>
    <w:p w:rsidR="008E3F15" w:rsidRDefault="005F449A">
      <w:pPr>
        <w:ind w:left="2" w:right="15"/>
      </w:pPr>
      <w:r>
        <w:rPr>
          <w:b/>
        </w:rPr>
        <w:t>Прогноз.</w:t>
      </w:r>
      <w:r>
        <w:t xml:space="preserve"> Оценка прог</w:t>
      </w:r>
      <w:r>
        <w:t>ноза коронарной болезни позволяет оптимизировать выбор тактики лечения (</w:t>
      </w:r>
      <w:r>
        <w:rPr>
          <w:b/>
        </w:rPr>
        <w:t>табл. 2.8</w:t>
      </w:r>
      <w:r>
        <w:t xml:space="preserve">, </w:t>
      </w:r>
      <w:r>
        <w:rPr>
          <w:b/>
        </w:rPr>
        <w:t>рис. 2.3</w:t>
      </w:r>
      <w:r>
        <w:t>). Оценить прогноз стабильной коронарной болезни можно также с помощью специальных шкал, например SMART.</w:t>
      </w:r>
    </w:p>
    <w:p w:rsidR="008E3F15" w:rsidRDefault="005F449A">
      <w:pPr>
        <w:spacing w:after="31"/>
        <w:ind w:left="2" w:right="15"/>
      </w:pPr>
      <w:r>
        <w:rPr>
          <w:b/>
        </w:rPr>
        <w:t xml:space="preserve">Таблица 2.8. </w:t>
      </w:r>
      <w:r>
        <w:t xml:space="preserve">Оценка риска смерти у пациентов с хроническими </w:t>
      </w:r>
      <w:r>
        <w:t>коронарными синдромами (ESC)</w:t>
      </w:r>
    </w:p>
    <w:tbl>
      <w:tblPr>
        <w:tblStyle w:val="TableGrid"/>
        <w:tblW w:w="10485" w:type="dxa"/>
        <w:tblInd w:w="30" w:type="dxa"/>
        <w:tblCellMar>
          <w:top w:w="80" w:type="dxa"/>
          <w:left w:w="39" w:type="dxa"/>
          <w:bottom w:w="0" w:type="dxa"/>
          <w:right w:w="87" w:type="dxa"/>
        </w:tblCellMar>
        <w:tblLook w:val="04A0" w:firstRow="1" w:lastRow="0" w:firstColumn="1" w:lastColumn="0" w:noHBand="0" w:noVBand="1"/>
      </w:tblPr>
      <w:tblGrid>
        <w:gridCol w:w="3690"/>
        <w:gridCol w:w="1740"/>
        <w:gridCol w:w="1935"/>
        <w:gridCol w:w="3120"/>
      </w:tblGrid>
      <w:tr w:rsidR="008E3F15">
        <w:trPr>
          <w:trHeight w:val="330"/>
        </w:trPr>
        <w:tc>
          <w:tcPr>
            <w:tcW w:w="3690" w:type="dxa"/>
            <w:vMerge w:val="restart"/>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6" w:right="0" w:firstLine="0"/>
            </w:pPr>
            <w:r>
              <w:rPr>
                <w:b/>
              </w:rPr>
              <w:t>Метод</w:t>
            </w:r>
          </w:p>
        </w:tc>
        <w:tc>
          <w:tcPr>
            <w:tcW w:w="3675"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Риск годовой смерти</w:t>
            </w:r>
          </w:p>
        </w:tc>
        <w:tc>
          <w:tcPr>
            <w:tcW w:w="312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570"/>
        </w:trPr>
        <w:tc>
          <w:tcPr>
            <w:tcW w:w="0" w:type="auto"/>
            <w:vMerge/>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17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Низкий</w:t>
            </w:r>
            <w:r>
              <w:t xml:space="preserve"> </w:t>
            </w:r>
            <w:r>
              <w:rPr>
                <w:b/>
              </w:rPr>
              <w:t>&lt;1%</w:t>
            </w:r>
          </w:p>
        </w:tc>
        <w:tc>
          <w:tcPr>
            <w:tcW w:w="19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Умеренный</w:t>
            </w:r>
            <w:r>
              <w:t xml:space="preserve"> </w:t>
            </w:r>
            <w:r>
              <w:rPr>
                <w:b/>
              </w:rPr>
              <w:t>1– 2,9%</w:t>
            </w:r>
          </w:p>
        </w:tc>
        <w:tc>
          <w:tcPr>
            <w:tcW w:w="31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rPr>
                <w:b/>
              </w:rPr>
              <w:t>Высокий</w:t>
            </w:r>
            <w:r>
              <w:t xml:space="preserve"> </w:t>
            </w:r>
            <w:r>
              <w:rPr>
                <w:b/>
              </w:rPr>
              <w:t>≥3%</w:t>
            </w:r>
          </w:p>
        </w:tc>
      </w:tr>
      <w:tr w:rsidR="008E3F15">
        <w:trPr>
          <w:trHeight w:val="330"/>
        </w:trPr>
        <w:tc>
          <w:tcPr>
            <w:tcW w:w="3690" w:type="dxa"/>
            <w:tcBorders>
              <w:top w:val="single" w:sz="6" w:space="0" w:color="000000"/>
              <w:left w:val="single" w:sz="6" w:space="0" w:color="000000"/>
              <w:bottom w:val="single" w:sz="6" w:space="0" w:color="000000"/>
              <w:right w:val="nil"/>
            </w:tcBorders>
          </w:tcPr>
          <w:p w:rsidR="008E3F15" w:rsidRDefault="005F449A">
            <w:pPr>
              <w:spacing w:after="0" w:line="259" w:lineRule="auto"/>
              <w:ind w:left="6" w:right="0" w:firstLine="0"/>
              <w:jc w:val="both"/>
            </w:pPr>
            <w:r>
              <w:rPr>
                <w:bdr w:val="single" w:sz="12" w:space="0" w:color="000000"/>
              </w:rPr>
              <w:t>ЭКГ стресс-тест (индекс Дьюка*)</w:t>
            </w:r>
          </w:p>
        </w:tc>
        <w:tc>
          <w:tcPr>
            <w:tcW w:w="174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≥+5</w:t>
            </w:r>
          </w:p>
        </w:tc>
        <w:tc>
          <w:tcPr>
            <w:tcW w:w="19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+4–10</w:t>
            </w:r>
          </w:p>
        </w:tc>
        <w:tc>
          <w:tcPr>
            <w:tcW w:w="31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≤–11</w:t>
            </w:r>
          </w:p>
        </w:tc>
      </w:tr>
      <w:tr w:rsidR="008E3F15">
        <w:trPr>
          <w:trHeight w:val="810"/>
        </w:trPr>
        <w:tc>
          <w:tcPr>
            <w:tcW w:w="369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Сегменты с дисфункцией при</w:t>
            </w:r>
          </w:p>
          <w:p w:rsidR="008E3F15" w:rsidRDefault="005F449A">
            <w:pPr>
              <w:spacing w:after="0" w:line="259" w:lineRule="auto"/>
              <w:ind w:left="6" w:right="0" w:firstLine="0"/>
            </w:pPr>
            <w:r>
              <w:t>стресс-тесте</w:t>
            </w:r>
          </w:p>
          <w:p w:rsidR="008E3F15" w:rsidRDefault="005F449A">
            <w:pPr>
              <w:spacing w:after="0" w:line="259" w:lineRule="auto"/>
              <w:ind w:left="6" w:right="0" w:firstLine="0"/>
            </w:pPr>
            <w:r>
              <w:t>с эхокардиографией (из 16)</w:t>
            </w:r>
          </w:p>
        </w:tc>
        <w:tc>
          <w:tcPr>
            <w:tcW w:w="17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0</w:t>
            </w:r>
          </w:p>
        </w:tc>
        <w:tc>
          <w:tcPr>
            <w:tcW w:w="19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1–2</w:t>
            </w:r>
          </w:p>
        </w:tc>
        <w:tc>
          <w:tcPr>
            <w:tcW w:w="31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≥3</w:t>
            </w:r>
          </w:p>
        </w:tc>
      </w:tr>
      <w:tr w:rsidR="008E3F15">
        <w:trPr>
          <w:trHeight w:val="1050"/>
        </w:trPr>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6" w:right="0" w:firstLine="0"/>
            </w:pPr>
            <w:r>
              <w:t>Сегменты с дисфункцией при стресс-тесте с магнитнорезонансной томографией</w:t>
            </w:r>
          </w:p>
          <w:p w:rsidR="008E3F15" w:rsidRDefault="005F449A">
            <w:pPr>
              <w:spacing w:after="0" w:line="259" w:lineRule="auto"/>
              <w:ind w:left="6" w:right="0" w:firstLine="0"/>
            </w:pPr>
            <w:r>
              <w:t>(из 16)</w:t>
            </w:r>
          </w:p>
        </w:tc>
        <w:tc>
          <w:tcPr>
            <w:tcW w:w="17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0</w:t>
            </w:r>
          </w:p>
        </w:tc>
        <w:tc>
          <w:tcPr>
            <w:tcW w:w="19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w:t>
            </w:r>
          </w:p>
        </w:tc>
        <w:tc>
          <w:tcPr>
            <w:tcW w:w="31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≥2</w:t>
            </w:r>
          </w:p>
        </w:tc>
      </w:tr>
      <w:tr w:rsidR="008E3F15">
        <w:trPr>
          <w:trHeight w:val="1530"/>
        </w:trPr>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Визуальная оценка площади ишемии мио карда левого желудочка при эмиссионной томографии (SPECT, позитронной эмиссионной томографии)</w:t>
            </w:r>
          </w:p>
        </w:tc>
        <w:tc>
          <w:tcPr>
            <w:tcW w:w="17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&lt;1%</w:t>
            </w:r>
          </w:p>
        </w:tc>
        <w:tc>
          <w:tcPr>
            <w:tcW w:w="19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1–9,9%</w:t>
            </w:r>
          </w:p>
        </w:tc>
        <w:tc>
          <w:tcPr>
            <w:tcW w:w="31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≥10%</w:t>
            </w:r>
          </w:p>
        </w:tc>
      </w:tr>
      <w:tr w:rsidR="008E3F15">
        <w:trPr>
          <w:trHeight w:val="1530"/>
        </w:trPr>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Коронарная ангиография</w:t>
            </w:r>
          </w:p>
        </w:tc>
        <w:tc>
          <w:tcPr>
            <w:tcW w:w="17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189" w:firstLine="0"/>
            </w:pPr>
            <w:r>
              <w:t>Нормальные артерии или бляшки</w:t>
            </w:r>
          </w:p>
        </w:tc>
        <w:tc>
          <w:tcPr>
            <w:tcW w:w="19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Значительный стеноз крупной артерии</w:t>
            </w:r>
          </w:p>
        </w:tc>
        <w:tc>
          <w:tcPr>
            <w:tcW w:w="31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108" w:firstLine="0"/>
            </w:pPr>
            <w:r>
              <w:t>Проксимальные стенозы 3 сосудов или передней нисходящей артерии, стеноз левой артерии, фракционный резерв кровотока ≤0,8</w:t>
            </w:r>
          </w:p>
        </w:tc>
      </w:tr>
    </w:tbl>
    <w:p w:rsidR="008E3F15" w:rsidRDefault="005F449A">
      <w:pPr>
        <w:ind w:left="2" w:right="1821"/>
      </w:pPr>
      <w:r>
        <w:rPr>
          <w:b/>
        </w:rPr>
        <w:t>Примечание.</w:t>
      </w:r>
      <w:r>
        <w:t xml:space="preserve"> * — индекс Дьюка = время нагрузки в мин – (5° отклонение </w:t>
      </w:r>
      <w:r>
        <w:rPr>
          <w:i/>
        </w:rPr>
        <w:t xml:space="preserve">ST </w:t>
      </w:r>
      <w:r>
        <w:t>в миллиметрах) – [4° индекс СК (0 — нет, 1 — есть, 2 — остановка теста)].</w:t>
      </w:r>
    </w:p>
    <w:p w:rsidR="008E3F15" w:rsidRDefault="005F449A">
      <w:pPr>
        <w:ind w:left="2" w:right="15"/>
      </w:pPr>
      <w:r>
        <w:t>Периодическое тестирование с помощью коронарной КТ-ангиографии или стресс-тестов для оценки риска или терапевтических реш</w:t>
      </w:r>
      <w:r>
        <w:t>ений не рекомендуется, если у пациентов при оптимальной медикаментозной терапии клиническое и функциональное состояние без изменения (AHA/ACC).</w:t>
      </w:r>
    </w:p>
    <w:p w:rsidR="008E3F15" w:rsidRDefault="005F449A">
      <w:pPr>
        <w:spacing w:after="65" w:line="259" w:lineRule="auto"/>
        <w:ind w:left="0" w:right="0" w:firstLine="0"/>
      </w:pPr>
      <w:r>
        <w:rPr>
          <w:noProof/>
        </w:rPr>
        <w:drawing>
          <wp:inline distT="0" distB="0" distL="0" distR="0">
            <wp:extent cx="5057775" cy="3733800"/>
            <wp:effectExtent l="0" t="0" r="0" b="0"/>
            <wp:docPr id="4071" name="Picture 4071"/>
            <wp:cNvGraphicFramePr/>
            <a:graphic xmlns:a="http://schemas.openxmlformats.org/drawingml/2006/main">
              <a:graphicData uri="http://schemas.openxmlformats.org/drawingml/2006/picture">
                <pic:pic xmlns:pic="http://schemas.openxmlformats.org/drawingml/2006/picture">
                  <pic:nvPicPr>
                    <pic:cNvPr id="4071" name="Picture 4071"/>
                    <pic:cNvPicPr/>
                  </pic:nvPicPr>
                  <pic:blipFill>
                    <a:blip r:embed="rId18"/>
                    <a:stretch>
                      <a:fillRect/>
                    </a:stretch>
                  </pic:blipFill>
                  <pic:spPr>
                    <a:xfrm>
                      <a:off x="0" y="0"/>
                      <a:ext cx="5057775" cy="3733800"/>
                    </a:xfrm>
                    <a:prstGeom prst="rect">
                      <a:avLst/>
                    </a:prstGeom>
                  </pic:spPr>
                </pic:pic>
              </a:graphicData>
            </a:graphic>
          </wp:inline>
        </w:drawing>
      </w:r>
    </w:p>
    <w:p w:rsidR="008E3F15" w:rsidRDefault="005F449A">
      <w:pPr>
        <w:spacing w:after="359"/>
        <w:ind w:left="2" w:right="15"/>
      </w:pPr>
      <w:r>
        <w:rPr>
          <w:b/>
        </w:rPr>
        <w:t xml:space="preserve">Рис. 2.3. </w:t>
      </w:r>
      <w:r>
        <w:t>Стратегии лечения коронарной болезни в зависимости от сердечно-сосудистого риска</w:t>
      </w:r>
    </w:p>
    <w:p w:rsidR="008E3F15" w:rsidRDefault="005F449A">
      <w:pPr>
        <w:pStyle w:val="Heading1"/>
        <w:ind w:left="2"/>
      </w:pPr>
      <w:r>
        <w:t>Часть I. Сердечно-с</w:t>
      </w:r>
      <w:r>
        <w:t>осудистые болезни</w:t>
      </w:r>
    </w:p>
    <w:p w:rsidR="008E3F15" w:rsidRDefault="005F449A">
      <w:pPr>
        <w:spacing w:after="31"/>
        <w:ind w:left="2" w:right="15"/>
      </w:pPr>
      <w:r>
        <w:t>Лечение</w:t>
      </w:r>
    </w:p>
    <w:p w:rsidR="008E3F15" w:rsidRDefault="005F449A">
      <w:pPr>
        <w:ind w:left="2" w:right="15"/>
      </w:pPr>
      <w:r>
        <w:t>Лечение пациентов с хроническими коронарными синдромами включает, наряду с лекарственными препаратами и инвазивными вмешательствами, мероприятия по контролю факторов риска. При разработке программы лечения важно понимать многофакт</w:t>
      </w:r>
      <w:r>
        <w:t>орную природу ишемии мио карда (</w:t>
      </w:r>
      <w:r>
        <w:rPr>
          <w:b/>
        </w:rPr>
        <w:t>рис. 2.4</w:t>
      </w:r>
      <w:r>
        <w:t>).</w:t>
      </w:r>
    </w:p>
    <w:p w:rsidR="008E3F15" w:rsidRDefault="005F449A">
      <w:pPr>
        <w:spacing w:after="65" w:line="259" w:lineRule="auto"/>
        <w:ind w:left="0" w:right="0" w:firstLine="0"/>
      </w:pPr>
      <w:r>
        <w:rPr>
          <w:noProof/>
        </w:rPr>
        <w:drawing>
          <wp:inline distT="0" distB="0" distL="0" distR="0">
            <wp:extent cx="5057775" cy="2619375"/>
            <wp:effectExtent l="0" t="0" r="0" b="0"/>
            <wp:docPr id="4084" name="Picture 4084"/>
            <wp:cNvGraphicFramePr/>
            <a:graphic xmlns:a="http://schemas.openxmlformats.org/drawingml/2006/main">
              <a:graphicData uri="http://schemas.openxmlformats.org/drawingml/2006/picture">
                <pic:pic xmlns:pic="http://schemas.openxmlformats.org/drawingml/2006/picture">
                  <pic:nvPicPr>
                    <pic:cNvPr id="4084" name="Picture 4084"/>
                    <pic:cNvPicPr/>
                  </pic:nvPicPr>
                  <pic:blipFill>
                    <a:blip r:embed="rId19"/>
                    <a:stretch>
                      <a:fillRect/>
                    </a:stretch>
                  </pic:blipFill>
                  <pic:spPr>
                    <a:xfrm>
                      <a:off x="0" y="0"/>
                      <a:ext cx="5057775" cy="2619375"/>
                    </a:xfrm>
                    <a:prstGeom prst="rect">
                      <a:avLst/>
                    </a:prstGeom>
                  </pic:spPr>
                </pic:pic>
              </a:graphicData>
            </a:graphic>
          </wp:inline>
        </w:drawing>
      </w:r>
    </w:p>
    <w:p w:rsidR="008E3F15" w:rsidRDefault="005F449A">
      <w:pPr>
        <w:spacing w:after="31"/>
        <w:ind w:left="2" w:right="15"/>
      </w:pPr>
      <w:r>
        <w:rPr>
          <w:b/>
        </w:rPr>
        <w:t xml:space="preserve">Рис. 2.4. </w:t>
      </w:r>
      <w:r>
        <w:t>Факторы, влияющие на ишемию мио карда</w:t>
      </w:r>
    </w:p>
    <w:p w:rsidR="008E3F15" w:rsidRDefault="005F449A">
      <w:pPr>
        <w:spacing w:after="179"/>
        <w:ind w:left="2" w:right="15"/>
      </w:pPr>
      <w:r>
        <w:t>Обычно лечение проводится амбулаторно, но в ряде ситуаций может быть показана госпитализация:</w:t>
      </w:r>
    </w:p>
    <w:p w:rsidR="008E3F15" w:rsidRDefault="005F449A">
      <w:pPr>
        <w:spacing w:after="179"/>
        <w:ind w:left="340" w:right="383"/>
      </w:pPr>
      <w:r>
        <w:rPr>
          <w:rFonts w:ascii="Calibri" w:eastAsia="Calibri" w:hAnsi="Calibri" w:cs="Calibri"/>
          <w:noProof/>
          <w:color w:val="000000"/>
          <w:sz w:val="22"/>
        </w:rPr>
        <mc:AlternateContent>
          <mc:Choice Requires="wpg">
            <w:drawing>
              <wp:anchor distT="0" distB="0" distL="114300" distR="114300" simplePos="0" relativeHeight="251695104" behindDoc="0" locked="0" layoutInCell="1" allowOverlap="1">
                <wp:simplePos x="0" y="0"/>
                <wp:positionH relativeFrom="column">
                  <wp:posOffset>209550</wp:posOffset>
                </wp:positionH>
                <wp:positionV relativeFrom="paragraph">
                  <wp:posOffset>34751</wp:posOffset>
                </wp:positionV>
                <wp:extent cx="57150" cy="209550"/>
                <wp:effectExtent l="0" t="0" r="0" b="0"/>
                <wp:wrapSquare wrapText="bothSides"/>
                <wp:docPr id="253911" name="Group 25391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4089" name="Shape 4089"/>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21"/>
                                  <a:pt x="56425" y="35967"/>
                                  <a:pt x="54975" y="39464"/>
                                </a:cubicBezTo>
                                <a:cubicBezTo>
                                  <a:pt x="53525" y="42937"/>
                                  <a:pt x="51460" y="46013"/>
                                  <a:pt x="48781" y="48741"/>
                                </a:cubicBezTo>
                                <a:cubicBezTo>
                                  <a:pt x="46101" y="51420"/>
                                  <a:pt x="43011" y="53504"/>
                                  <a:pt x="39510" y="54942"/>
                                </a:cubicBezTo>
                                <a:cubicBezTo>
                                  <a:pt x="36009" y="56406"/>
                                  <a:pt x="32364" y="57100"/>
                                  <a:pt x="28575" y="57150"/>
                                </a:cubicBezTo>
                                <a:cubicBezTo>
                                  <a:pt x="24786" y="57100"/>
                                  <a:pt x="21141" y="56406"/>
                                  <a:pt x="17640" y="54942"/>
                                </a:cubicBezTo>
                                <a:cubicBezTo>
                                  <a:pt x="14139" y="53504"/>
                                  <a:pt x="11049" y="51420"/>
                                  <a:pt x="8369" y="48741"/>
                                </a:cubicBezTo>
                                <a:cubicBezTo>
                                  <a:pt x="5690" y="46013"/>
                                  <a:pt x="3625" y="42937"/>
                                  <a:pt x="2175" y="39464"/>
                                </a:cubicBezTo>
                                <a:cubicBezTo>
                                  <a:pt x="725" y="35967"/>
                                  <a:pt x="0" y="32321"/>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091" name="Shape 4091"/>
                        <wps:cNvSpPr/>
                        <wps:spPr>
                          <a:xfrm>
                            <a:off x="0" y="1524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62"/>
                                </a:cubicBezTo>
                                <a:cubicBezTo>
                                  <a:pt x="56425" y="21084"/>
                                  <a:pt x="57150" y="24730"/>
                                  <a:pt x="57150" y="28575"/>
                                </a:cubicBezTo>
                                <a:cubicBezTo>
                                  <a:pt x="57150" y="32321"/>
                                  <a:pt x="56425" y="35942"/>
                                  <a:pt x="54975" y="39464"/>
                                </a:cubicBezTo>
                                <a:cubicBezTo>
                                  <a:pt x="53525" y="42937"/>
                                  <a:pt x="51460" y="46013"/>
                                  <a:pt x="48781" y="48741"/>
                                </a:cubicBezTo>
                                <a:cubicBezTo>
                                  <a:pt x="46101" y="51371"/>
                                  <a:pt x="43011" y="53454"/>
                                  <a:pt x="39510" y="54942"/>
                                </a:cubicBezTo>
                                <a:cubicBezTo>
                                  <a:pt x="36009" y="56406"/>
                                  <a:pt x="32364" y="57100"/>
                                  <a:pt x="28575" y="57150"/>
                                </a:cubicBezTo>
                                <a:cubicBezTo>
                                  <a:pt x="24786" y="57100"/>
                                  <a:pt x="21141" y="56406"/>
                                  <a:pt x="17640" y="54942"/>
                                </a:cubicBezTo>
                                <a:cubicBezTo>
                                  <a:pt x="14139" y="53454"/>
                                  <a:pt x="11049" y="51371"/>
                                  <a:pt x="8369" y="48741"/>
                                </a:cubicBezTo>
                                <a:cubicBezTo>
                                  <a:pt x="5690" y="46013"/>
                                  <a:pt x="3625" y="42937"/>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3911" style="width:4.5pt;height:16.5pt;position:absolute;mso-position-horizontal-relative:text;mso-position-horizontal:absolute;margin-left:16.5pt;mso-position-vertical-relative:text;margin-top:2.73633pt;" coordsize="571,2095">
                <v:shape id="Shape 4089" style="position:absolute;width:571;height:571;left:0;top:0;" coordsize="57150,57150" path="m28575,0c32364,0,36009,695,39510,2158c43011,3597,46101,5655,48781,8334c51460,10964,53525,14064,54975,17587c56425,21084,57150,24730,57150,28575c57150,32321,56425,35967,54975,39464c53525,42937,51460,46013,48781,48741c46101,51420,43011,53504,39510,54942c36009,56406,32364,57100,28575,57150c24786,57100,21141,56406,17640,54942c14139,53504,11049,51420,8369,48741c5690,46013,3625,42937,2175,39464c725,35967,0,32321,0,28575c0,24730,725,21084,2175,17587c3625,14064,5690,10964,8369,8334c11049,5655,14139,3597,17640,2158c21141,695,24786,0,28575,0x">
                  <v:stroke weight="0pt" endcap="flat" joinstyle="miter" miterlimit="10" on="false" color="#000000" opacity="0"/>
                  <v:fill on="true" color="#333333"/>
                </v:shape>
                <v:shape id="Shape 4091" style="position:absolute;width:571;height:571;left:0;top:1524;" coordsize="57150,57150" path="m28575,0c32364,0,36009,695,39510,2158c43011,3597,46101,5655,48781,8334c51460,10964,53525,14064,54975,17562c56425,21084,57150,24730,57150,28575c57150,32321,56425,35942,54975,39464c53525,42937,51460,46013,48781,48741c46101,51371,43011,53454,39510,54942c36009,56406,32364,57100,28575,57150c24786,57100,21141,56406,17640,54942c14139,53454,11049,51371,8369,48741c5690,46013,3625,42937,2175,39464c725,35942,0,32321,0,28575c0,24730,725,21084,2175,17562c3625,14064,5690,10964,8369,8334c11049,5655,14139,3597,17640,2158c21141,695,24786,0,28575,0x">
                  <v:stroke weight="0pt" endcap="flat" joinstyle="miter" miterlimit="10" on="false" color="#000000" opacity="0"/>
                  <v:fill on="true" color="#333333"/>
                </v:shape>
                <w10:wrap type="square"/>
              </v:group>
            </w:pict>
          </mc:Fallback>
        </mc:AlternateContent>
      </w:r>
      <w:r>
        <w:t>неясность диагноза (например, когда имеются неишемические торакалгии); трудности в подборе эффективных лекарственных препаратов (например, при сочетанных заболеваниях или частых обострениях коронарной болезни).</w:t>
      </w:r>
    </w:p>
    <w:p w:rsidR="008E3F15" w:rsidRDefault="005F449A">
      <w:pPr>
        <w:ind w:left="2" w:right="15"/>
      </w:pPr>
      <w:r>
        <w:t>Цель лечения заключается в уменьшении симптом</w:t>
      </w:r>
      <w:r>
        <w:t xml:space="preserve">ов, контроле нагрузок на мио кард (ЧСС, АД) и факторов риска, а также в увеличении продолжительности жизни. Рекомендуемые препараты и дозовый режим представлены в </w:t>
      </w:r>
      <w:r>
        <w:rPr>
          <w:b/>
        </w:rPr>
        <w:t>табл. 2.9</w:t>
      </w:r>
      <w:r>
        <w:t xml:space="preserve"> и</w:t>
      </w:r>
      <w:r>
        <w:rPr>
          <w:b/>
        </w:rPr>
        <w:t xml:space="preserve"> 2.10</w:t>
      </w:r>
      <w:r>
        <w:t>.</w:t>
      </w:r>
    </w:p>
    <w:p w:rsidR="008E3F15" w:rsidRDefault="005F449A">
      <w:pPr>
        <w:spacing w:after="31"/>
        <w:ind w:left="2" w:right="15"/>
      </w:pPr>
      <w:r>
        <w:rPr>
          <w:b/>
        </w:rPr>
        <w:t xml:space="preserve">Таблица 2.9. </w:t>
      </w:r>
      <w:r>
        <w:t>Препараты, применяемые для лечения стабильной коронарной болез</w:t>
      </w:r>
      <w:r>
        <w:t>ни</w:t>
      </w:r>
    </w:p>
    <w:tbl>
      <w:tblPr>
        <w:tblStyle w:val="TableGrid"/>
        <w:tblW w:w="10485" w:type="dxa"/>
        <w:tblInd w:w="30" w:type="dxa"/>
        <w:tblCellMar>
          <w:top w:w="80" w:type="dxa"/>
          <w:left w:w="42" w:type="dxa"/>
          <w:bottom w:w="0" w:type="dxa"/>
          <w:right w:w="58" w:type="dxa"/>
        </w:tblCellMar>
        <w:tblLook w:val="04A0" w:firstRow="1" w:lastRow="0" w:firstColumn="1" w:lastColumn="0" w:noHBand="0" w:noVBand="1"/>
      </w:tblPr>
      <w:tblGrid>
        <w:gridCol w:w="2835"/>
        <w:gridCol w:w="7650"/>
      </w:tblGrid>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Группа</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Препараты</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β-Адреноблокаторы</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Атенолол, бисопролол, метопролол, карведилол</w:t>
            </w:r>
          </w:p>
        </w:tc>
      </w:tr>
      <w:tr w:rsidR="008E3F15">
        <w:trPr>
          <w:trHeight w:val="330"/>
        </w:trPr>
        <w:tc>
          <w:tcPr>
            <w:tcW w:w="283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Блокаторы кальциевых каналов</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Верапамил, дилтиазем</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Дигидропиридины: амлодипин, нифедипин продленный, фелодипин</w:t>
            </w:r>
          </w:p>
        </w:tc>
      </w:tr>
      <w:tr w:rsidR="008E3F15">
        <w:trPr>
          <w:trHeight w:val="57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Нитраты</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Продленные формы нитроглицерина, изосорбида динитрат, изосорбида мононитрат</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Антиагреганты</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АСК, клопидогрел, тикагрелор</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Статины</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Аторвастатин, розувастатин</w:t>
            </w:r>
          </w:p>
        </w:tc>
      </w:tr>
      <w:tr w:rsidR="008E3F15">
        <w:trPr>
          <w:trHeight w:val="63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Другие препараты</w:t>
            </w:r>
          </w:p>
        </w:tc>
        <w:tc>
          <w:tcPr>
            <w:tcW w:w="7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Молсидомин, никорандил, ранолазин, ривароксабан,</w:t>
            </w:r>
          </w:p>
          <w:p w:rsidR="008E3F15" w:rsidRDefault="005F449A">
            <w:pPr>
              <w:spacing w:after="0" w:line="259" w:lineRule="auto"/>
              <w:ind w:left="0" w:right="0" w:firstLine="0"/>
              <w:jc w:val="both"/>
            </w:pPr>
            <w:r>
              <w:t>триметазидин, эзетимиб, бемпедоевая кислота</w:t>
            </w:r>
            <w:r>
              <w:rPr>
                <w:rFonts w:ascii="Times New Roman" w:eastAsia="Times New Roman" w:hAnsi="Times New Roman" w:cs="Times New Roman"/>
                <w:sz w:val="31"/>
                <w:vertAlign w:val="superscript"/>
              </w:rPr>
              <w:t>℘</w:t>
            </w:r>
            <w:r>
              <w:t>, ингибиторы PCSK9</w:t>
            </w:r>
          </w:p>
        </w:tc>
      </w:tr>
    </w:tbl>
    <w:p w:rsidR="008E3F15" w:rsidRDefault="005F449A">
      <w:pPr>
        <w:spacing w:after="31"/>
        <w:ind w:left="2" w:right="15"/>
      </w:pPr>
      <w:r>
        <w:rPr>
          <w:b/>
        </w:rPr>
        <w:t xml:space="preserve">Таблица 2.10. </w:t>
      </w:r>
      <w:r>
        <w:t>Дозы препаратов для лечения коронарной болезни</w:t>
      </w:r>
    </w:p>
    <w:tbl>
      <w:tblPr>
        <w:tblStyle w:val="TableGrid"/>
        <w:tblW w:w="10485" w:type="dxa"/>
        <w:tblInd w:w="30" w:type="dxa"/>
        <w:tblCellMar>
          <w:top w:w="80" w:type="dxa"/>
          <w:left w:w="44" w:type="dxa"/>
          <w:bottom w:w="0" w:type="dxa"/>
          <w:right w:w="56" w:type="dxa"/>
        </w:tblCellMar>
        <w:tblLook w:val="04A0" w:firstRow="1" w:lastRow="0" w:firstColumn="1" w:lastColumn="0" w:noHBand="0" w:noVBand="1"/>
      </w:tblPr>
      <w:tblGrid>
        <w:gridCol w:w="3915"/>
        <w:gridCol w:w="3870"/>
        <w:gridCol w:w="2700"/>
      </w:tblGrid>
      <w:tr w:rsidR="008E3F15">
        <w:trPr>
          <w:trHeight w:val="330"/>
        </w:trPr>
        <w:tc>
          <w:tcPr>
            <w:tcW w:w="3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Группа</w:t>
            </w: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Препараты</w:t>
            </w:r>
          </w:p>
        </w:tc>
        <w:tc>
          <w:tcPr>
            <w:tcW w:w="27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rPr>
                <w:b/>
              </w:rPr>
              <w:t>Дозы внутрь</w:t>
            </w:r>
          </w:p>
        </w:tc>
      </w:tr>
      <w:tr w:rsidR="008E3F15">
        <w:trPr>
          <w:trHeight w:val="33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β-Адреноблокаторы</w:t>
            </w:r>
          </w:p>
        </w:tc>
        <w:tc>
          <w:tcPr>
            <w:tcW w:w="3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Атенолол</w:t>
            </w:r>
          </w:p>
        </w:tc>
        <w:tc>
          <w:tcPr>
            <w:tcW w:w="270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pPr>
            <w:r>
              <w:rPr>
                <w:bdr w:val="single" w:sz="12" w:space="0" w:color="000000"/>
              </w:rPr>
              <w:t>25–200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Бисопролол</w:t>
            </w:r>
          </w:p>
        </w:tc>
        <w:tc>
          <w:tcPr>
            <w:tcW w:w="27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Карведилол</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12,5–50 мг 2 раза</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Метопролол</w:t>
            </w:r>
          </w:p>
        </w:tc>
        <w:tc>
          <w:tcPr>
            <w:tcW w:w="27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50–150 мг 2 раза</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Метопролол продленный</w:t>
            </w:r>
          </w:p>
        </w:tc>
        <w:tc>
          <w:tcPr>
            <w:tcW w:w="270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100–300 мг однократно</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Небиволол</w:t>
            </w:r>
          </w:p>
        </w:tc>
        <w:tc>
          <w:tcPr>
            <w:tcW w:w="2700"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2,5–10 мг однократно</w:t>
            </w:r>
          </w:p>
        </w:tc>
      </w:tr>
      <w:tr w:rsidR="008E3F15">
        <w:trPr>
          <w:trHeight w:val="33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Блокаторы кальциевых каналов</w:t>
            </w:r>
          </w:p>
        </w:tc>
        <w:tc>
          <w:tcPr>
            <w:tcW w:w="3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Нифедипин продленный</w:t>
            </w:r>
          </w:p>
        </w:tc>
        <w:tc>
          <w:tcPr>
            <w:tcW w:w="270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pPr>
            <w:r>
              <w:rPr>
                <w:bdr w:val="single" w:sz="12" w:space="0" w:color="000000"/>
              </w:rPr>
              <w:t>30–180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Амлодипин</w:t>
            </w:r>
          </w:p>
        </w:tc>
        <w:tc>
          <w:tcPr>
            <w:tcW w:w="27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Верапамил</w:t>
            </w:r>
          </w:p>
        </w:tc>
        <w:tc>
          <w:tcPr>
            <w:tcW w:w="27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40–160 мг 3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Верапамил продленный</w:t>
            </w:r>
          </w:p>
        </w:tc>
        <w:tc>
          <w:tcPr>
            <w:tcW w:w="270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120–480 мг однократно</w:t>
            </w:r>
          </w:p>
        </w:tc>
      </w:tr>
      <w:tr w:rsidR="008E3F15">
        <w:trPr>
          <w:trHeight w:val="33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Нитраты</w:t>
            </w: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Изосорбида динитрат</w:t>
            </w:r>
          </w:p>
        </w:tc>
        <w:tc>
          <w:tcPr>
            <w:tcW w:w="27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20–60 мг 2 раза</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Изосорбида динитрат продленный</w:t>
            </w:r>
          </w:p>
        </w:tc>
        <w:tc>
          <w:tcPr>
            <w:tcW w:w="27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60–120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Изосорбида мононитрат</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20–40 мг 2 раза</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Изосорбида мононитрат продленный</w:t>
            </w:r>
          </w:p>
        </w:tc>
        <w:tc>
          <w:tcPr>
            <w:tcW w:w="27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50–100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Нитроглицерин продленный</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2,5–13 мг 2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Молсидомин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 мг 2 раза</w:t>
            </w:r>
          </w:p>
        </w:tc>
      </w:tr>
      <w:tr w:rsidR="008E3F15">
        <w:trPr>
          <w:trHeight w:val="57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Противотромботические препараты</w:t>
            </w:r>
          </w:p>
        </w:tc>
        <w:tc>
          <w:tcPr>
            <w:tcW w:w="3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АСК</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75–81 мг/сут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Клопидогрел</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 мг/сут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Тикагрелор</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 мг 2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Ривароксабан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 мг 2 раза</w:t>
            </w:r>
          </w:p>
        </w:tc>
      </w:tr>
      <w:tr w:rsidR="008E3F15">
        <w:trPr>
          <w:trHeight w:val="33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Другие препараты</w:t>
            </w: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Никорандил</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 мг 2 раза в день</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Ранолазин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67" w:firstLine="0"/>
            </w:pPr>
            <w:r>
              <w:t>500–1000 мг 2 раза в день</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Триметазидин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 мг 3 раза; 35 мг</w:t>
            </w:r>
          </w:p>
          <w:p w:rsidR="008E3F15" w:rsidRDefault="005F449A">
            <w:pPr>
              <w:spacing w:after="0" w:line="259" w:lineRule="auto"/>
              <w:ind w:left="0" w:right="0" w:firstLine="0"/>
            </w:pPr>
            <w:r>
              <w:t>2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Эзетимиб</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 мг 1 раз</w:t>
            </w:r>
          </w:p>
        </w:tc>
      </w:tr>
      <w:tr w:rsidR="008E3F15">
        <w:trPr>
          <w:trHeight w:val="330"/>
        </w:trPr>
        <w:tc>
          <w:tcPr>
            <w:tcW w:w="391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Статины</w:t>
            </w: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Аторвастатин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20–80 мг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Питавастатин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 мг однократно</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Розувастатин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10–40 мг однократно</w:t>
            </w:r>
          </w:p>
        </w:tc>
      </w:tr>
    </w:tbl>
    <w:p w:rsidR="008E3F15" w:rsidRDefault="005F449A">
      <w:pPr>
        <w:ind w:left="2" w:right="15"/>
      </w:pPr>
      <w:r>
        <w:rPr>
          <w:b/>
        </w:rPr>
        <w:t>Антиангинальные препараты.</w:t>
      </w:r>
      <w:r>
        <w:t xml:space="preserve"> Для лечения приступа ангинозных болей используют спреи нитратов, которые удобнее и действуют быстрее таблеток. Обычно эффект наступает через 1–</w:t>
      </w:r>
    </w:p>
    <w:p w:rsidR="008E3F15" w:rsidRDefault="005F449A">
      <w:pPr>
        <w:ind w:left="2" w:right="15"/>
      </w:pPr>
      <w:r>
        <w:t>2 мин, достигает максимума через 5–7 мин и продолжается до 20–30 мин. Действие сублин</w:t>
      </w:r>
      <w:r>
        <w:t>гвального изосорбида динитрата проявляется немного позднее, но сохраняется дольше — до 1 ч. Следует предупредить пациента о возможности головной боли (может помочь одновременный прием левоментола) и в редких случаях — значительного снижения АД. β-Адренобло</w:t>
      </w:r>
      <w:r>
        <w:t>каторы являются препаратами выбора при стабильной СК, поскольку могут повысить выживаемость у пациентов после ИМ, при СН и уменьшить риск внезапной смерти. β-Адреноблокаторы титруют до достижения ЧСС 55–60 в мин. В случае СНнФВ предпочтительнее метопролола</w:t>
      </w:r>
      <w:r>
        <w:t xml:space="preserve"> сукцинат, бисопролол или карведилол.</w:t>
      </w:r>
    </w:p>
    <w:p w:rsidR="008E3F15" w:rsidRDefault="005F449A">
      <w:pPr>
        <w:ind w:left="2" w:right="15"/>
      </w:pPr>
      <w:r>
        <w:t>При неэффективности монотерапии β-адреноблокатором или наличии противопоказаний препарат заменяют на другой основной препарат или комбинируют (</w:t>
      </w:r>
      <w:r>
        <w:rPr>
          <w:b/>
        </w:rPr>
        <w:t>рис. 2.5</w:t>
      </w:r>
      <w:r>
        <w:t>).</w:t>
      </w:r>
    </w:p>
    <w:p w:rsidR="008E3F15" w:rsidRDefault="005F449A">
      <w:pPr>
        <w:spacing w:after="359"/>
        <w:ind w:left="2" w:right="15"/>
      </w:pPr>
      <w:r>
        <w:t>Нецелесообразна комбинация трех групп препаратов: β-адреноблокат</w:t>
      </w:r>
      <w:r>
        <w:t>оров, антагонистов кальция и нитратов, так как антиангинальный эффект не повышается, а побочные эффекты могут усилиться (Heidenreich P. et al., 1999).</w:t>
      </w:r>
    </w:p>
    <w:p w:rsidR="008E3F15" w:rsidRDefault="005F449A">
      <w:pPr>
        <w:pStyle w:val="Heading1"/>
        <w:ind w:left="2"/>
      </w:pPr>
      <w:r>
        <w:t>Часть I. Сердечно-сосудистые болезни</w:t>
      </w:r>
    </w:p>
    <w:p w:rsidR="008E3F15" w:rsidRDefault="005F449A">
      <w:pPr>
        <w:spacing w:after="65" w:line="259" w:lineRule="auto"/>
        <w:ind w:left="0" w:right="0" w:firstLine="0"/>
      </w:pPr>
      <w:r>
        <w:rPr>
          <w:noProof/>
        </w:rPr>
        <w:drawing>
          <wp:inline distT="0" distB="0" distL="0" distR="0">
            <wp:extent cx="5057775" cy="3286125"/>
            <wp:effectExtent l="0" t="0" r="0" b="0"/>
            <wp:docPr id="4374" name="Picture 4374"/>
            <wp:cNvGraphicFramePr/>
            <a:graphic xmlns:a="http://schemas.openxmlformats.org/drawingml/2006/main">
              <a:graphicData uri="http://schemas.openxmlformats.org/drawingml/2006/picture">
                <pic:pic xmlns:pic="http://schemas.openxmlformats.org/drawingml/2006/picture">
                  <pic:nvPicPr>
                    <pic:cNvPr id="4374" name="Picture 4374"/>
                    <pic:cNvPicPr/>
                  </pic:nvPicPr>
                  <pic:blipFill>
                    <a:blip r:embed="rId20"/>
                    <a:stretch>
                      <a:fillRect/>
                    </a:stretch>
                  </pic:blipFill>
                  <pic:spPr>
                    <a:xfrm>
                      <a:off x="0" y="0"/>
                      <a:ext cx="5057775" cy="3286125"/>
                    </a:xfrm>
                    <a:prstGeom prst="rect">
                      <a:avLst/>
                    </a:prstGeom>
                  </pic:spPr>
                </pic:pic>
              </a:graphicData>
            </a:graphic>
          </wp:inline>
        </w:drawing>
      </w:r>
    </w:p>
    <w:p w:rsidR="008E3F15" w:rsidRDefault="005F449A">
      <w:pPr>
        <w:ind w:left="2" w:right="15"/>
      </w:pPr>
      <w:r>
        <w:rPr>
          <w:b/>
        </w:rPr>
        <w:t xml:space="preserve">Рис. 2.5. </w:t>
      </w:r>
      <w:r>
        <w:t>Тактика лечения стабильной стенокардии (ESC; ICSI; ACP/A</w:t>
      </w:r>
      <w:r>
        <w:t>CCF/AHA, с изменениями) При существенной роли вазоспазма (вариабельный порог нагрузки, влияние холода, СК покоя) предпочтительнее использовать блокаторы кальциевых каналов, а β-адреноблокаторы могут повысить тонус коронарных артерий.</w:t>
      </w:r>
    </w:p>
    <w:p w:rsidR="008E3F15" w:rsidRDefault="005F449A">
      <w:pPr>
        <w:ind w:left="2" w:right="15"/>
      </w:pPr>
      <w:r>
        <w:t>У пациентов с систолич</w:t>
      </w:r>
      <w:r>
        <w:t>еской обструкцией коронарных артерий, вызванной мышечными мостиками, предпочтительнее β-адреноблокаторы и блокаторы кальциевых каналов типа верапамила, которые оказывают эффект за счет удлинения диастолического коронарного</w:t>
      </w:r>
    </w:p>
    <w:p w:rsidR="008E3F15" w:rsidRDefault="005F449A">
      <w:pPr>
        <w:spacing w:after="31"/>
        <w:ind w:left="2" w:right="15"/>
      </w:pPr>
      <w:r>
        <w:t>кровотока (Corban M. et al., 2014</w:t>
      </w:r>
      <w:r>
        <w:t>). Вазодилатирующие препараты в этих случаях</w:t>
      </w:r>
    </w:p>
    <w:p w:rsidR="008E3F15" w:rsidRDefault="005F449A">
      <w:pPr>
        <w:ind w:left="2" w:right="15"/>
      </w:pPr>
      <w:r>
        <w:t>малоэффективны, а нитраты не показаны ввиду усиления компрессии сосуда (Hongo Y. et al., 1999).</w:t>
      </w:r>
    </w:p>
    <w:p w:rsidR="008E3F15" w:rsidRDefault="005F449A">
      <w:pPr>
        <w:ind w:left="2" w:right="147"/>
      </w:pPr>
      <w:r>
        <w:t>Ранолазин, селективный ингибитор позднего тока ионов натрия, обладает антиишемическим эффектом, может улучшить контроль аритмий сердца и гликемии (MERLIN-TIMI 36). Дополнительные свойства и больший антиишемический эффект препарата делают его привлекательне</w:t>
      </w:r>
      <w:r>
        <w:t>е триметазидина (Belsey J. et al., 2014). Эти препараты не влияют существенно на АД и ЧСС и могут шире использоваться при выраженной коморбидности. Возможности цитопротекторов не следует преувеличивать: у пациентов после реваскуляризации добавление тримета</w:t>
      </w:r>
      <w:r>
        <w:t>зидина к обычному лечению не повлияло существенно на прогноз, включая обострения коронарной болезни и СН в исследовании ATPCI.</w:t>
      </w:r>
    </w:p>
    <w:p w:rsidR="008E3F15" w:rsidRDefault="005F449A">
      <w:pPr>
        <w:ind w:left="2" w:right="15"/>
      </w:pPr>
      <w:r>
        <w:t xml:space="preserve">Добавление к основному лечению ивабрадина снизило ЧСС на 10 ударов в мин, однако не изменило частоты сердечно-сосудистых смертей </w:t>
      </w:r>
      <w:r>
        <w:t>и ИМ, а у пациентов со СК II–IV ФК риск даже увеличился на 18% (SIGNIFY). Поэтому препарат можно рассмотреть для применения лишь у пациентов с дисфункцией левого желудочка с ФВЛЖ ≤35% и ЧСС ≥70 в мин, несмотря на максимальную дозу β-адреноблокатора (Управл</w:t>
      </w:r>
      <w:r>
        <w:t>ение по контролю качества пищевых продуктов и лекарственных средств). Одновременное применение ивабрадина с верапамилом или дилтиаземом противопоказано.</w:t>
      </w:r>
    </w:p>
    <w:p w:rsidR="008E3F15" w:rsidRDefault="005F449A">
      <w:pPr>
        <w:ind w:left="2" w:right="15"/>
      </w:pPr>
      <w:r>
        <w:t>Эффективность иАПФ при стабильной СК без дополнительных показаний не была подтверждена.</w:t>
      </w:r>
    </w:p>
    <w:p w:rsidR="008E3F15" w:rsidRDefault="005F449A">
      <w:pPr>
        <w:ind w:left="2" w:right="301"/>
      </w:pPr>
      <w:r>
        <w:rPr>
          <w:b/>
        </w:rPr>
        <w:t>Антитромботичес</w:t>
      </w:r>
      <w:r>
        <w:rPr>
          <w:b/>
        </w:rPr>
        <w:t>кое лечение.</w:t>
      </w:r>
      <w:r>
        <w:t xml:space="preserve"> АСК в дозе 75–100 мг/сут пациенты принимают постоянно. Минимально эффективная доза АСК позволяет снизить риск гастроинтестинальных осложнений, а кишечнорастворимая оболочка не влияет существенно на эффективность и безопасность препарата (Sleem</w:t>
      </w:r>
      <w:r>
        <w:t xml:space="preserve"> A. et al., 2023). Комбинация АСК с обволакивающими веществами может снизить биодоступность препарата. Монотерапия P2Y12-ингибиторами способна лучше АСК предупреждать ИМ при сопоставимой частоте кровотечений у пациентов с коронарной болезнью (Gragnano F. e</w:t>
      </w:r>
      <w:r>
        <w:t>t al., 2023).</w:t>
      </w:r>
    </w:p>
    <w:p w:rsidR="008E3F15" w:rsidRDefault="005F449A">
      <w:pPr>
        <w:ind w:left="2" w:right="146"/>
      </w:pPr>
      <w:r>
        <w:t>В случаях очень высокого сердечно-сосудистого риска и низкой вероятности больших кровотечений можно рассмотреть возможность усиления антитромботического лечения. У пациентов с СД и стабильной коронарной болезнью прием тикагрелора 60 мг дважды</w:t>
      </w:r>
      <w:r>
        <w:t xml:space="preserve"> вместе с АСК 75–100 мг в течение 3 лет снизил риск ишемических ССЗ при небольшом возрастании частоты нефатальных кровотечений (THEMIS). Ривароксабан в дозе 2,5 мг 2 раза в сочетании с АСК 100 мг/сут может снизить частоту ССЗ у пациентов со стабильной коро</w:t>
      </w:r>
      <w:r>
        <w:t>нарной болезнью по сравнению с монотерапией АСК (COMPASS). Эффект был достигнут преимущественно за счет снижения риска ишемического инсульта, но не ИМ, при этом возрос риск больших кровотечений.</w:t>
      </w:r>
    </w:p>
    <w:p w:rsidR="008E3F15" w:rsidRDefault="005F449A">
      <w:pPr>
        <w:ind w:left="2" w:right="761"/>
      </w:pPr>
      <w:r>
        <w:rPr>
          <w:b/>
        </w:rPr>
        <w:t>Липиднормализующие препараты.</w:t>
      </w:r>
      <w:r>
        <w:t>Во многих исследованиях показано</w:t>
      </w:r>
      <w:r>
        <w:t>, что снижение сердечно-сосудистых событий пропорционально понижению уровня ХС ЛНП в крови у пациентов с ССЗ (Koskinas K. et al., 2018).</w:t>
      </w:r>
    </w:p>
    <w:p w:rsidR="008E3F15" w:rsidRDefault="005F449A">
      <w:pPr>
        <w:ind w:left="2" w:right="202"/>
      </w:pPr>
      <w:r>
        <w:t>Лечение статинами направлено на стабилизацию атеросклеротических бляшек (снижение воспаления, укрепление капсулы) и снижение риска разрывов. Рекомендация назначать статины на ночь основана на старом исследовании, показавшем снижение уровня холестерина ~10%</w:t>
      </w:r>
      <w:r>
        <w:t>, в то время как последний кокрейновский метаанализ не выявил существенного влияния на уровень ХС ЛНП и риск побочных эффектов вечернего приема по сравнению с утренним (Wallace A. et al., 2003).</w:t>
      </w:r>
    </w:p>
    <w:p w:rsidR="008E3F15" w:rsidRDefault="005F449A">
      <w:pPr>
        <w:ind w:left="2" w:right="15"/>
      </w:pPr>
      <w:r>
        <w:t>Рекомендуется интенсивная терапия максимальными дозами статин</w:t>
      </w:r>
      <w:r>
        <w:t>ов (аторвастатин 80 мг, розувастатин 20–40 мг), чтобы добиться снижения содержания ХС ЛНП в плазме крови до уровня ≥50% от исходного и &lt;1,4 ммоль/л (</w:t>
      </w:r>
      <w:r>
        <w:rPr>
          <w:b/>
        </w:rPr>
        <w:t>рис. 2.6</w:t>
      </w:r>
      <w:r>
        <w:t>). В рандомизированном исследовании LODESTAR эффективность аторвастатина и розувастатина у пациенто</w:t>
      </w:r>
      <w:r>
        <w:t>в с коронарной болезнью оказалась сопоставимой.</w:t>
      </w:r>
    </w:p>
    <w:p w:rsidR="008E3F15" w:rsidRDefault="005F449A">
      <w:pPr>
        <w:spacing w:after="65" w:line="259" w:lineRule="auto"/>
        <w:ind w:left="0" w:right="0" w:firstLine="0"/>
      </w:pPr>
      <w:r>
        <w:rPr>
          <w:noProof/>
        </w:rPr>
        <w:drawing>
          <wp:inline distT="0" distB="0" distL="0" distR="0">
            <wp:extent cx="4495800" cy="3819525"/>
            <wp:effectExtent l="0" t="0" r="0" b="0"/>
            <wp:docPr id="4451" name="Picture 4451"/>
            <wp:cNvGraphicFramePr/>
            <a:graphic xmlns:a="http://schemas.openxmlformats.org/drawingml/2006/main">
              <a:graphicData uri="http://schemas.openxmlformats.org/drawingml/2006/picture">
                <pic:pic xmlns:pic="http://schemas.openxmlformats.org/drawingml/2006/picture">
                  <pic:nvPicPr>
                    <pic:cNvPr id="4451" name="Picture 4451"/>
                    <pic:cNvPicPr/>
                  </pic:nvPicPr>
                  <pic:blipFill>
                    <a:blip r:embed="rId21"/>
                    <a:stretch>
                      <a:fillRect/>
                    </a:stretch>
                  </pic:blipFill>
                  <pic:spPr>
                    <a:xfrm>
                      <a:off x="0" y="0"/>
                      <a:ext cx="4495800" cy="3819525"/>
                    </a:xfrm>
                    <a:prstGeom prst="rect">
                      <a:avLst/>
                    </a:prstGeom>
                  </pic:spPr>
                </pic:pic>
              </a:graphicData>
            </a:graphic>
          </wp:inline>
        </w:drawing>
      </w:r>
    </w:p>
    <w:p w:rsidR="008E3F15" w:rsidRDefault="005F449A">
      <w:pPr>
        <w:ind w:left="2" w:right="676"/>
      </w:pPr>
      <w:r>
        <w:rPr>
          <w:b/>
        </w:rPr>
        <w:t xml:space="preserve">Рис. 2.6. </w:t>
      </w:r>
      <w:r>
        <w:t>Лечение атеросклероза и дислипидемии у пациентов высокого риска (ESC) Использование целевого уровня может привести к недостаточному лечению пациентов с исходно низким уровнем ХС ЛНП. Чем выше доза</w:t>
      </w:r>
      <w:r>
        <w:t xml:space="preserve"> статинов, тем ниже смертность у пациентов с атеросклеротическими заболеваниями (Rodriguez F. et al., 2017).</w:t>
      </w:r>
    </w:p>
    <w:p w:rsidR="008E3F15" w:rsidRDefault="005F449A">
      <w:pPr>
        <w:ind w:left="2" w:right="15"/>
      </w:pPr>
      <w:r>
        <w:t xml:space="preserve">Статины эффективно уменьшают смертность у пациентов с коронарной болезнью в возрасте 65–80 лет (HPS, PROSPER). У азиатов эффективные дозы статинов </w:t>
      </w:r>
      <w:r>
        <w:t>обычно ниже, например 2,5– 20 мг розувастатина или 10–40 мг аторвастатина (таблетки статинов можно делить).</w:t>
      </w:r>
    </w:p>
    <w:p w:rsidR="008E3F15" w:rsidRDefault="005F449A">
      <w:pPr>
        <w:ind w:left="2" w:right="15"/>
      </w:pPr>
      <w:r>
        <w:t>Снижение холестерина липопротеинов промежуточной плотности &lt;0,4 ммоль/л не приводит к увеличению частоты побочных эффектов и нейрокогнитивных наруше</w:t>
      </w:r>
      <w:r>
        <w:t>ний (Robinson J. et al., 2017).</w:t>
      </w:r>
    </w:p>
    <w:p w:rsidR="008E3F15" w:rsidRDefault="005F449A">
      <w:pPr>
        <w:pStyle w:val="Heading1"/>
        <w:ind w:left="2"/>
      </w:pPr>
      <w:r>
        <w:t>Часть I. Сердечно-сосудистые болезни</w:t>
      </w:r>
    </w:p>
    <w:p w:rsidR="008E3F15" w:rsidRDefault="005F449A">
      <w:pPr>
        <w:ind w:left="2" w:right="15"/>
      </w:pPr>
      <w:r>
        <w:t>Эзетимиб может быть использован вместе со статинами при невозможности достичь поставленных целей с помощью монотерапии, особенно у пациентов высокого риска (IMPROVE-IT).</w:t>
      </w:r>
    </w:p>
    <w:p w:rsidR="008E3F15" w:rsidRDefault="005F449A">
      <w:pPr>
        <w:spacing w:after="31"/>
        <w:ind w:left="2" w:right="15"/>
      </w:pPr>
      <w:r>
        <w:t>При недостаточном</w:t>
      </w:r>
      <w:r>
        <w:t xml:space="preserve"> эффекте максимальных доз статинов по снижению ХС ЛНП можно использовать моноклональные антитела к ферменту PCSK9 (алирокумаб, эволокумаб), которые могут снизить частоту ишемических событий, однако весьма дороги (см. рис. 2.6).</w:t>
      </w:r>
    </w:p>
    <w:p w:rsidR="008E3F15" w:rsidRDefault="005F449A">
      <w:pPr>
        <w:ind w:left="2" w:right="15"/>
      </w:pPr>
      <w:r>
        <w:t>Бемпедоевая кислота</w:t>
      </w:r>
      <w:r>
        <w:rPr>
          <w:rFonts w:ascii="Times New Roman" w:eastAsia="Times New Roman" w:hAnsi="Times New Roman" w:cs="Times New Roman"/>
          <w:sz w:val="31"/>
          <w:vertAlign w:val="superscript"/>
        </w:rPr>
        <w:t>℘</w:t>
      </w:r>
      <w:r>
        <w:t xml:space="preserve"> при доб</w:t>
      </w:r>
      <w:r>
        <w:t>авлении к максимальной дозе статинов снижает ХС ЛНП без учащения побочных эффектов (CLEAR WISDOM).</w:t>
      </w:r>
    </w:p>
    <w:p w:rsidR="008E3F15" w:rsidRDefault="005F449A">
      <w:pPr>
        <w:ind w:left="2" w:right="246"/>
      </w:pPr>
      <w:r>
        <w:rPr>
          <w:b/>
        </w:rPr>
        <w:t xml:space="preserve">Контроль факторов риска. </w:t>
      </w:r>
      <w:r>
        <w:t>Контроль коморбидных факторов риска существенно влияет на прогноз заболевания и позволяет предупредить 35–50% смертей от коронарной болезни</w:t>
      </w:r>
    </w:p>
    <w:p w:rsidR="008E3F15" w:rsidRDefault="005F449A">
      <w:pPr>
        <w:spacing w:after="31"/>
        <w:ind w:left="2" w:right="15"/>
      </w:pPr>
      <w:r>
        <w:t>(Ogata S. et al., 2019; Ananth C. et al., 2023).</w:t>
      </w:r>
    </w:p>
    <w:p w:rsidR="008E3F15" w:rsidRDefault="005F449A">
      <w:pPr>
        <w:ind w:left="2" w:right="15"/>
      </w:pPr>
      <w:r>
        <w:t>Рекомендуется при артериальной гипертензии снижать АД до уровня 130</w:t>
      </w:r>
      <w:r>
        <w:t>–139/70–79 мм рт.ст. у пожилых 65 лет и старше, 120–129 мм рт.ст. в более молодом возрасте.</w:t>
      </w:r>
    </w:p>
    <w:p w:rsidR="008E3F15" w:rsidRDefault="005F449A">
      <w:pPr>
        <w:ind w:left="2" w:right="187"/>
      </w:pPr>
      <w:r>
        <w:t>Регулярные аэробные физические нагрузки (30–60 мин умеренных нагрузок ≥5 дней в нед) у пациентов с коронарной болезнью снижают сердечно-сосудистую смертность и част</w:t>
      </w:r>
      <w:r>
        <w:t>оту повторных сердечных событий и госпитализаций (Dibben G. et al., 2023). Особенно велика польза нагрузок у пациентов, ведущих сидячий образ жизни и с высоким риском (STABILITY). Для уменьшения зависимости от табака используется варениклин, который стимул</w:t>
      </w:r>
      <w:r>
        <w:t>ирует α4β2-никотиновые рецепторы мозга и уменьшает тягу к курению. В рандомизированном исследовании EAGLES прием варениклина в течение 52 нед не увеличил риск ССЗ, наблюдаемый в ряде исследований, что позволяет чаще использовать препарат для борьбы с курен</w:t>
      </w:r>
      <w:r>
        <w:t>ием.</w:t>
      </w:r>
    </w:p>
    <w:p w:rsidR="008E3F15" w:rsidRDefault="005F449A">
      <w:pPr>
        <w:ind w:left="2" w:right="15"/>
      </w:pPr>
      <w:r>
        <w:t>Электронные сигареты являются ингаляторами личного пользования с аэрозольными генераторами малой мощности и могут вызывать меньше негативных последствий, чем сжигаемый табак. Большинство e-жидкостей содержат 24 мг/мл, 18 мг/мл, 12 мг/мл или 6 мг/ мл н</w:t>
      </w:r>
      <w:r>
        <w:t>икотина и классифицируются производителями как крепкие, умеренные или легкие. Доза получаемого никотина зависит не только от концентрации, но и от мощности испарителя. Как и для традиционных сигарет, возможно развитие зависимости. Электронные сигареты оказ</w:t>
      </w:r>
      <w:r>
        <w:t>ались более эффективными в лечении зависимости, чем никотинзаместительная терапия (Cochrane Reviews; Hajek P. et al., 2019).</w:t>
      </w:r>
    </w:p>
    <w:p w:rsidR="008E3F15" w:rsidRDefault="005F449A">
      <w:pPr>
        <w:ind w:left="2" w:right="103"/>
      </w:pPr>
      <w:r>
        <w:t>Отказ от курения нередко сопровождается увеличением массы тела, в среднем на 5–7 кг при длительном наблюдении, которое хотя и повыш</w:t>
      </w:r>
      <w:r>
        <w:t>ает кратковременно риск СД 2-го типа, но не влияет существенно на снижение риска ССЗ, общей и сердечно-сосудистой смертности</w:t>
      </w:r>
    </w:p>
    <w:p w:rsidR="008E3F15" w:rsidRDefault="005F449A">
      <w:pPr>
        <w:spacing w:after="31"/>
        <w:ind w:left="2" w:right="15"/>
      </w:pPr>
      <w:r>
        <w:t>(Clair C. et al., 2013; Hu Y. et al., 2018).</w:t>
      </w:r>
    </w:p>
    <w:p w:rsidR="008E3F15" w:rsidRDefault="005F449A">
      <w:pPr>
        <w:ind w:left="2" w:right="184"/>
      </w:pPr>
      <w:r>
        <w:t xml:space="preserve">Средиземноморская диета замедляет прогрессирование атеросклероза и снижает риск ССЗ у </w:t>
      </w:r>
      <w:r>
        <w:t>пациентов с коронарной болезнью и без таковой (PREDIMED, IMPROVE; STABILITY; CORDIOPREV).</w:t>
      </w:r>
    </w:p>
    <w:p w:rsidR="008E3F15" w:rsidRDefault="005F449A">
      <w:pPr>
        <w:spacing w:after="359"/>
        <w:ind w:left="2" w:right="15"/>
      </w:pPr>
      <w:r>
        <w:t>Важно исключить из рациона продукты с ненасыщенными трансжирами, которые образуются при гидрогенизации растительного жира с получением дешевого твердого, тугоплавкого</w:t>
      </w:r>
      <w:r>
        <w:t xml:space="preserve"> жира (саломаса) с длительными сроками хранения. Последний широко используется в маргарине, кондитерском, кулинарном, хлебопекарном жирах, заменителе масла какао. Ненасыщенные трансжиры, в отличие от животных жиров и ненасыщенных цис-жиров, повышают общую </w:t>
      </w:r>
      <w:r>
        <w:t>смертность и смертность от коронарной болезни (de Souza R. et al., 2015). При выборе антигипергликемических препаратов следует учитывать данные недавних исследований, показавших возможность снижения риска ССЗ и общей смертности у пациентов с коронарной бол</w:t>
      </w:r>
      <w:r>
        <w:t xml:space="preserve">езнью при лечении СД с помощью иНГЛТ-2 и арГПП-1. Следует ограничить использование препаратов сульфонилмочевины (ПСМ) в связи с возможным увеличением риска сердечно-сосудистых событий. Неблагоприятные эффекты ПСМ связывают с повышенной (например, в 4 раза </w:t>
      </w:r>
      <w:r>
        <w:t>чаще метформина) частотой гипогликемии, которая нежелательна у пациентов с коронарной болезнью.</w:t>
      </w:r>
    </w:p>
    <w:p w:rsidR="008E3F15" w:rsidRDefault="005F449A">
      <w:pPr>
        <w:pStyle w:val="Heading1"/>
        <w:ind w:left="2"/>
      </w:pPr>
      <w:r>
        <w:t>Часть I. Сердечно-сосудистые болезни</w:t>
      </w:r>
    </w:p>
    <w:p w:rsidR="008E3F15" w:rsidRDefault="005F449A">
      <w:pPr>
        <w:spacing w:after="31"/>
        <w:ind w:left="2" w:right="15"/>
      </w:pPr>
      <w:r>
        <w:t>Реваскуляризация мио карда</w:t>
      </w:r>
    </w:p>
    <w:p w:rsidR="008E3F15" w:rsidRDefault="005F449A">
      <w:pPr>
        <w:ind w:left="2" w:right="128"/>
      </w:pPr>
      <w:r>
        <w:t>Инвазивное восстановление кровоснабжения мио карда включает КШ и значительно чаще применяемое ЧК</w:t>
      </w:r>
      <w:r>
        <w:t>В. Такие вмешательства временно улучшают кровоснабжение мио карда в областях с ишемией, но не снижают темпов прогрессирования коронарного атеросклероза</w:t>
      </w:r>
    </w:p>
    <w:p w:rsidR="008E3F15" w:rsidRDefault="005F449A">
      <w:pPr>
        <w:spacing w:after="31"/>
        <w:ind w:left="2" w:right="15"/>
      </w:pPr>
      <w:r>
        <w:t>(Yoon S. et al., 2016).</w:t>
      </w:r>
    </w:p>
    <w:p w:rsidR="008E3F15" w:rsidRDefault="005F449A">
      <w:pPr>
        <w:ind w:left="2" w:right="296"/>
      </w:pPr>
      <w:r>
        <w:t>Как и при других операциях, наблюдается закономерность — чем больше объем операт</w:t>
      </w:r>
      <w:r>
        <w:t>ивных вмешательств в госпитале и у оператора, тем ниже риск осложнений и смертность. Например, госпитальная смертность в США у операторов, выполняющих &lt;50, 50–100 и &gt;100 коронарных вмешательств при хронической и острой коронарной болезни, составила 1,8, 1,</w:t>
      </w:r>
      <w:r>
        <w:t>7 и 1,5% (Fanaroff A. et al., 2017).</w:t>
      </w:r>
    </w:p>
    <w:p w:rsidR="008E3F15" w:rsidRDefault="005F449A">
      <w:pPr>
        <w:spacing w:after="200"/>
        <w:ind w:left="2" w:right="15"/>
      </w:pPr>
      <w:r>
        <w:t>Точнее определить эффективность планируемой реваскуляризации, особенно при сложности в оценке ишемии мио карда у пациентов с промежуточным стенозом, можно с помощью фракционного резерва кровотока. Коронарный проводник р</w:t>
      </w:r>
      <w:r>
        <w:t>егистрирует внутриартериальное давление, и рассчитывается отношение давления до и после стеноза на фоне введения вазодилататора (норма 1–0,8). Методика позволяет улучшить исходы в течение 2 лет, уменьшить число имплантируемых стентов и повторных реваскуляр</w:t>
      </w:r>
      <w:r>
        <w:t xml:space="preserve">изаций, однако возрастает стоимость обследования (DEFER; FAME 1–3; RIPCORD). </w:t>
      </w:r>
      <w:r>
        <w:rPr>
          <w:i/>
        </w:rPr>
        <w:t>Показания для реваскуляризации мио карда (ESC/EACTS):</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60346" name="Group 26034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589" name="Shape 4589"/>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06"/>
                                  <a:pt x="48781" y="8334"/>
                                </a:cubicBezTo>
                                <a:cubicBezTo>
                                  <a:pt x="51460" y="10964"/>
                                  <a:pt x="53525" y="14064"/>
                                  <a:pt x="54975" y="17587"/>
                                </a:cubicBezTo>
                                <a:cubicBezTo>
                                  <a:pt x="56425" y="21084"/>
                                  <a:pt x="57150" y="24730"/>
                                  <a:pt x="57150" y="28575"/>
                                </a:cubicBezTo>
                                <a:cubicBezTo>
                                  <a:pt x="57150" y="32321"/>
                                  <a:pt x="56425" y="35967"/>
                                  <a:pt x="54975" y="39464"/>
                                </a:cubicBezTo>
                                <a:cubicBezTo>
                                  <a:pt x="53525" y="42937"/>
                                  <a:pt x="51460" y="46013"/>
                                  <a:pt x="48781" y="48741"/>
                                </a:cubicBezTo>
                                <a:cubicBezTo>
                                  <a:pt x="46101" y="51420"/>
                                  <a:pt x="43011" y="53504"/>
                                  <a:pt x="39510" y="54942"/>
                                </a:cubicBezTo>
                                <a:cubicBezTo>
                                  <a:pt x="36009" y="56406"/>
                                  <a:pt x="32364" y="57100"/>
                                  <a:pt x="28575" y="57150"/>
                                </a:cubicBezTo>
                                <a:cubicBezTo>
                                  <a:pt x="24786" y="57100"/>
                                  <a:pt x="21141" y="56406"/>
                                  <a:pt x="17640" y="54942"/>
                                </a:cubicBezTo>
                                <a:cubicBezTo>
                                  <a:pt x="14139" y="53504"/>
                                  <a:pt x="11049" y="51420"/>
                                  <a:pt x="8369" y="48741"/>
                                </a:cubicBezTo>
                                <a:cubicBezTo>
                                  <a:pt x="5690" y="46013"/>
                                  <a:pt x="3625" y="42937"/>
                                  <a:pt x="2175" y="39464"/>
                                </a:cubicBezTo>
                                <a:cubicBezTo>
                                  <a:pt x="725" y="35967"/>
                                  <a:pt x="0" y="32321"/>
                                  <a:pt x="0" y="28575"/>
                                </a:cubicBezTo>
                                <a:cubicBezTo>
                                  <a:pt x="0" y="24730"/>
                                  <a:pt x="725" y="21084"/>
                                  <a:pt x="2175" y="17587"/>
                                </a:cubicBezTo>
                                <a:cubicBezTo>
                                  <a:pt x="3625" y="14064"/>
                                  <a:pt x="5690" y="10964"/>
                                  <a:pt x="8369" y="8334"/>
                                </a:cubicBezTo>
                                <a:cubicBezTo>
                                  <a:pt x="11049" y="5606"/>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60346" style="width:4.5pt;height:4.5pt;mso-position-horizontal-relative:char;mso-position-vertical-relative:line" coordsize="571,571">
                <v:shape id="Shape 4589" style="position:absolute;width:571;height:571;left:0;top:0;" coordsize="57150,57150" path="m28575,0c32364,0,36009,695,39510,2108c43011,3572,46101,5606,48781,8334c51460,10964,53525,14064,54975,17587c56425,21084,57150,24730,57150,28575c57150,32321,56425,35967,54975,39464c53525,42937,51460,46013,48781,48741c46101,51420,43011,53504,39510,54942c36009,56406,32364,57100,28575,57150c24786,57100,21141,56406,17640,54942c14139,53504,11049,51420,8369,48741c5690,46013,3625,42937,2175,39464c725,35967,0,32321,0,28575c0,24730,725,21084,2175,17587c3625,14064,5690,10964,8369,8334c11049,5606,14139,3572,17640,2108c21141,695,24786,0,28575,0x">
                  <v:stroke weight="0pt" endcap="flat" joinstyle="miter" miterlimit="4" on="false" color="#000000" opacity="0"/>
                  <v:fill on="true" color="#333333"/>
                </v:shape>
              </v:group>
            </w:pict>
          </mc:Fallback>
        </mc:AlternateContent>
      </w:r>
      <w:r>
        <w:t xml:space="preserve"> ограничивающая СК или ее эквивалент с недостаточным ответом на оптимальное медикаментозное лечение при гемодинамически значимом коронарном стенозе (документированная ишемия или нарушение гемодинамики с фракционным резервом</w:t>
      </w:r>
    </w:p>
    <w:p w:rsidR="008E3F15" w:rsidRDefault="005F449A">
      <w:pPr>
        <w:ind w:left="340" w:right="1256"/>
      </w:pPr>
      <w:r>
        <w:rPr>
          <w:rFonts w:ascii="Calibri" w:eastAsia="Calibri" w:hAnsi="Calibri" w:cs="Calibri"/>
          <w:noProof/>
          <w:color w:val="000000"/>
          <w:sz w:val="22"/>
        </w:rPr>
        <mc:AlternateContent>
          <mc:Choice Requires="wpg">
            <w:drawing>
              <wp:anchor distT="0" distB="0" distL="114300" distR="114300" simplePos="0" relativeHeight="251696128" behindDoc="0" locked="0" layoutInCell="1" allowOverlap="1">
                <wp:simplePos x="0" y="0"/>
                <wp:positionH relativeFrom="column">
                  <wp:posOffset>209550</wp:posOffset>
                </wp:positionH>
                <wp:positionV relativeFrom="paragraph">
                  <wp:posOffset>187151</wp:posOffset>
                </wp:positionV>
                <wp:extent cx="57150" cy="971550"/>
                <wp:effectExtent l="0" t="0" r="0" b="0"/>
                <wp:wrapSquare wrapText="bothSides"/>
                <wp:docPr id="260347" name="Group 260347"/>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4594" name="Shape 4594"/>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1" y="8334"/>
                                </a:cubicBezTo>
                                <a:cubicBezTo>
                                  <a:pt x="51460" y="10964"/>
                                  <a:pt x="53525" y="14064"/>
                                  <a:pt x="54975" y="17562"/>
                                </a:cubicBezTo>
                                <a:cubicBezTo>
                                  <a:pt x="56425" y="21059"/>
                                  <a:pt x="57150" y="24730"/>
                                  <a:pt x="57150" y="28575"/>
                                </a:cubicBezTo>
                                <a:cubicBezTo>
                                  <a:pt x="57150" y="32321"/>
                                  <a:pt x="56425" y="35967"/>
                                  <a:pt x="54975" y="39514"/>
                                </a:cubicBezTo>
                                <a:cubicBezTo>
                                  <a:pt x="53525" y="42962"/>
                                  <a:pt x="51460" y="46062"/>
                                  <a:pt x="48781" y="48766"/>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66"/>
                                </a:cubicBezTo>
                                <a:cubicBezTo>
                                  <a:pt x="5690" y="46062"/>
                                  <a:pt x="3625" y="42962"/>
                                  <a:pt x="2175" y="39514"/>
                                </a:cubicBezTo>
                                <a:cubicBezTo>
                                  <a:pt x="725" y="35967"/>
                                  <a:pt x="0" y="32321"/>
                                  <a:pt x="0" y="28575"/>
                                </a:cubicBezTo>
                                <a:cubicBezTo>
                                  <a:pt x="0" y="24730"/>
                                  <a:pt x="725" y="21059"/>
                                  <a:pt x="2175" y="17562"/>
                                </a:cubicBezTo>
                                <a:cubicBezTo>
                                  <a:pt x="3625" y="14064"/>
                                  <a:pt x="5690" y="10964"/>
                                  <a:pt x="8369" y="8334"/>
                                </a:cubicBezTo>
                                <a:cubicBezTo>
                                  <a:pt x="11049" y="5655"/>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597" name="Shape 4597"/>
                        <wps:cNvSpPr/>
                        <wps:spPr>
                          <a:xfrm>
                            <a:off x="0" y="3048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62"/>
                                </a:cubicBezTo>
                                <a:cubicBezTo>
                                  <a:pt x="56425" y="21059"/>
                                  <a:pt x="57150" y="24730"/>
                                  <a:pt x="57150" y="28575"/>
                                </a:cubicBezTo>
                                <a:cubicBezTo>
                                  <a:pt x="57150" y="32321"/>
                                  <a:pt x="56425" y="35942"/>
                                  <a:pt x="54975" y="39439"/>
                                </a:cubicBezTo>
                                <a:cubicBezTo>
                                  <a:pt x="53525" y="42962"/>
                                  <a:pt x="51460" y="46062"/>
                                  <a:pt x="48781" y="48741"/>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41"/>
                                </a:cubicBezTo>
                                <a:cubicBezTo>
                                  <a:pt x="5690" y="46062"/>
                                  <a:pt x="3625" y="42962"/>
                                  <a:pt x="2175" y="39439"/>
                                </a:cubicBezTo>
                                <a:cubicBezTo>
                                  <a:pt x="725" y="35942"/>
                                  <a:pt x="0" y="32321"/>
                                  <a:pt x="0" y="28575"/>
                                </a:cubicBezTo>
                                <a:cubicBezTo>
                                  <a:pt x="0" y="24730"/>
                                  <a:pt x="725" y="21059"/>
                                  <a:pt x="2175" y="17562"/>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599" name="Shape 4599"/>
                        <wps:cNvSpPr/>
                        <wps:spPr>
                          <a:xfrm>
                            <a:off x="0" y="4572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21"/>
                                  <a:pt x="56425" y="35942"/>
                                  <a:pt x="54975" y="39439"/>
                                </a:cubicBezTo>
                                <a:cubicBezTo>
                                  <a:pt x="53525" y="42962"/>
                                  <a:pt x="51460" y="46062"/>
                                  <a:pt x="48781" y="48741"/>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41"/>
                                </a:cubicBezTo>
                                <a:cubicBezTo>
                                  <a:pt x="5690" y="46062"/>
                                  <a:pt x="3625" y="42962"/>
                                  <a:pt x="2175" y="39439"/>
                                </a:cubicBezTo>
                                <a:cubicBezTo>
                                  <a:pt x="725" y="35942"/>
                                  <a:pt x="0" y="32321"/>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01" name="Shape 4601"/>
                        <wps:cNvSpPr/>
                        <wps:spPr>
                          <a:xfrm>
                            <a:off x="0" y="6096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21"/>
                                  <a:pt x="56425" y="35967"/>
                                  <a:pt x="54975" y="39439"/>
                                </a:cubicBezTo>
                                <a:cubicBezTo>
                                  <a:pt x="53525" y="42937"/>
                                  <a:pt x="51460" y="46013"/>
                                  <a:pt x="48781" y="48741"/>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41"/>
                                </a:cubicBezTo>
                                <a:cubicBezTo>
                                  <a:pt x="5690" y="46013"/>
                                  <a:pt x="3625" y="42937"/>
                                  <a:pt x="2175" y="39439"/>
                                </a:cubicBezTo>
                                <a:cubicBezTo>
                                  <a:pt x="725" y="35967"/>
                                  <a:pt x="0" y="32321"/>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04" name="Shape 4604"/>
                        <wps:cNvSpPr/>
                        <wps:spPr>
                          <a:xfrm>
                            <a:off x="0" y="914400"/>
                            <a:ext cx="57150" cy="57150"/>
                          </a:xfrm>
                          <a:custGeom>
                            <a:avLst/>
                            <a:gdLst/>
                            <a:ahLst/>
                            <a:cxnLst/>
                            <a:rect l="0" t="0" r="0" b="0"/>
                            <a:pathLst>
                              <a:path w="57150" h="57150">
                                <a:moveTo>
                                  <a:pt x="28575" y="0"/>
                                </a:moveTo>
                                <a:cubicBezTo>
                                  <a:pt x="32364" y="0"/>
                                  <a:pt x="36009" y="695"/>
                                  <a:pt x="39510" y="2158"/>
                                </a:cubicBezTo>
                                <a:cubicBezTo>
                                  <a:pt x="43011" y="3597"/>
                                  <a:pt x="46101" y="5655"/>
                                  <a:pt x="48781" y="8359"/>
                                </a:cubicBezTo>
                                <a:cubicBezTo>
                                  <a:pt x="51460" y="11013"/>
                                  <a:pt x="53525" y="14089"/>
                                  <a:pt x="54975" y="17636"/>
                                </a:cubicBezTo>
                                <a:cubicBezTo>
                                  <a:pt x="56425" y="21134"/>
                                  <a:pt x="57150" y="24780"/>
                                  <a:pt x="57150" y="28575"/>
                                </a:cubicBezTo>
                                <a:cubicBezTo>
                                  <a:pt x="57150" y="32321"/>
                                  <a:pt x="56425" y="35967"/>
                                  <a:pt x="54975" y="39439"/>
                                </a:cubicBezTo>
                                <a:cubicBezTo>
                                  <a:pt x="53525" y="42937"/>
                                  <a:pt x="51460" y="46013"/>
                                  <a:pt x="48781" y="48741"/>
                                </a:cubicBezTo>
                                <a:cubicBezTo>
                                  <a:pt x="46101" y="51371"/>
                                  <a:pt x="43011" y="53454"/>
                                  <a:pt x="39510" y="54918"/>
                                </a:cubicBezTo>
                                <a:cubicBezTo>
                                  <a:pt x="36009" y="56356"/>
                                  <a:pt x="32364" y="57100"/>
                                  <a:pt x="28575" y="57150"/>
                                </a:cubicBezTo>
                                <a:cubicBezTo>
                                  <a:pt x="24786" y="57100"/>
                                  <a:pt x="21141" y="56356"/>
                                  <a:pt x="17640" y="54918"/>
                                </a:cubicBezTo>
                                <a:cubicBezTo>
                                  <a:pt x="14139" y="53454"/>
                                  <a:pt x="11049" y="51371"/>
                                  <a:pt x="8369" y="48741"/>
                                </a:cubicBezTo>
                                <a:cubicBezTo>
                                  <a:pt x="5690" y="46013"/>
                                  <a:pt x="3625" y="42937"/>
                                  <a:pt x="2175" y="39439"/>
                                </a:cubicBezTo>
                                <a:cubicBezTo>
                                  <a:pt x="725" y="35967"/>
                                  <a:pt x="0" y="32321"/>
                                  <a:pt x="0" y="28575"/>
                                </a:cubicBezTo>
                                <a:cubicBezTo>
                                  <a:pt x="0" y="24780"/>
                                  <a:pt x="725" y="21134"/>
                                  <a:pt x="2175" y="17636"/>
                                </a:cubicBezTo>
                                <a:cubicBezTo>
                                  <a:pt x="3625" y="14089"/>
                                  <a:pt x="5690" y="11013"/>
                                  <a:pt x="8369" y="8359"/>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0347" style="width:4.5pt;height:76.5pt;position:absolute;mso-position-horizontal-relative:text;mso-position-horizontal:absolute;margin-left:16.5pt;mso-position-vertical-relative:text;margin-top:14.7363pt;" coordsize="571,9715">
                <v:shape id="Shape 4594" style="position:absolute;width:571;height:571;left:0;top:0;" coordsize="57150,57150" path="m28575,0c32364,0,36009,695,39510,2108c43011,3572,46101,5655,48781,8334c51460,10964,53525,14064,54975,17562c56425,21059,57150,24730,57150,28575c57150,32321,56425,35967,54975,39514c53525,42962,51460,46062,48781,48766c46101,51420,43011,53454,39510,54918c36009,56356,32364,57100,28575,57150c24786,57100,21141,56356,17640,54918c14139,53454,11049,51420,8369,48766c5690,46062,3625,42962,2175,39514c725,35967,0,32321,0,28575c0,24730,725,21059,2175,17562c3625,14064,5690,10964,8369,8334c11049,5655,14139,3572,17640,2108c21141,695,24786,0,28575,0x">
                  <v:stroke weight="0pt" endcap="flat" joinstyle="miter" miterlimit="4" on="false" color="#000000" opacity="0"/>
                  <v:fill on="true" color="#333333"/>
                </v:shape>
                <v:shape id="Shape 4597" style="position:absolute;width:571;height:571;left:0;top:3048;" coordsize="57150,57150" path="m28575,0c32364,0,36009,695,39510,2158c43011,3597,46101,5655,48781,8334c51460,10964,53525,14064,54975,17562c56425,21059,57150,24730,57150,28575c57150,32321,56425,35942,54975,39439c53525,42962,51460,46062,48781,48741c46101,51420,43011,53454,39510,54918c36009,56356,32364,57100,28575,57150c24786,57100,21141,56356,17640,54918c14139,53454,11049,51420,8369,48741c5690,46062,3625,42962,2175,39439c725,35942,0,32321,0,28575c0,24730,725,21059,2175,17562c3625,14064,5690,10964,8369,8334c11049,5655,14139,3597,17640,2158c21141,695,24786,0,28575,0x">
                  <v:stroke weight="0pt" endcap="flat" joinstyle="miter" miterlimit="4" on="false" color="#000000" opacity="0"/>
                  <v:fill on="true" color="#333333"/>
                </v:shape>
                <v:shape id="Shape 4599" style="position:absolute;width:571;height:571;left:0;top:4572;" coordsize="57150,57150" path="m28575,0c32364,0,36009,695,39510,2158c43011,3597,46101,5655,48781,8334c51460,10964,53525,14064,54975,17587c56425,21084,57150,24730,57150,28575c57150,32321,56425,35942,54975,39439c53525,42962,51460,46062,48781,48741c46101,51420,43011,53454,39510,54918c36009,56356,32364,57100,28575,57150c24786,57100,21141,56356,17640,54918c14139,53454,11049,51420,8369,48741c5690,46062,3625,42962,2175,39439c725,35942,0,32321,0,28575c0,24730,725,21084,2175,17587c3625,14064,5690,10964,8369,8334c11049,5655,14139,3597,17640,2158c21141,695,24786,0,28575,0x">
                  <v:stroke weight="0pt" endcap="flat" joinstyle="miter" miterlimit="4" on="false" color="#000000" opacity="0"/>
                  <v:fill on="true" color="#333333"/>
                </v:shape>
                <v:shape id="Shape 4601" style="position:absolute;width:571;height:571;left:0;top:6096;" coordsize="57150,57150" path="m28575,0c32364,0,36009,695,39510,2158c43011,3597,46101,5655,48781,8334c51460,10964,53525,14064,54975,17587c56425,21084,57150,24730,57150,28575c57150,32321,56425,35967,54975,39439c53525,42937,51460,46013,48781,48741c46101,51420,43011,53454,39510,54918c36009,56356,32364,57100,28575,57150c24786,57100,21141,56356,17640,54918c14139,53454,11049,51420,8369,48741c5690,46013,3625,42937,2175,39439c725,35967,0,32321,0,28575c0,24730,725,21084,2175,17587c3625,14064,5690,10964,8369,8334c11049,5655,14139,3597,17640,2158c21141,695,24786,0,28575,0x">
                  <v:stroke weight="0pt" endcap="flat" joinstyle="miter" miterlimit="4" on="false" color="#000000" opacity="0"/>
                  <v:fill on="true" color="#333333"/>
                </v:shape>
                <v:shape id="Shape 4604" style="position:absolute;width:571;height:571;left:0;top:9144;" coordsize="57150,57150" path="m28575,0c32364,0,36009,695,39510,2158c43011,3597,46101,5655,48781,8359c51460,11013,53525,14089,54975,17636c56425,21134,57150,24780,57150,28575c57150,32321,56425,35967,54975,39439c53525,42937,51460,46013,48781,48741c46101,51371,43011,53454,39510,54918c36009,56356,32364,57100,28575,57150c24786,57100,21141,56356,17640,54918c14139,53454,11049,51371,8369,48741c5690,46013,3625,42937,2175,39439c725,35967,0,32321,0,28575c0,24780,725,21134,2175,17636c3625,14089,5690,11013,8369,8359c11049,5655,14139,3597,17640,2158c21141,695,24786,0,28575,0x">
                  <v:stroke weight="0pt" endcap="flat" joinstyle="miter" miterlimit="4" on="false" color="#000000" opacity="0"/>
                  <v:fill on="true" color="#333333"/>
                </v:shape>
                <w10:wrap type="square"/>
              </v:group>
            </w:pict>
          </mc:Fallback>
        </mc:AlternateContent>
      </w:r>
      <w:r>
        <w:t>кровотока ≤0,80 или стеноз боль</w:t>
      </w:r>
      <w:r>
        <w:t>шого коронарного сосуда &gt;90%); большая зона ишемии, выявленная при функциональных тестах (&gt;10% левого желудочка), или аномальный инвазивный фракционный резерв кровотока; болезнь левой главной коронарной артерии со стенозом &gt;50%;</w:t>
      </w:r>
    </w:p>
    <w:p w:rsidR="008E3F15" w:rsidRDefault="005F449A">
      <w:pPr>
        <w:spacing w:after="179"/>
        <w:ind w:left="340" w:right="593"/>
      </w:pPr>
      <w:r>
        <w:t xml:space="preserve">проксимальный стеноз левой </w:t>
      </w:r>
      <w:r>
        <w:t>передней нисходящей коронарной артерии &gt;50%; двух- или трехсосудистая болезнь со стенозом &gt;50% с нарушением функции левого желудочка (ФВЛЖ ≤35%); единственная проходимая коронарная артерия со стенозом &gt;50%.</w:t>
      </w:r>
    </w:p>
    <w:p w:rsidR="008E3F15" w:rsidRDefault="005F449A">
      <w:pPr>
        <w:ind w:left="2" w:right="15"/>
      </w:pPr>
      <w:r>
        <w:t>Инвазивное лечение показано в первую очередь паци</w:t>
      </w:r>
      <w:r>
        <w:t xml:space="preserve">ентам с выраженной СК, СНнФВ при очевидной неэффективности лекарственных препаратов и неблагоприятном прогнозе. Предпочтения для выбора КШ или ЧКВ представлены в </w:t>
      </w:r>
      <w:r>
        <w:rPr>
          <w:b/>
        </w:rPr>
        <w:t>табл. 2.11</w:t>
      </w:r>
      <w:r>
        <w:t>. Сравнение ЧКВ с оценкой фракционного резерва кровотока и КШ у пациентов с трехсосу</w:t>
      </w:r>
      <w:r>
        <w:t>дистым поражением показало более низкую частоту ССЗ при шунтировании в исследовании FLAME-3.</w:t>
      </w:r>
    </w:p>
    <w:p w:rsidR="008E3F15" w:rsidRDefault="005F449A">
      <w:pPr>
        <w:spacing w:after="31"/>
        <w:ind w:left="2" w:right="15"/>
      </w:pPr>
      <w:r>
        <w:rPr>
          <w:b/>
        </w:rPr>
        <w:t xml:space="preserve">Таблица 2.11. </w:t>
      </w:r>
      <w:r>
        <w:t>Приоритеты выбора инвазивного лечения</w:t>
      </w:r>
    </w:p>
    <w:tbl>
      <w:tblPr>
        <w:tblStyle w:val="TableGrid"/>
        <w:tblW w:w="10485" w:type="dxa"/>
        <w:tblInd w:w="30" w:type="dxa"/>
        <w:tblCellMar>
          <w:top w:w="80" w:type="dxa"/>
          <w:left w:w="44" w:type="dxa"/>
          <w:bottom w:w="0" w:type="dxa"/>
          <w:right w:w="115" w:type="dxa"/>
        </w:tblCellMar>
        <w:tblLook w:val="04A0" w:firstRow="1" w:lastRow="0" w:firstColumn="1" w:lastColumn="0" w:noHBand="0" w:noVBand="1"/>
      </w:tblPr>
      <w:tblGrid>
        <w:gridCol w:w="1410"/>
        <w:gridCol w:w="4605"/>
        <w:gridCol w:w="4470"/>
      </w:tblGrid>
      <w:tr w:rsidR="008E3F15">
        <w:trPr>
          <w:trHeight w:val="330"/>
        </w:trPr>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Признак</w:t>
            </w:r>
          </w:p>
        </w:tc>
        <w:tc>
          <w:tcPr>
            <w:tcW w:w="4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ЧКВ</w:t>
            </w:r>
          </w:p>
        </w:tc>
        <w:tc>
          <w:tcPr>
            <w:tcW w:w="4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КШ</w:t>
            </w:r>
          </w:p>
        </w:tc>
      </w:tr>
      <w:tr w:rsidR="008E3F15">
        <w:trPr>
          <w:trHeight w:val="2010"/>
        </w:trPr>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Клиника</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31" w:right="0" w:firstLine="179"/>
            </w:pPr>
            <w:r>
              <w:rPr>
                <w:rFonts w:ascii="Calibri" w:eastAsia="Calibri" w:hAnsi="Calibri" w:cs="Calibri"/>
                <w:noProof/>
                <w:color w:val="000000"/>
                <w:sz w:val="22"/>
              </w:rPr>
              <mc:AlternateContent>
                <mc:Choice Requires="wpg">
                  <w:drawing>
                    <wp:anchor distT="0" distB="0" distL="114300" distR="114300" simplePos="0" relativeHeight="251697152" behindDoc="0" locked="0" layoutInCell="1" allowOverlap="1">
                      <wp:simplePos x="0" y="0"/>
                      <wp:positionH relativeFrom="column">
                        <wp:posOffset>238125</wp:posOffset>
                      </wp:positionH>
                      <wp:positionV relativeFrom="paragraph">
                        <wp:posOffset>34751</wp:posOffset>
                      </wp:positionV>
                      <wp:extent cx="57150" cy="209550"/>
                      <wp:effectExtent l="0" t="0" r="0" b="0"/>
                      <wp:wrapSquare wrapText="bothSides"/>
                      <wp:docPr id="259161" name="Group 25916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4619" name="Shape 4619"/>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1" y="8359"/>
                                      </a:cubicBezTo>
                                      <a:cubicBezTo>
                                        <a:pt x="51460" y="11013"/>
                                        <a:pt x="53525" y="14089"/>
                                        <a:pt x="54975" y="17636"/>
                                      </a:cubicBezTo>
                                      <a:cubicBezTo>
                                        <a:pt x="56425" y="21134"/>
                                        <a:pt x="57150" y="24780"/>
                                        <a:pt x="57150" y="28575"/>
                                      </a:cubicBezTo>
                                      <a:cubicBezTo>
                                        <a:pt x="57150" y="32370"/>
                                        <a:pt x="56425" y="36016"/>
                                        <a:pt x="54975" y="39464"/>
                                      </a:cubicBezTo>
                                      <a:cubicBezTo>
                                        <a:pt x="53525" y="42962"/>
                                        <a:pt x="51460" y="46062"/>
                                        <a:pt x="48781" y="48766"/>
                                      </a:cubicBezTo>
                                      <a:cubicBezTo>
                                        <a:pt x="46101" y="51420"/>
                                        <a:pt x="43011" y="53504"/>
                                        <a:pt x="39510" y="54942"/>
                                      </a:cubicBezTo>
                                      <a:cubicBezTo>
                                        <a:pt x="36009" y="56406"/>
                                        <a:pt x="32364" y="57100"/>
                                        <a:pt x="28575" y="57150"/>
                                      </a:cubicBezTo>
                                      <a:cubicBezTo>
                                        <a:pt x="24786" y="57100"/>
                                        <a:pt x="21141" y="56406"/>
                                        <a:pt x="17640" y="54942"/>
                                      </a:cubicBezTo>
                                      <a:cubicBezTo>
                                        <a:pt x="14139" y="53504"/>
                                        <a:pt x="11049" y="51420"/>
                                        <a:pt x="8369" y="48766"/>
                                      </a:cubicBezTo>
                                      <a:cubicBezTo>
                                        <a:pt x="5690" y="46062"/>
                                        <a:pt x="3625" y="42962"/>
                                        <a:pt x="2175" y="39464"/>
                                      </a:cubicBezTo>
                                      <a:cubicBezTo>
                                        <a:pt x="725" y="36016"/>
                                        <a:pt x="0" y="32370"/>
                                        <a:pt x="0" y="28575"/>
                                      </a:cubicBezTo>
                                      <a:cubicBezTo>
                                        <a:pt x="0" y="24780"/>
                                        <a:pt x="725" y="21134"/>
                                        <a:pt x="2175" y="17636"/>
                                      </a:cubicBezTo>
                                      <a:cubicBezTo>
                                        <a:pt x="3625" y="14089"/>
                                        <a:pt x="5690" y="11013"/>
                                        <a:pt x="8369" y="8359"/>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21" name="Shape 4621"/>
                              <wps:cNvSpPr/>
                              <wps:spPr>
                                <a:xfrm>
                                  <a:off x="0" y="1524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87"/>
                                      </a:cubicBezTo>
                                      <a:cubicBezTo>
                                        <a:pt x="56425" y="21084"/>
                                        <a:pt x="57150" y="24730"/>
                                        <a:pt x="57150" y="28575"/>
                                      </a:cubicBezTo>
                                      <a:cubicBezTo>
                                        <a:pt x="57150" y="32370"/>
                                        <a:pt x="56425" y="36016"/>
                                        <a:pt x="54975" y="39464"/>
                                      </a:cubicBezTo>
                                      <a:cubicBezTo>
                                        <a:pt x="53525" y="42937"/>
                                        <a:pt x="51460" y="46013"/>
                                        <a:pt x="48781" y="48741"/>
                                      </a:cubicBezTo>
                                      <a:cubicBezTo>
                                        <a:pt x="46101" y="51371"/>
                                        <a:pt x="43011" y="53454"/>
                                        <a:pt x="39510" y="54918"/>
                                      </a:cubicBezTo>
                                      <a:cubicBezTo>
                                        <a:pt x="36009" y="56356"/>
                                        <a:pt x="32364" y="57100"/>
                                        <a:pt x="28575" y="57150"/>
                                      </a:cubicBezTo>
                                      <a:cubicBezTo>
                                        <a:pt x="24786" y="57100"/>
                                        <a:pt x="21141" y="56356"/>
                                        <a:pt x="17640" y="54918"/>
                                      </a:cubicBezTo>
                                      <a:cubicBezTo>
                                        <a:pt x="14139" y="53454"/>
                                        <a:pt x="11049" y="51371"/>
                                        <a:pt x="8369" y="48741"/>
                                      </a:cubicBezTo>
                                      <a:cubicBezTo>
                                        <a:pt x="5690" y="46013"/>
                                        <a:pt x="3625" y="42937"/>
                                        <a:pt x="2175" y="39464"/>
                                      </a:cubicBezTo>
                                      <a:cubicBezTo>
                                        <a:pt x="725" y="36016"/>
                                        <a:pt x="0" y="32370"/>
                                        <a:pt x="0" y="28575"/>
                                      </a:cubicBezTo>
                                      <a:cubicBezTo>
                                        <a:pt x="0" y="24730"/>
                                        <a:pt x="725" y="21084"/>
                                        <a:pt x="2175" y="17587"/>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161" style="width:4.50001pt;height:16.5pt;position:absolute;mso-position-horizontal-relative:text;mso-position-horizontal:absolute;margin-left:18.75pt;mso-position-vertical-relative:text;margin-top:2.73633pt;" coordsize="571,2095">
                      <v:shape id="Shape 4619" style="position:absolute;width:571;height:571;left:0;top:0;" coordsize="57150,57150" path="m28575,0c32364,0,36009,695,39510,2158c43011,3597,46101,5655,48781,8359c51460,11013,53525,14089,54975,17636c56425,21134,57150,24780,57150,28575c57150,32370,56425,36016,54975,39464c53525,42962,51460,46062,48781,48766c46101,51420,43011,53504,39510,54942c36009,56406,32364,57100,28575,57150c24786,57100,21141,56406,17640,54942c14139,53504,11049,51420,8369,48766c5690,46062,3625,42962,2175,39464c725,36016,0,32370,0,28575c0,24780,725,21134,2175,17636c3625,14089,5690,11013,8369,8359c11049,5655,14139,3597,17640,2158c21141,695,24786,0,28575,0x">
                        <v:stroke weight="0pt" endcap="flat" joinstyle="miter" miterlimit="4" on="false" color="#000000" opacity="0"/>
                        <v:fill on="true" color="#333333"/>
                      </v:shape>
                      <v:shape id="Shape 4621" style="position:absolute;width:571;height:571;left:0;top:1524;" coordsize="57150,57150" path="m28575,0c32364,0,36009,695,39510,2158c43011,3597,46101,5655,48781,8334c51460,10964,53525,14064,54975,17587c56425,21084,57150,24730,57150,28575c57150,32370,56425,36016,54975,39464c53525,42937,51460,46013,48781,48741c46101,51371,43011,53454,39510,54918c36009,56356,32364,57100,28575,57150c24786,57100,21141,56356,17640,54918c14139,53454,11049,51371,8369,48741c5690,46013,3625,42937,2175,39464c725,36016,0,32370,0,28575c0,24730,725,21084,2175,17587c3625,14064,5690,10964,8369,8334c11049,5655,14139,3597,17640,2158c21141,695,24786,0,28575,0x">
                        <v:stroke weight="0pt" endcap="flat" joinstyle="miter" miterlimit="4" on="false" color="#000000" opacity="0"/>
                        <v:fill on="true" color="#333333"/>
                      </v:shape>
                      <w10:wrap type="square"/>
                    </v:group>
                  </w:pict>
                </mc:Fallback>
              </mc:AlternateContent>
            </w:r>
            <w:r>
              <w:t xml:space="preserve">Выраженная коморбидность. Преклонный возраст, старческая астения, сниженная ожидаемая продолжительность жизни. </w:t>
            </w:r>
            <w:r>
              <w:rPr>
                <w:rFonts w:ascii="Calibri" w:eastAsia="Calibri" w:hAnsi="Calibri" w:cs="Calibri"/>
                <w:noProof/>
                <w:color w:val="000000"/>
                <w:sz w:val="22"/>
              </w:rPr>
              <mc:AlternateContent>
                <mc:Choice Requires="wpg">
                  <w:drawing>
                    <wp:inline distT="0" distB="0" distL="0" distR="0">
                      <wp:extent cx="57150" cy="57150"/>
                      <wp:effectExtent l="0" t="0" r="0" b="0"/>
                      <wp:docPr id="259162" name="Group 25916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625" name="Shape 4625"/>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1" y="8334"/>
                                      </a:cubicBezTo>
                                      <a:cubicBezTo>
                                        <a:pt x="51460" y="11013"/>
                                        <a:pt x="53525" y="14089"/>
                                        <a:pt x="54975" y="17587"/>
                                      </a:cubicBezTo>
                                      <a:cubicBezTo>
                                        <a:pt x="56425" y="21134"/>
                                        <a:pt x="57150" y="24780"/>
                                        <a:pt x="57150" y="28575"/>
                                      </a:cubicBezTo>
                                      <a:cubicBezTo>
                                        <a:pt x="57150" y="32321"/>
                                        <a:pt x="56425" y="35967"/>
                                        <a:pt x="54975" y="39464"/>
                                      </a:cubicBezTo>
                                      <a:cubicBezTo>
                                        <a:pt x="53525" y="42937"/>
                                        <a:pt x="51460" y="46013"/>
                                        <a:pt x="48781" y="48741"/>
                                      </a:cubicBezTo>
                                      <a:cubicBezTo>
                                        <a:pt x="46101" y="51371"/>
                                        <a:pt x="43011" y="53429"/>
                                        <a:pt x="39510" y="54868"/>
                                      </a:cubicBezTo>
                                      <a:cubicBezTo>
                                        <a:pt x="36009" y="56356"/>
                                        <a:pt x="32364" y="57100"/>
                                        <a:pt x="28575" y="57150"/>
                                      </a:cubicBezTo>
                                      <a:cubicBezTo>
                                        <a:pt x="24786" y="57100"/>
                                        <a:pt x="21141" y="56356"/>
                                        <a:pt x="17640" y="54868"/>
                                      </a:cubicBezTo>
                                      <a:cubicBezTo>
                                        <a:pt x="14139" y="53429"/>
                                        <a:pt x="11049" y="51371"/>
                                        <a:pt x="8369" y="48741"/>
                                      </a:cubicBezTo>
                                      <a:cubicBezTo>
                                        <a:pt x="5690" y="46013"/>
                                        <a:pt x="3625" y="42937"/>
                                        <a:pt x="2175" y="39464"/>
                                      </a:cubicBezTo>
                                      <a:cubicBezTo>
                                        <a:pt x="725" y="35967"/>
                                        <a:pt x="0" y="32321"/>
                                        <a:pt x="0" y="28575"/>
                                      </a:cubicBezTo>
                                      <a:cubicBezTo>
                                        <a:pt x="0" y="24780"/>
                                        <a:pt x="725" y="21134"/>
                                        <a:pt x="2175" y="17587"/>
                                      </a:cubicBezTo>
                                      <a:cubicBezTo>
                                        <a:pt x="3625" y="14089"/>
                                        <a:pt x="5690" y="11013"/>
                                        <a:pt x="8369" y="8334"/>
                                      </a:cubicBezTo>
                                      <a:cubicBezTo>
                                        <a:pt x="11049" y="5655"/>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9162" style="width:4.50001pt;height:4.5pt;mso-position-horizontal-relative:char;mso-position-vertical-relative:line" coordsize="571,571">
                      <v:shape id="Shape 4625" style="position:absolute;width:571;height:571;left:0;top:0;" coordsize="57150,57150" path="m28575,0c32364,0,36009,695,39510,2108c43011,3572,46101,5655,48781,8334c51460,11013,53525,14089,54975,17587c56425,21134,57150,24780,57150,28575c57150,32321,56425,35967,54975,39464c53525,42937,51460,46013,48781,48741c46101,51371,43011,53429,39510,54868c36009,56356,32364,57100,28575,57150c24786,57100,21141,56356,17640,54868c14139,53429,11049,51371,8369,48741c5690,46013,3625,42937,2175,39464c725,35967,0,32321,0,28575c0,24780,725,21134,2175,17587c3625,14089,5690,11013,8369,8334c11049,5655,14139,3572,17640,2108c21141,695,24786,0,28575,0x">
                        <v:stroke weight="0pt" endcap="flat" joinstyle="miter" miterlimit="4" on="false" color="#000000" opacity="0"/>
                        <v:fill on="true" color="#333333"/>
                      </v:shape>
                    </v:group>
                  </w:pict>
                </mc:Fallback>
              </mc:AlternateContent>
            </w:r>
            <w:r>
              <w:t xml:space="preserve"> Заболевания и состояния, ограничивающие реабилитацию</w:t>
            </w:r>
          </w:p>
        </w:tc>
        <w:tc>
          <w:tcPr>
            <w:tcW w:w="4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31" w:right="0" w:firstLine="0"/>
            </w:pPr>
            <w:r>
              <w:rPr>
                <w:rFonts w:ascii="Calibri" w:eastAsia="Calibri" w:hAnsi="Calibri" w:cs="Calibri"/>
                <w:noProof/>
                <w:color w:val="000000"/>
                <w:sz w:val="22"/>
              </w:rPr>
              <mc:AlternateContent>
                <mc:Choice Requires="wpg">
                  <w:drawing>
                    <wp:anchor distT="0" distB="0" distL="114300" distR="114300" simplePos="0" relativeHeight="251698176" behindDoc="0" locked="0" layoutInCell="1" allowOverlap="1">
                      <wp:simplePos x="0" y="0"/>
                      <wp:positionH relativeFrom="column">
                        <wp:posOffset>238125</wp:posOffset>
                      </wp:positionH>
                      <wp:positionV relativeFrom="paragraph">
                        <wp:posOffset>34751</wp:posOffset>
                      </wp:positionV>
                      <wp:extent cx="57150" cy="361950"/>
                      <wp:effectExtent l="0" t="0" r="0" b="0"/>
                      <wp:wrapSquare wrapText="bothSides"/>
                      <wp:docPr id="259238" name="Group 259238"/>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4628" name="Shape 4628"/>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0" y="8334"/>
                                      </a:cubicBezTo>
                                      <a:cubicBezTo>
                                        <a:pt x="51460" y="10964"/>
                                        <a:pt x="53524" y="14064"/>
                                        <a:pt x="54975" y="17587"/>
                                      </a:cubicBezTo>
                                      <a:cubicBezTo>
                                        <a:pt x="56424" y="21084"/>
                                        <a:pt x="57150" y="24730"/>
                                        <a:pt x="57150" y="28575"/>
                                      </a:cubicBezTo>
                                      <a:cubicBezTo>
                                        <a:pt x="57150" y="32370"/>
                                        <a:pt x="56424" y="36016"/>
                                        <a:pt x="54975" y="39464"/>
                                      </a:cubicBezTo>
                                      <a:cubicBezTo>
                                        <a:pt x="53524" y="42937"/>
                                        <a:pt x="51460" y="46013"/>
                                        <a:pt x="48780" y="48741"/>
                                      </a:cubicBezTo>
                                      <a:cubicBezTo>
                                        <a:pt x="46101" y="51371"/>
                                        <a:pt x="43011" y="53454"/>
                                        <a:pt x="39510" y="54918"/>
                                      </a:cubicBezTo>
                                      <a:cubicBezTo>
                                        <a:pt x="36009" y="56356"/>
                                        <a:pt x="32364" y="57100"/>
                                        <a:pt x="28575" y="57150"/>
                                      </a:cubicBezTo>
                                      <a:cubicBezTo>
                                        <a:pt x="24785" y="57100"/>
                                        <a:pt x="21140" y="56356"/>
                                        <a:pt x="17639" y="54918"/>
                                      </a:cubicBezTo>
                                      <a:cubicBezTo>
                                        <a:pt x="14139" y="53454"/>
                                        <a:pt x="11049" y="51371"/>
                                        <a:pt x="8369" y="48741"/>
                                      </a:cubicBezTo>
                                      <a:cubicBezTo>
                                        <a:pt x="5690" y="46013"/>
                                        <a:pt x="3625" y="42937"/>
                                        <a:pt x="2175" y="39464"/>
                                      </a:cubicBezTo>
                                      <a:cubicBezTo>
                                        <a:pt x="725" y="36016"/>
                                        <a:pt x="0" y="32370"/>
                                        <a:pt x="0" y="28575"/>
                                      </a:cubicBezTo>
                                      <a:cubicBezTo>
                                        <a:pt x="0" y="24730"/>
                                        <a:pt x="725" y="21084"/>
                                        <a:pt x="2175" y="17587"/>
                                      </a:cubicBezTo>
                                      <a:cubicBezTo>
                                        <a:pt x="3625" y="14064"/>
                                        <a:pt x="5690" y="10964"/>
                                        <a:pt x="8369" y="8334"/>
                                      </a:cubicBezTo>
                                      <a:cubicBezTo>
                                        <a:pt x="11049" y="5655"/>
                                        <a:pt x="14139" y="3597"/>
                                        <a:pt x="17639" y="215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30" name="Shape 4630"/>
                              <wps:cNvSpPr/>
                              <wps:spPr>
                                <a:xfrm>
                                  <a:off x="0" y="152400"/>
                                  <a:ext cx="57150" cy="57150"/>
                                </a:xfrm>
                                <a:custGeom>
                                  <a:avLst/>
                                  <a:gdLst/>
                                  <a:ahLst/>
                                  <a:cxnLst/>
                                  <a:rect l="0" t="0" r="0" b="0"/>
                                  <a:pathLst>
                                    <a:path w="57150" h="57150">
                                      <a:moveTo>
                                        <a:pt x="28575" y="0"/>
                                      </a:moveTo>
                                      <a:cubicBezTo>
                                        <a:pt x="32364" y="0"/>
                                        <a:pt x="36009" y="695"/>
                                        <a:pt x="39510" y="2158"/>
                                      </a:cubicBezTo>
                                      <a:cubicBezTo>
                                        <a:pt x="43011" y="3597"/>
                                        <a:pt x="46101" y="5655"/>
                                        <a:pt x="48780" y="8334"/>
                                      </a:cubicBezTo>
                                      <a:cubicBezTo>
                                        <a:pt x="51460" y="11013"/>
                                        <a:pt x="53524" y="14089"/>
                                        <a:pt x="54975" y="17587"/>
                                      </a:cubicBezTo>
                                      <a:cubicBezTo>
                                        <a:pt x="56424" y="21134"/>
                                        <a:pt x="57150" y="24780"/>
                                        <a:pt x="57150" y="28575"/>
                                      </a:cubicBezTo>
                                      <a:cubicBezTo>
                                        <a:pt x="57150" y="32321"/>
                                        <a:pt x="56424" y="35942"/>
                                        <a:pt x="54975" y="39439"/>
                                      </a:cubicBezTo>
                                      <a:cubicBezTo>
                                        <a:pt x="53524" y="42937"/>
                                        <a:pt x="51460" y="46013"/>
                                        <a:pt x="48780" y="48741"/>
                                      </a:cubicBezTo>
                                      <a:cubicBezTo>
                                        <a:pt x="46101" y="51371"/>
                                        <a:pt x="43011" y="53454"/>
                                        <a:pt x="39510" y="54918"/>
                                      </a:cubicBezTo>
                                      <a:cubicBezTo>
                                        <a:pt x="36009" y="56356"/>
                                        <a:pt x="32364" y="57100"/>
                                        <a:pt x="28575" y="57150"/>
                                      </a:cubicBezTo>
                                      <a:cubicBezTo>
                                        <a:pt x="24785" y="57100"/>
                                        <a:pt x="21140" y="56356"/>
                                        <a:pt x="17639" y="54918"/>
                                      </a:cubicBezTo>
                                      <a:cubicBezTo>
                                        <a:pt x="14139" y="53454"/>
                                        <a:pt x="11049" y="51371"/>
                                        <a:pt x="8369" y="48741"/>
                                      </a:cubicBezTo>
                                      <a:cubicBezTo>
                                        <a:pt x="5690" y="46013"/>
                                        <a:pt x="3625" y="42937"/>
                                        <a:pt x="2175" y="39439"/>
                                      </a:cubicBezTo>
                                      <a:cubicBezTo>
                                        <a:pt x="725" y="35942"/>
                                        <a:pt x="0" y="32321"/>
                                        <a:pt x="0" y="28575"/>
                                      </a:cubicBezTo>
                                      <a:cubicBezTo>
                                        <a:pt x="0" y="24780"/>
                                        <a:pt x="725" y="21134"/>
                                        <a:pt x="2175" y="17587"/>
                                      </a:cubicBezTo>
                                      <a:cubicBezTo>
                                        <a:pt x="3625" y="14089"/>
                                        <a:pt x="5690" y="11013"/>
                                        <a:pt x="8369" y="8334"/>
                                      </a:cubicBezTo>
                                      <a:cubicBezTo>
                                        <a:pt x="11049" y="5655"/>
                                        <a:pt x="14139" y="3597"/>
                                        <a:pt x="17639" y="215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32" name="Shape 4632"/>
                              <wps:cNvSpPr/>
                              <wps:spPr>
                                <a:xfrm>
                                  <a:off x="0" y="304800"/>
                                  <a:ext cx="57150" cy="57150"/>
                                </a:xfrm>
                                <a:custGeom>
                                  <a:avLst/>
                                  <a:gdLst/>
                                  <a:ahLst/>
                                  <a:cxnLst/>
                                  <a:rect l="0" t="0" r="0" b="0"/>
                                  <a:pathLst>
                                    <a:path w="57150" h="57150">
                                      <a:moveTo>
                                        <a:pt x="28575" y="0"/>
                                      </a:moveTo>
                                      <a:cubicBezTo>
                                        <a:pt x="32364" y="0"/>
                                        <a:pt x="36009" y="695"/>
                                        <a:pt x="39510" y="2158"/>
                                      </a:cubicBezTo>
                                      <a:cubicBezTo>
                                        <a:pt x="43011" y="3597"/>
                                        <a:pt x="46101" y="5655"/>
                                        <a:pt x="48780" y="8334"/>
                                      </a:cubicBezTo>
                                      <a:cubicBezTo>
                                        <a:pt x="51460" y="11013"/>
                                        <a:pt x="53524" y="14089"/>
                                        <a:pt x="54975" y="17587"/>
                                      </a:cubicBezTo>
                                      <a:cubicBezTo>
                                        <a:pt x="56424" y="21134"/>
                                        <a:pt x="57150" y="24780"/>
                                        <a:pt x="57150" y="28575"/>
                                      </a:cubicBezTo>
                                      <a:cubicBezTo>
                                        <a:pt x="57150" y="32321"/>
                                        <a:pt x="56424" y="35942"/>
                                        <a:pt x="54975" y="39439"/>
                                      </a:cubicBezTo>
                                      <a:cubicBezTo>
                                        <a:pt x="53524" y="42937"/>
                                        <a:pt x="51460" y="46013"/>
                                        <a:pt x="48780" y="48741"/>
                                      </a:cubicBezTo>
                                      <a:cubicBezTo>
                                        <a:pt x="46101" y="51371"/>
                                        <a:pt x="43011" y="53429"/>
                                        <a:pt x="39510" y="54868"/>
                                      </a:cubicBezTo>
                                      <a:cubicBezTo>
                                        <a:pt x="36009" y="56356"/>
                                        <a:pt x="32364" y="57100"/>
                                        <a:pt x="28575" y="57150"/>
                                      </a:cubicBezTo>
                                      <a:cubicBezTo>
                                        <a:pt x="24785" y="57100"/>
                                        <a:pt x="21140" y="56356"/>
                                        <a:pt x="17639" y="54868"/>
                                      </a:cubicBezTo>
                                      <a:cubicBezTo>
                                        <a:pt x="14139" y="53429"/>
                                        <a:pt x="11049" y="51371"/>
                                        <a:pt x="8369" y="48741"/>
                                      </a:cubicBezTo>
                                      <a:cubicBezTo>
                                        <a:pt x="5690" y="46013"/>
                                        <a:pt x="3625" y="42937"/>
                                        <a:pt x="2175" y="39439"/>
                                      </a:cubicBezTo>
                                      <a:cubicBezTo>
                                        <a:pt x="725" y="35942"/>
                                        <a:pt x="0" y="32321"/>
                                        <a:pt x="0" y="28575"/>
                                      </a:cubicBezTo>
                                      <a:cubicBezTo>
                                        <a:pt x="0" y="24780"/>
                                        <a:pt x="725" y="21134"/>
                                        <a:pt x="2175" y="17587"/>
                                      </a:cubicBezTo>
                                      <a:cubicBezTo>
                                        <a:pt x="3625" y="14089"/>
                                        <a:pt x="5690" y="11013"/>
                                        <a:pt x="8369" y="8334"/>
                                      </a:cubicBezTo>
                                      <a:cubicBezTo>
                                        <a:pt x="11049" y="5655"/>
                                        <a:pt x="14139" y="3597"/>
                                        <a:pt x="17639" y="215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238" style="width:4.5pt;height:28.5pt;position:absolute;mso-position-horizontal-relative:text;mso-position-horizontal:absolute;margin-left:18.75pt;mso-position-vertical-relative:text;margin-top:2.73633pt;" coordsize="571,3619">
                      <v:shape id="Shape 4628" style="position:absolute;width:571;height:571;left:0;top:0;" coordsize="57150,57150" path="m28575,0c32364,0,36009,695,39510,2158c43011,3597,46101,5655,48780,8334c51460,10964,53524,14064,54975,17587c56424,21084,57150,24730,57150,28575c57150,32370,56424,36016,54975,39464c53524,42937,51460,46013,48780,48741c46101,51371,43011,53454,39510,54918c36009,56356,32364,57100,28575,57150c24785,57100,21140,56356,17639,54918c14139,53454,11049,51371,8369,48741c5690,46013,3625,42937,2175,39464c725,36016,0,32370,0,28575c0,24730,725,21084,2175,17587c3625,14064,5690,10964,8369,8334c11049,5655,14139,3597,17639,2158c21140,695,24785,0,28575,0x">
                        <v:stroke weight="0pt" endcap="flat" joinstyle="miter" miterlimit="4" on="false" color="#000000" opacity="0"/>
                        <v:fill on="true" color="#333333"/>
                      </v:shape>
                      <v:shape id="Shape 4630" style="position:absolute;width:571;height:571;left:0;top:1524;" coordsize="57150,57150" path="m28575,0c32364,0,36009,695,39510,2158c43011,3597,46101,5655,48780,8334c51460,11013,53524,14089,54975,17587c56424,21134,57150,24780,57150,28575c57150,32321,56424,35942,54975,39439c53524,42937,51460,46013,48780,48741c46101,51371,43011,53454,39510,54918c36009,56356,32364,57100,28575,57150c24785,57100,21140,56356,17639,54918c14139,53454,11049,51371,8369,48741c5690,46013,3625,42937,2175,39439c725,35942,0,32321,0,28575c0,24780,725,21134,2175,17587c3625,14089,5690,11013,8369,8334c11049,5655,14139,3597,17639,2158c21140,695,24785,0,28575,0x">
                        <v:stroke weight="0pt" endcap="flat" joinstyle="miter" miterlimit="4" on="false" color="#000000" opacity="0"/>
                        <v:fill on="true" color="#333333"/>
                      </v:shape>
                      <v:shape id="Shape 4632" style="position:absolute;width:571;height:571;left:0;top:3048;" coordsize="57150,57150" path="m28575,0c32364,0,36009,695,39510,2158c43011,3597,46101,5655,48780,8334c51460,11013,53524,14089,54975,17587c56424,21134,57150,24780,57150,28575c57150,32321,56424,35942,54975,39439c53524,42937,51460,46013,48780,48741c46101,51371,43011,53429,39510,54868c36009,56356,32364,57100,28575,57150c24785,57100,21140,56356,17639,54868c14139,53429,11049,51371,8369,48741c5690,46013,3625,42937,2175,39439c725,35942,0,32321,0,28575c0,24780,725,21134,2175,17587c3625,14089,5690,11013,8369,8334c11049,5655,14139,3597,17639,2158c21140,695,24785,0,28575,0x">
                        <v:stroke weight="0pt" endcap="flat" joinstyle="miter" miterlimit="4" on="false" color="#000000" opacity="0"/>
                        <v:fill on="true" color="#333333"/>
                      </v:shape>
                      <w10:wrap type="square"/>
                    </v:group>
                  </w:pict>
                </mc:Fallback>
              </mc:AlternateContent>
            </w:r>
            <w:r>
              <w:t>СД.</w:t>
            </w:r>
          </w:p>
          <w:p w:rsidR="008E3F15" w:rsidRDefault="005F449A">
            <w:pPr>
              <w:spacing w:after="0" w:line="259" w:lineRule="auto"/>
              <w:ind w:left="331" w:right="0" w:firstLine="0"/>
            </w:pPr>
            <w:r>
              <w:t>СНнФВ (≤35%).</w:t>
            </w:r>
          </w:p>
          <w:p w:rsidR="008E3F15" w:rsidRDefault="005F449A">
            <w:pPr>
              <w:spacing w:after="0" w:line="259" w:lineRule="auto"/>
              <w:ind w:left="331" w:right="0" w:firstLine="0"/>
            </w:pPr>
            <w:r>
              <w:t>Противопоказания для двойной антиагрегантной терапии</w:t>
            </w:r>
          </w:p>
        </w:tc>
      </w:tr>
      <w:tr w:rsidR="008E3F15">
        <w:trPr>
          <w:trHeight w:val="3450"/>
        </w:trPr>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27" w:firstLine="0"/>
            </w:pPr>
            <w:r>
              <w:t>Анатомия и техника</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16" w:lineRule="auto"/>
              <w:ind w:left="331" w:right="165" w:firstLine="0"/>
            </w:pPr>
            <w:r>
              <w:rPr>
                <w:rFonts w:ascii="Calibri" w:eastAsia="Calibri" w:hAnsi="Calibri" w:cs="Calibri"/>
                <w:noProof/>
                <w:color w:val="000000"/>
                <w:sz w:val="22"/>
              </w:rPr>
              <mc:AlternateContent>
                <mc:Choice Requires="wpg">
                  <w:drawing>
                    <wp:anchor distT="0" distB="0" distL="114300" distR="114300" simplePos="0" relativeHeight="251699200" behindDoc="0" locked="0" layoutInCell="1" allowOverlap="1">
                      <wp:simplePos x="0" y="0"/>
                      <wp:positionH relativeFrom="column">
                        <wp:posOffset>238125</wp:posOffset>
                      </wp:positionH>
                      <wp:positionV relativeFrom="paragraph">
                        <wp:posOffset>34751</wp:posOffset>
                      </wp:positionV>
                      <wp:extent cx="57150" cy="361950"/>
                      <wp:effectExtent l="0" t="0" r="0" b="0"/>
                      <wp:wrapSquare wrapText="bothSides"/>
                      <wp:docPr id="259491" name="Group 25949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4637" name="Shape 4637"/>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1" y="8334"/>
                                      </a:cubicBezTo>
                                      <a:cubicBezTo>
                                        <a:pt x="51460" y="11013"/>
                                        <a:pt x="53525" y="14089"/>
                                        <a:pt x="54975" y="17587"/>
                                      </a:cubicBezTo>
                                      <a:cubicBezTo>
                                        <a:pt x="56425" y="21134"/>
                                        <a:pt x="57150" y="24780"/>
                                        <a:pt x="57150" y="28575"/>
                                      </a:cubicBezTo>
                                      <a:cubicBezTo>
                                        <a:pt x="57150" y="32321"/>
                                        <a:pt x="56425" y="35967"/>
                                        <a:pt x="54975" y="39464"/>
                                      </a:cubicBezTo>
                                      <a:cubicBezTo>
                                        <a:pt x="53525" y="42937"/>
                                        <a:pt x="51460" y="46013"/>
                                        <a:pt x="48781" y="48741"/>
                                      </a:cubicBezTo>
                                      <a:cubicBezTo>
                                        <a:pt x="46101" y="51371"/>
                                        <a:pt x="43011" y="53429"/>
                                        <a:pt x="39510" y="54868"/>
                                      </a:cubicBezTo>
                                      <a:cubicBezTo>
                                        <a:pt x="36009" y="56356"/>
                                        <a:pt x="32364" y="57100"/>
                                        <a:pt x="28575" y="57150"/>
                                      </a:cubicBezTo>
                                      <a:cubicBezTo>
                                        <a:pt x="24786" y="57100"/>
                                        <a:pt x="21141" y="56356"/>
                                        <a:pt x="17640" y="54868"/>
                                      </a:cubicBezTo>
                                      <a:cubicBezTo>
                                        <a:pt x="14139" y="53429"/>
                                        <a:pt x="11049" y="51371"/>
                                        <a:pt x="8369" y="48741"/>
                                      </a:cubicBezTo>
                                      <a:cubicBezTo>
                                        <a:pt x="5690" y="46013"/>
                                        <a:pt x="3625" y="42937"/>
                                        <a:pt x="2175" y="39464"/>
                                      </a:cubicBezTo>
                                      <a:cubicBezTo>
                                        <a:pt x="725" y="35967"/>
                                        <a:pt x="0" y="32321"/>
                                        <a:pt x="0" y="28575"/>
                                      </a:cubicBezTo>
                                      <a:cubicBezTo>
                                        <a:pt x="0" y="24780"/>
                                        <a:pt x="725" y="21134"/>
                                        <a:pt x="2175" y="17587"/>
                                      </a:cubicBezTo>
                                      <a:cubicBezTo>
                                        <a:pt x="3625" y="14089"/>
                                        <a:pt x="5690" y="11013"/>
                                        <a:pt x="8369" y="8334"/>
                                      </a:cubicBezTo>
                                      <a:cubicBezTo>
                                        <a:pt x="11049" y="5655"/>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40" name="Shape 4640"/>
                              <wps:cNvSpPr/>
                              <wps:spPr>
                                <a:xfrm>
                                  <a:off x="0" y="304800"/>
                                  <a:ext cx="57150" cy="57150"/>
                                </a:xfrm>
                                <a:custGeom>
                                  <a:avLst/>
                                  <a:gdLst/>
                                  <a:ahLst/>
                                  <a:cxnLst/>
                                  <a:rect l="0" t="0" r="0" b="0"/>
                                  <a:pathLst>
                                    <a:path w="57150" h="57150">
                                      <a:moveTo>
                                        <a:pt x="28575" y="0"/>
                                      </a:moveTo>
                                      <a:cubicBezTo>
                                        <a:pt x="32364" y="0"/>
                                        <a:pt x="36009" y="695"/>
                                        <a:pt x="39510" y="2158"/>
                                      </a:cubicBezTo>
                                      <a:cubicBezTo>
                                        <a:pt x="43011" y="3597"/>
                                        <a:pt x="46101" y="5655"/>
                                        <a:pt x="48781" y="8359"/>
                                      </a:cubicBezTo>
                                      <a:cubicBezTo>
                                        <a:pt x="51460" y="11013"/>
                                        <a:pt x="53525" y="14089"/>
                                        <a:pt x="54975" y="17587"/>
                                      </a:cubicBezTo>
                                      <a:cubicBezTo>
                                        <a:pt x="56425" y="21084"/>
                                        <a:pt x="57150" y="24730"/>
                                        <a:pt x="57150" y="28575"/>
                                      </a:cubicBezTo>
                                      <a:cubicBezTo>
                                        <a:pt x="57150" y="32321"/>
                                        <a:pt x="56425" y="35967"/>
                                        <a:pt x="54975" y="39439"/>
                                      </a:cubicBezTo>
                                      <a:cubicBezTo>
                                        <a:pt x="53525" y="42937"/>
                                        <a:pt x="51460" y="46013"/>
                                        <a:pt x="48781" y="48741"/>
                                      </a:cubicBezTo>
                                      <a:cubicBezTo>
                                        <a:pt x="46101" y="51371"/>
                                        <a:pt x="43011" y="53454"/>
                                        <a:pt x="39510" y="54918"/>
                                      </a:cubicBezTo>
                                      <a:cubicBezTo>
                                        <a:pt x="36009" y="56356"/>
                                        <a:pt x="32364" y="57100"/>
                                        <a:pt x="28575" y="57150"/>
                                      </a:cubicBezTo>
                                      <a:cubicBezTo>
                                        <a:pt x="24786" y="57100"/>
                                        <a:pt x="21141" y="56356"/>
                                        <a:pt x="17640" y="54918"/>
                                      </a:cubicBezTo>
                                      <a:cubicBezTo>
                                        <a:pt x="14139" y="53454"/>
                                        <a:pt x="11049" y="51371"/>
                                        <a:pt x="8369" y="48741"/>
                                      </a:cubicBezTo>
                                      <a:cubicBezTo>
                                        <a:pt x="5690" y="46013"/>
                                        <a:pt x="3625" y="42937"/>
                                        <a:pt x="2175" y="39439"/>
                                      </a:cubicBezTo>
                                      <a:cubicBezTo>
                                        <a:pt x="725" y="35967"/>
                                        <a:pt x="0" y="32321"/>
                                        <a:pt x="0" y="28575"/>
                                      </a:cubicBezTo>
                                      <a:cubicBezTo>
                                        <a:pt x="0" y="24730"/>
                                        <a:pt x="725" y="21084"/>
                                        <a:pt x="2175" y="17587"/>
                                      </a:cubicBezTo>
                                      <a:cubicBezTo>
                                        <a:pt x="3625" y="14089"/>
                                        <a:pt x="5690" y="11013"/>
                                        <a:pt x="8369" y="8359"/>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491" style="width:4.50001pt;height:28.5pt;position:absolute;mso-position-horizontal-relative:text;mso-position-horizontal:absolute;margin-left:18.75pt;mso-position-vertical-relative:text;margin-top:2.73633pt;" coordsize="571,3619">
                      <v:shape id="Shape 4637" style="position:absolute;width:571;height:571;left:0;top:0;" coordsize="57150,57150" path="m28575,0c32364,0,36009,695,39510,2108c43011,3572,46101,5655,48781,8334c51460,11013,53525,14089,54975,17587c56425,21134,57150,24780,57150,28575c57150,32321,56425,35967,54975,39464c53525,42937,51460,46013,48781,48741c46101,51371,43011,53429,39510,54868c36009,56356,32364,57100,28575,57150c24786,57100,21141,56356,17640,54868c14139,53429,11049,51371,8369,48741c5690,46013,3625,42937,2175,39464c725,35967,0,32321,0,28575c0,24780,725,21134,2175,17587c3625,14089,5690,11013,8369,8334c11049,5655,14139,3572,17640,2108c21141,695,24786,0,28575,0x">
                        <v:stroke weight="0pt" endcap="flat" joinstyle="miter" miterlimit="4" on="false" color="#000000" opacity="0"/>
                        <v:fill on="true" color="#333333"/>
                      </v:shape>
                      <v:shape id="Shape 4640" style="position:absolute;width:571;height:571;left:0;top:3048;" coordsize="57150,57150" path="m28575,0c32364,0,36009,695,39510,2158c43011,3597,46101,5655,48781,8359c51460,11013,53525,14089,54975,17587c56425,21084,57150,24730,57150,28575c57150,32321,56425,35967,54975,39439c53525,42937,51460,46013,48781,48741c46101,51371,43011,53454,39510,54918c36009,56356,32364,57100,28575,57150c24786,57100,21141,56356,17640,54918c14139,53454,11049,51371,8369,48741c5690,46013,3625,42937,2175,39439c725,35967,0,32321,0,28575c0,24730,725,21084,2175,17587c3625,14089,5690,11013,8369,8359c11049,5655,14139,3597,17640,2158c21141,695,24786,0,28575,0x">
                        <v:stroke weight="0pt" endcap="flat" joinstyle="miter" miterlimit="4" on="false" color="#000000" opacity="0"/>
                        <v:fill on="true" color="#333333"/>
                      </v:shape>
                      <w10:wrap type="square"/>
                    </v:group>
                  </w:pict>
                </mc:Fallback>
              </mc:AlternateContent>
            </w:r>
            <w:r>
              <w:t>Многососудистое поражение со шкалой SYNTAX 0–22. Анатомия, способствующая неполной реваскуляризации при КШ.</w:t>
            </w:r>
          </w:p>
          <w:p w:rsidR="008E3F15" w:rsidRDefault="005F449A">
            <w:pPr>
              <w:spacing w:after="0" w:line="216" w:lineRule="auto"/>
              <w:ind w:left="331" w:right="0" w:firstLine="0"/>
            </w:pPr>
            <w:r>
              <w:rPr>
                <w:rFonts w:ascii="Calibri" w:eastAsia="Calibri" w:hAnsi="Calibri" w:cs="Calibri"/>
                <w:noProof/>
                <w:color w:val="000000"/>
                <w:sz w:val="22"/>
              </w:rPr>
              <mc:AlternateContent>
                <mc:Choice Requires="wpg">
                  <w:drawing>
                    <wp:anchor distT="0" distB="0" distL="114300" distR="114300" simplePos="0" relativeHeight="251700224" behindDoc="0" locked="0" layoutInCell="1" allowOverlap="1">
                      <wp:simplePos x="0" y="0"/>
                      <wp:positionH relativeFrom="column">
                        <wp:posOffset>238125</wp:posOffset>
                      </wp:positionH>
                      <wp:positionV relativeFrom="paragraph">
                        <wp:posOffset>34751</wp:posOffset>
                      </wp:positionV>
                      <wp:extent cx="57150" cy="666750"/>
                      <wp:effectExtent l="0" t="0" r="0" b="0"/>
                      <wp:wrapSquare wrapText="bothSides"/>
                      <wp:docPr id="259494" name="Group 25949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4644" name="Shape 4644"/>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06"/>
                                        <a:pt x="48781" y="8334"/>
                                      </a:cubicBezTo>
                                      <a:cubicBezTo>
                                        <a:pt x="51460" y="10964"/>
                                        <a:pt x="53525" y="14064"/>
                                        <a:pt x="54975" y="17587"/>
                                      </a:cubicBezTo>
                                      <a:cubicBezTo>
                                        <a:pt x="56425" y="21084"/>
                                        <a:pt x="57150" y="24730"/>
                                        <a:pt x="57150" y="28575"/>
                                      </a:cubicBezTo>
                                      <a:cubicBezTo>
                                        <a:pt x="57150" y="32321"/>
                                        <a:pt x="56425" y="35967"/>
                                        <a:pt x="54975" y="39464"/>
                                      </a:cubicBezTo>
                                      <a:cubicBezTo>
                                        <a:pt x="53525" y="42937"/>
                                        <a:pt x="51460" y="46013"/>
                                        <a:pt x="48781" y="48741"/>
                                      </a:cubicBezTo>
                                      <a:cubicBezTo>
                                        <a:pt x="46101" y="51371"/>
                                        <a:pt x="43011" y="53454"/>
                                        <a:pt x="39510" y="54918"/>
                                      </a:cubicBezTo>
                                      <a:cubicBezTo>
                                        <a:pt x="36009" y="56356"/>
                                        <a:pt x="32364" y="57100"/>
                                        <a:pt x="28575" y="57150"/>
                                      </a:cubicBezTo>
                                      <a:cubicBezTo>
                                        <a:pt x="24786" y="57100"/>
                                        <a:pt x="21141" y="56356"/>
                                        <a:pt x="17640" y="54918"/>
                                      </a:cubicBezTo>
                                      <a:cubicBezTo>
                                        <a:pt x="14139" y="53454"/>
                                        <a:pt x="11049" y="51371"/>
                                        <a:pt x="8369" y="48741"/>
                                      </a:cubicBezTo>
                                      <a:cubicBezTo>
                                        <a:pt x="5690" y="46013"/>
                                        <a:pt x="3625" y="42937"/>
                                        <a:pt x="2175" y="39464"/>
                                      </a:cubicBezTo>
                                      <a:cubicBezTo>
                                        <a:pt x="725" y="35967"/>
                                        <a:pt x="0" y="32321"/>
                                        <a:pt x="0" y="28575"/>
                                      </a:cubicBezTo>
                                      <a:cubicBezTo>
                                        <a:pt x="0" y="24730"/>
                                        <a:pt x="725" y="21084"/>
                                        <a:pt x="2175" y="17587"/>
                                      </a:cubicBezTo>
                                      <a:cubicBezTo>
                                        <a:pt x="3625" y="14064"/>
                                        <a:pt x="5690" y="10964"/>
                                        <a:pt x="8369" y="8334"/>
                                      </a:cubicBezTo>
                                      <a:cubicBezTo>
                                        <a:pt x="11049" y="5606"/>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47" name="Shape 4647"/>
                              <wps:cNvSpPr/>
                              <wps:spPr>
                                <a:xfrm>
                                  <a:off x="0" y="304800"/>
                                  <a:ext cx="57150" cy="57150"/>
                                </a:xfrm>
                                <a:custGeom>
                                  <a:avLst/>
                                  <a:gdLst/>
                                  <a:ahLst/>
                                  <a:cxnLst/>
                                  <a:rect l="0" t="0" r="0" b="0"/>
                                  <a:pathLst>
                                    <a:path w="57150" h="57150">
                                      <a:moveTo>
                                        <a:pt x="28575" y="0"/>
                                      </a:moveTo>
                                      <a:cubicBezTo>
                                        <a:pt x="32364" y="0"/>
                                        <a:pt x="36009" y="695"/>
                                        <a:pt x="39510" y="2158"/>
                                      </a:cubicBezTo>
                                      <a:cubicBezTo>
                                        <a:pt x="43011" y="3597"/>
                                        <a:pt x="46101" y="5655"/>
                                        <a:pt x="48781" y="8334"/>
                                      </a:cubicBezTo>
                                      <a:cubicBezTo>
                                        <a:pt x="51460" y="10964"/>
                                        <a:pt x="53525" y="14064"/>
                                        <a:pt x="54975" y="17562"/>
                                      </a:cubicBezTo>
                                      <a:cubicBezTo>
                                        <a:pt x="56425" y="21084"/>
                                        <a:pt x="57150" y="24730"/>
                                        <a:pt x="57150" y="28575"/>
                                      </a:cubicBezTo>
                                      <a:cubicBezTo>
                                        <a:pt x="57150" y="32321"/>
                                        <a:pt x="56425" y="35942"/>
                                        <a:pt x="54975" y="39464"/>
                                      </a:cubicBezTo>
                                      <a:cubicBezTo>
                                        <a:pt x="53525" y="42937"/>
                                        <a:pt x="51460" y="46013"/>
                                        <a:pt x="48781" y="48741"/>
                                      </a:cubicBezTo>
                                      <a:cubicBezTo>
                                        <a:pt x="46101" y="51371"/>
                                        <a:pt x="43011" y="53454"/>
                                        <a:pt x="39510" y="54942"/>
                                      </a:cubicBezTo>
                                      <a:cubicBezTo>
                                        <a:pt x="36009" y="56406"/>
                                        <a:pt x="32364" y="57100"/>
                                        <a:pt x="28575" y="57150"/>
                                      </a:cubicBezTo>
                                      <a:cubicBezTo>
                                        <a:pt x="24786" y="57100"/>
                                        <a:pt x="21141" y="56406"/>
                                        <a:pt x="17640" y="54942"/>
                                      </a:cubicBezTo>
                                      <a:cubicBezTo>
                                        <a:pt x="14139" y="53454"/>
                                        <a:pt x="11049" y="51371"/>
                                        <a:pt x="8369" y="48741"/>
                                      </a:cubicBezTo>
                                      <a:cubicBezTo>
                                        <a:pt x="5690" y="46013"/>
                                        <a:pt x="3625" y="42937"/>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97"/>
                                        <a:pt x="17640" y="215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50" name="Shape 4650"/>
                              <wps:cNvSpPr/>
                              <wps:spPr>
                                <a:xfrm>
                                  <a:off x="0" y="609600"/>
                                  <a:ext cx="57150" cy="57150"/>
                                </a:xfrm>
                                <a:custGeom>
                                  <a:avLst/>
                                  <a:gdLst/>
                                  <a:ahLst/>
                                  <a:cxnLst/>
                                  <a:rect l="0" t="0" r="0" b="0"/>
                                  <a:pathLst>
                                    <a:path w="57150" h="57150">
                                      <a:moveTo>
                                        <a:pt x="28575" y="0"/>
                                      </a:moveTo>
                                      <a:cubicBezTo>
                                        <a:pt x="32364" y="0"/>
                                        <a:pt x="36009" y="695"/>
                                        <a:pt x="39510" y="2108"/>
                                      </a:cubicBezTo>
                                      <a:cubicBezTo>
                                        <a:pt x="43011" y="3572"/>
                                        <a:pt x="46101" y="5655"/>
                                        <a:pt x="48781" y="8334"/>
                                      </a:cubicBezTo>
                                      <a:cubicBezTo>
                                        <a:pt x="51460" y="10964"/>
                                        <a:pt x="53525" y="14064"/>
                                        <a:pt x="54975" y="17562"/>
                                      </a:cubicBezTo>
                                      <a:cubicBezTo>
                                        <a:pt x="56425" y="21084"/>
                                        <a:pt x="57150" y="24730"/>
                                        <a:pt x="57150" y="28575"/>
                                      </a:cubicBezTo>
                                      <a:cubicBezTo>
                                        <a:pt x="57150" y="32321"/>
                                        <a:pt x="56425" y="35942"/>
                                        <a:pt x="54975" y="39464"/>
                                      </a:cubicBezTo>
                                      <a:cubicBezTo>
                                        <a:pt x="53525" y="42962"/>
                                        <a:pt x="51460" y="46062"/>
                                        <a:pt x="48781" y="48766"/>
                                      </a:cubicBezTo>
                                      <a:cubicBezTo>
                                        <a:pt x="46101" y="51420"/>
                                        <a:pt x="43011" y="53454"/>
                                        <a:pt x="39510" y="54918"/>
                                      </a:cubicBezTo>
                                      <a:cubicBezTo>
                                        <a:pt x="36009" y="56356"/>
                                        <a:pt x="32364" y="57100"/>
                                        <a:pt x="28575" y="57150"/>
                                      </a:cubicBezTo>
                                      <a:cubicBezTo>
                                        <a:pt x="24786" y="57100"/>
                                        <a:pt x="21141" y="56356"/>
                                        <a:pt x="17640" y="54918"/>
                                      </a:cubicBezTo>
                                      <a:cubicBezTo>
                                        <a:pt x="14139" y="53454"/>
                                        <a:pt x="11049" y="51420"/>
                                        <a:pt x="8369" y="48766"/>
                                      </a:cubicBezTo>
                                      <a:cubicBezTo>
                                        <a:pt x="5690" y="46062"/>
                                        <a:pt x="3625" y="42962"/>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494" style="width:4.50001pt;height:52.5pt;position:absolute;mso-position-horizontal-relative:text;mso-position-horizontal:absolute;margin-left:18.75pt;mso-position-vertical-relative:text;margin-top:2.73633pt;" coordsize="571,6667">
                      <v:shape id="Shape 4644" style="position:absolute;width:571;height:571;left:0;top:0;" coordsize="57150,57150" path="m28575,0c32364,0,36009,695,39510,2108c43011,3572,46101,5606,48781,8334c51460,10964,53525,14064,54975,17587c56425,21084,57150,24730,57150,28575c57150,32321,56425,35967,54975,39464c53525,42937,51460,46013,48781,48741c46101,51371,43011,53454,39510,54918c36009,56356,32364,57100,28575,57150c24786,57100,21141,56356,17640,54918c14139,53454,11049,51371,8369,48741c5690,46013,3625,42937,2175,39464c725,35967,0,32321,0,28575c0,24730,725,21084,2175,17587c3625,14064,5690,10964,8369,8334c11049,5606,14139,3572,17640,2108c21141,695,24786,0,28575,0x">
                        <v:stroke weight="0pt" endcap="flat" joinstyle="miter" miterlimit="4" on="false" color="#000000" opacity="0"/>
                        <v:fill on="true" color="#333333"/>
                      </v:shape>
                      <v:shape id="Shape 4647" style="position:absolute;width:571;height:571;left:0;top:3048;" coordsize="57150,57150" path="m28575,0c32364,0,36009,695,39510,2158c43011,3597,46101,5655,48781,8334c51460,10964,53525,14064,54975,17562c56425,21084,57150,24730,57150,28575c57150,32321,56425,35942,54975,39464c53525,42937,51460,46013,48781,48741c46101,51371,43011,53454,39510,54942c36009,56406,32364,57100,28575,57150c24786,57100,21141,56406,17640,54942c14139,53454,11049,51371,8369,48741c5690,46013,3625,42937,2175,39464c725,35942,0,32321,0,28575c0,24730,725,21084,2175,17562c3625,14064,5690,10964,8369,8334c11049,5655,14139,3597,17640,2158c21141,695,24786,0,28575,0x">
                        <v:stroke weight="0pt" endcap="flat" joinstyle="miter" miterlimit="4" on="false" color="#000000" opacity="0"/>
                        <v:fill on="true" color="#333333"/>
                      </v:shape>
                      <v:shape id="Shape 4650" style="position:absolute;width:571;height:571;left:0;top:6096;" coordsize="57150,57150" path="m28575,0c32364,0,36009,695,39510,2108c43011,3572,46101,5655,48781,8334c51460,10964,53525,14064,54975,17562c56425,21084,57150,24730,57150,28575c57150,32321,56425,35942,54975,39464c53525,42962,51460,46062,48781,48766c46101,51420,43011,53454,39510,54918c36009,56356,32364,57100,28575,57150c24786,57100,21141,56356,17640,54918c14139,53454,11049,51420,8369,48766c5690,46062,3625,42962,2175,39464c725,35942,0,32321,0,28575c0,24730,725,21084,2175,17562c3625,14064,5690,10964,8369,8334c11049,5655,14139,3572,17640,2108c21141,695,24786,0,28575,0x">
                        <v:stroke weight="0pt" endcap="flat" joinstyle="miter" miterlimit="4" on="false" color="#000000" opacity="0"/>
                        <v:fill on="true" color="#333333"/>
                      </v:shape>
                      <w10:wrap type="square"/>
                    </v:group>
                  </w:pict>
                </mc:Fallback>
              </mc:AlternateContent>
            </w:r>
            <w:r>
              <w:t>Выраженная деформация грудной клетки или сколиоз.</w:t>
            </w:r>
          </w:p>
          <w:p w:rsidR="008E3F15" w:rsidRDefault="005F449A">
            <w:pPr>
              <w:spacing w:after="0" w:line="216" w:lineRule="auto"/>
              <w:ind w:left="331" w:right="0" w:firstLine="0"/>
            </w:pPr>
            <w:r>
              <w:t>Осложнения облучения грудной клетки.</w:t>
            </w:r>
          </w:p>
          <w:p w:rsidR="008E3F15" w:rsidRDefault="005F449A">
            <w:pPr>
              <w:spacing w:after="0" w:line="259" w:lineRule="auto"/>
              <w:ind w:left="331" w:right="0" w:firstLine="0"/>
            </w:pPr>
            <w:r>
              <w:t>Фарфоровая аорта</w:t>
            </w:r>
          </w:p>
        </w:tc>
        <w:tc>
          <w:tcPr>
            <w:tcW w:w="4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16" w:lineRule="auto"/>
              <w:ind w:left="331" w:right="0" w:firstLine="0"/>
            </w:pPr>
            <w:r>
              <w:rPr>
                <w:rFonts w:ascii="Calibri" w:eastAsia="Calibri" w:hAnsi="Calibri" w:cs="Calibri"/>
                <w:noProof/>
                <w:color w:val="000000"/>
                <w:sz w:val="22"/>
              </w:rPr>
              <mc:AlternateContent>
                <mc:Choice Requires="wpg">
                  <w:drawing>
                    <wp:anchor distT="0" distB="0" distL="114300" distR="114300" simplePos="0" relativeHeight="251701248" behindDoc="0" locked="0" layoutInCell="1" allowOverlap="1">
                      <wp:simplePos x="0" y="0"/>
                      <wp:positionH relativeFrom="column">
                        <wp:posOffset>238125</wp:posOffset>
                      </wp:positionH>
                      <wp:positionV relativeFrom="paragraph">
                        <wp:posOffset>34751</wp:posOffset>
                      </wp:positionV>
                      <wp:extent cx="57150" cy="361950"/>
                      <wp:effectExtent l="0" t="0" r="0" b="0"/>
                      <wp:wrapSquare wrapText="bothSides"/>
                      <wp:docPr id="259840" name="Group 259840"/>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4652" name="Shape 4652"/>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0" y="8334"/>
                                      </a:cubicBezTo>
                                      <a:cubicBezTo>
                                        <a:pt x="51460" y="11013"/>
                                        <a:pt x="53524" y="14089"/>
                                        <a:pt x="54975" y="17587"/>
                                      </a:cubicBezTo>
                                      <a:cubicBezTo>
                                        <a:pt x="56424" y="21134"/>
                                        <a:pt x="57150" y="24780"/>
                                        <a:pt x="57150" y="28575"/>
                                      </a:cubicBezTo>
                                      <a:cubicBezTo>
                                        <a:pt x="57150" y="32321"/>
                                        <a:pt x="56424" y="35942"/>
                                        <a:pt x="54975" y="39439"/>
                                      </a:cubicBezTo>
                                      <a:cubicBezTo>
                                        <a:pt x="53524" y="42937"/>
                                        <a:pt x="51460" y="46013"/>
                                        <a:pt x="48780" y="48741"/>
                                      </a:cubicBezTo>
                                      <a:cubicBezTo>
                                        <a:pt x="46101" y="51371"/>
                                        <a:pt x="43011" y="53429"/>
                                        <a:pt x="39510" y="54868"/>
                                      </a:cubicBezTo>
                                      <a:cubicBezTo>
                                        <a:pt x="36009" y="56356"/>
                                        <a:pt x="32364" y="57100"/>
                                        <a:pt x="28575" y="57150"/>
                                      </a:cubicBezTo>
                                      <a:cubicBezTo>
                                        <a:pt x="24785" y="57100"/>
                                        <a:pt x="21140" y="56356"/>
                                        <a:pt x="17639" y="54868"/>
                                      </a:cubicBezTo>
                                      <a:cubicBezTo>
                                        <a:pt x="14139" y="53429"/>
                                        <a:pt x="11049" y="51371"/>
                                        <a:pt x="8369" y="48741"/>
                                      </a:cubicBezTo>
                                      <a:cubicBezTo>
                                        <a:pt x="5690" y="46013"/>
                                        <a:pt x="3625" y="42937"/>
                                        <a:pt x="2175" y="39439"/>
                                      </a:cubicBezTo>
                                      <a:cubicBezTo>
                                        <a:pt x="725" y="35942"/>
                                        <a:pt x="0" y="32321"/>
                                        <a:pt x="0" y="28575"/>
                                      </a:cubicBezTo>
                                      <a:cubicBezTo>
                                        <a:pt x="0" y="24780"/>
                                        <a:pt x="725" y="21134"/>
                                        <a:pt x="2175" y="17587"/>
                                      </a:cubicBezTo>
                                      <a:cubicBezTo>
                                        <a:pt x="3625" y="14089"/>
                                        <a:pt x="5690" y="11013"/>
                                        <a:pt x="8369" y="8334"/>
                                      </a:cubicBezTo>
                                      <a:cubicBezTo>
                                        <a:pt x="11049" y="5655"/>
                                        <a:pt x="14139" y="3572"/>
                                        <a:pt x="17639" y="210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55" name="Shape 4655"/>
                              <wps:cNvSpPr/>
                              <wps:spPr>
                                <a:xfrm>
                                  <a:off x="0" y="304800"/>
                                  <a:ext cx="57150" cy="57150"/>
                                </a:xfrm>
                                <a:custGeom>
                                  <a:avLst/>
                                  <a:gdLst/>
                                  <a:ahLst/>
                                  <a:cxnLst/>
                                  <a:rect l="0" t="0" r="0" b="0"/>
                                  <a:pathLst>
                                    <a:path w="57150" h="57150">
                                      <a:moveTo>
                                        <a:pt x="28575" y="0"/>
                                      </a:moveTo>
                                      <a:cubicBezTo>
                                        <a:pt x="32364" y="0"/>
                                        <a:pt x="36009" y="695"/>
                                        <a:pt x="39510" y="2108"/>
                                      </a:cubicBezTo>
                                      <a:cubicBezTo>
                                        <a:pt x="43011" y="3572"/>
                                        <a:pt x="46101" y="5606"/>
                                        <a:pt x="48780" y="8334"/>
                                      </a:cubicBezTo>
                                      <a:cubicBezTo>
                                        <a:pt x="51460" y="11013"/>
                                        <a:pt x="53524" y="14089"/>
                                        <a:pt x="54975" y="17587"/>
                                      </a:cubicBezTo>
                                      <a:cubicBezTo>
                                        <a:pt x="56424" y="21084"/>
                                        <a:pt x="57150" y="24730"/>
                                        <a:pt x="57150" y="28575"/>
                                      </a:cubicBezTo>
                                      <a:cubicBezTo>
                                        <a:pt x="57150" y="32321"/>
                                        <a:pt x="56424" y="35967"/>
                                        <a:pt x="54975" y="39439"/>
                                      </a:cubicBezTo>
                                      <a:cubicBezTo>
                                        <a:pt x="53524" y="42937"/>
                                        <a:pt x="51460" y="46013"/>
                                        <a:pt x="48780" y="48741"/>
                                      </a:cubicBezTo>
                                      <a:cubicBezTo>
                                        <a:pt x="46101" y="51371"/>
                                        <a:pt x="43011" y="53454"/>
                                        <a:pt x="39510" y="54918"/>
                                      </a:cubicBezTo>
                                      <a:cubicBezTo>
                                        <a:pt x="36009" y="56356"/>
                                        <a:pt x="32364" y="57100"/>
                                        <a:pt x="28575" y="57150"/>
                                      </a:cubicBezTo>
                                      <a:cubicBezTo>
                                        <a:pt x="24785" y="57100"/>
                                        <a:pt x="21140" y="56356"/>
                                        <a:pt x="17639" y="54918"/>
                                      </a:cubicBezTo>
                                      <a:cubicBezTo>
                                        <a:pt x="14139" y="53454"/>
                                        <a:pt x="11049" y="51371"/>
                                        <a:pt x="8369" y="48741"/>
                                      </a:cubicBezTo>
                                      <a:cubicBezTo>
                                        <a:pt x="5690" y="46013"/>
                                        <a:pt x="3625" y="42937"/>
                                        <a:pt x="2175" y="39439"/>
                                      </a:cubicBezTo>
                                      <a:cubicBezTo>
                                        <a:pt x="725" y="35967"/>
                                        <a:pt x="0" y="32321"/>
                                        <a:pt x="0" y="28575"/>
                                      </a:cubicBezTo>
                                      <a:cubicBezTo>
                                        <a:pt x="0" y="24730"/>
                                        <a:pt x="725" y="21084"/>
                                        <a:pt x="2175" y="17587"/>
                                      </a:cubicBezTo>
                                      <a:cubicBezTo>
                                        <a:pt x="3625" y="14089"/>
                                        <a:pt x="5690" y="11013"/>
                                        <a:pt x="8369" y="8334"/>
                                      </a:cubicBezTo>
                                      <a:cubicBezTo>
                                        <a:pt x="11049" y="5606"/>
                                        <a:pt x="14139" y="3572"/>
                                        <a:pt x="17639" y="210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840" style="width:4.5pt;height:28.5pt;position:absolute;mso-position-horizontal-relative:text;mso-position-horizontal:absolute;margin-left:18.75pt;mso-position-vertical-relative:text;margin-top:2.73633pt;" coordsize="571,3619">
                      <v:shape id="Shape 4652" style="position:absolute;width:571;height:571;left:0;top:0;" coordsize="57150,57150" path="m28575,0c32364,0,36009,695,39510,2108c43011,3572,46101,5655,48780,8334c51460,11013,53524,14089,54975,17587c56424,21134,57150,24780,57150,28575c57150,32321,56424,35942,54975,39439c53524,42937,51460,46013,48780,48741c46101,51371,43011,53429,39510,54868c36009,56356,32364,57100,28575,57150c24785,57100,21140,56356,17639,54868c14139,53429,11049,51371,8369,48741c5690,46013,3625,42937,2175,39439c725,35942,0,32321,0,28575c0,24780,725,21134,2175,17587c3625,14089,5690,11013,8369,8334c11049,5655,14139,3572,17639,2108c21140,695,24785,0,28575,0x">
                        <v:stroke weight="0pt" endcap="flat" joinstyle="miter" miterlimit="4" on="false" color="#000000" opacity="0"/>
                        <v:fill on="true" color="#333333"/>
                      </v:shape>
                      <v:shape id="Shape 4655" style="position:absolute;width:571;height:571;left:0;top:3048;" coordsize="57150,57150" path="m28575,0c32364,0,36009,695,39510,2108c43011,3572,46101,5606,48780,8334c51460,11013,53524,14089,54975,17587c56424,21084,57150,24730,57150,28575c57150,32321,56424,35967,54975,39439c53524,42937,51460,46013,48780,48741c46101,51371,43011,53454,39510,54918c36009,56356,32364,57100,28575,57150c24785,57100,21140,56356,17639,54918c14139,53454,11049,51371,8369,48741c5690,46013,3625,42937,2175,39439c725,35967,0,32321,0,28575c0,24730,725,21084,2175,17587c3625,14089,5690,11013,8369,8334c11049,5606,14139,3572,17639,2108c21140,695,24785,0,28575,0x">
                        <v:stroke weight="0pt" endcap="flat" joinstyle="miter" miterlimit="4" on="false" color="#000000" opacity="0"/>
                        <v:fill on="true" color="#333333"/>
                      </v:shape>
                      <w10:wrap type="square"/>
                    </v:group>
                  </w:pict>
                </mc:Fallback>
              </mc:AlternateContent>
            </w:r>
            <w:r>
              <w:t>Рецидивирующий диффузн</w:t>
            </w:r>
            <w:r>
              <w:t>ый внутристентовый рестеноз. Поражение левой главной артерии со шкалой SYNTAX ≥23– 33.</w:t>
            </w:r>
          </w:p>
          <w:p w:rsidR="008E3F15" w:rsidRDefault="005F449A">
            <w:pPr>
              <w:spacing w:after="0" w:line="259" w:lineRule="auto"/>
              <w:ind w:left="331" w:right="26" w:firstLine="183"/>
            </w:pPr>
            <w:r>
              <w:rPr>
                <w:rFonts w:ascii="Calibri" w:eastAsia="Calibri" w:hAnsi="Calibri" w:cs="Calibri"/>
                <w:noProof/>
                <w:color w:val="000000"/>
                <w:sz w:val="22"/>
              </w:rPr>
              <mc:AlternateContent>
                <mc:Choice Requires="wpg">
                  <w:drawing>
                    <wp:anchor distT="0" distB="0" distL="114300" distR="114300" simplePos="0" relativeHeight="251702272" behindDoc="0" locked="0" layoutInCell="1" allowOverlap="1">
                      <wp:simplePos x="0" y="0"/>
                      <wp:positionH relativeFrom="column">
                        <wp:posOffset>238125</wp:posOffset>
                      </wp:positionH>
                      <wp:positionV relativeFrom="paragraph">
                        <wp:posOffset>34751</wp:posOffset>
                      </wp:positionV>
                      <wp:extent cx="57150" cy="361950"/>
                      <wp:effectExtent l="0" t="0" r="0" b="0"/>
                      <wp:wrapSquare wrapText="bothSides"/>
                      <wp:docPr id="259841" name="Group 25984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4659" name="Shape 4659"/>
                              <wps:cNvSpPr/>
                              <wps:spPr>
                                <a:xfrm>
                                  <a:off x="0" y="0"/>
                                  <a:ext cx="57150" cy="57150"/>
                                </a:xfrm>
                                <a:custGeom>
                                  <a:avLst/>
                                  <a:gdLst/>
                                  <a:ahLst/>
                                  <a:cxnLst/>
                                  <a:rect l="0" t="0" r="0" b="0"/>
                                  <a:pathLst>
                                    <a:path w="57150" h="57150">
                                      <a:moveTo>
                                        <a:pt x="28575" y="0"/>
                                      </a:moveTo>
                                      <a:cubicBezTo>
                                        <a:pt x="32364" y="0"/>
                                        <a:pt x="36009" y="695"/>
                                        <a:pt x="39510" y="2158"/>
                                      </a:cubicBezTo>
                                      <a:cubicBezTo>
                                        <a:pt x="43011" y="3597"/>
                                        <a:pt x="46101" y="5655"/>
                                        <a:pt x="48780" y="8359"/>
                                      </a:cubicBezTo>
                                      <a:cubicBezTo>
                                        <a:pt x="51460" y="11013"/>
                                        <a:pt x="53524" y="14064"/>
                                        <a:pt x="54975" y="17587"/>
                                      </a:cubicBezTo>
                                      <a:cubicBezTo>
                                        <a:pt x="56424" y="21084"/>
                                        <a:pt x="57150" y="24730"/>
                                        <a:pt x="57150" y="28575"/>
                                      </a:cubicBezTo>
                                      <a:cubicBezTo>
                                        <a:pt x="57150" y="32321"/>
                                        <a:pt x="56424" y="35967"/>
                                        <a:pt x="54975" y="39464"/>
                                      </a:cubicBezTo>
                                      <a:cubicBezTo>
                                        <a:pt x="53524" y="42962"/>
                                        <a:pt x="51460" y="46062"/>
                                        <a:pt x="48780" y="48766"/>
                                      </a:cubicBezTo>
                                      <a:cubicBezTo>
                                        <a:pt x="46101" y="51420"/>
                                        <a:pt x="43011" y="53454"/>
                                        <a:pt x="39510" y="54918"/>
                                      </a:cubicBezTo>
                                      <a:cubicBezTo>
                                        <a:pt x="36009" y="56356"/>
                                        <a:pt x="32364" y="57100"/>
                                        <a:pt x="28575" y="57150"/>
                                      </a:cubicBezTo>
                                      <a:cubicBezTo>
                                        <a:pt x="24785" y="57100"/>
                                        <a:pt x="21140" y="56356"/>
                                        <a:pt x="17639" y="54918"/>
                                      </a:cubicBezTo>
                                      <a:cubicBezTo>
                                        <a:pt x="14139" y="53454"/>
                                        <a:pt x="11049" y="51420"/>
                                        <a:pt x="8369" y="48766"/>
                                      </a:cubicBezTo>
                                      <a:cubicBezTo>
                                        <a:pt x="5690" y="46062"/>
                                        <a:pt x="3625" y="42962"/>
                                        <a:pt x="2175" y="39464"/>
                                      </a:cubicBezTo>
                                      <a:cubicBezTo>
                                        <a:pt x="725" y="35967"/>
                                        <a:pt x="0" y="32321"/>
                                        <a:pt x="0" y="28575"/>
                                      </a:cubicBezTo>
                                      <a:cubicBezTo>
                                        <a:pt x="0" y="24730"/>
                                        <a:pt x="725" y="21084"/>
                                        <a:pt x="2175" y="17587"/>
                                      </a:cubicBezTo>
                                      <a:cubicBezTo>
                                        <a:pt x="3625" y="14064"/>
                                        <a:pt x="5690" y="11013"/>
                                        <a:pt x="8369" y="8359"/>
                                      </a:cubicBezTo>
                                      <a:cubicBezTo>
                                        <a:pt x="11049" y="5655"/>
                                        <a:pt x="14139" y="3597"/>
                                        <a:pt x="17639" y="215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62" name="Shape 4662"/>
                              <wps:cNvSpPr/>
                              <wps:spPr>
                                <a:xfrm>
                                  <a:off x="0" y="304800"/>
                                  <a:ext cx="57150" cy="57150"/>
                                </a:xfrm>
                                <a:custGeom>
                                  <a:avLst/>
                                  <a:gdLst/>
                                  <a:ahLst/>
                                  <a:cxnLst/>
                                  <a:rect l="0" t="0" r="0" b="0"/>
                                  <a:pathLst>
                                    <a:path w="57150" h="57150">
                                      <a:moveTo>
                                        <a:pt x="28575" y="0"/>
                                      </a:moveTo>
                                      <a:cubicBezTo>
                                        <a:pt x="32364" y="0"/>
                                        <a:pt x="36009" y="695"/>
                                        <a:pt x="39510" y="2158"/>
                                      </a:cubicBezTo>
                                      <a:cubicBezTo>
                                        <a:pt x="43011" y="3597"/>
                                        <a:pt x="46101" y="5655"/>
                                        <a:pt x="48780" y="8334"/>
                                      </a:cubicBezTo>
                                      <a:cubicBezTo>
                                        <a:pt x="51460" y="10964"/>
                                        <a:pt x="53524" y="14064"/>
                                        <a:pt x="54975" y="17562"/>
                                      </a:cubicBezTo>
                                      <a:cubicBezTo>
                                        <a:pt x="56424" y="21084"/>
                                        <a:pt x="57150" y="24730"/>
                                        <a:pt x="57150" y="28575"/>
                                      </a:cubicBezTo>
                                      <a:cubicBezTo>
                                        <a:pt x="57150" y="32321"/>
                                        <a:pt x="56424" y="35967"/>
                                        <a:pt x="54975" y="39464"/>
                                      </a:cubicBezTo>
                                      <a:cubicBezTo>
                                        <a:pt x="53524" y="42937"/>
                                        <a:pt x="51460" y="46013"/>
                                        <a:pt x="48780" y="48741"/>
                                      </a:cubicBezTo>
                                      <a:cubicBezTo>
                                        <a:pt x="46101" y="51371"/>
                                        <a:pt x="43011" y="53454"/>
                                        <a:pt x="39510" y="54942"/>
                                      </a:cubicBezTo>
                                      <a:cubicBezTo>
                                        <a:pt x="36009" y="56406"/>
                                        <a:pt x="32364" y="57100"/>
                                        <a:pt x="28575" y="57150"/>
                                      </a:cubicBezTo>
                                      <a:cubicBezTo>
                                        <a:pt x="24785" y="57100"/>
                                        <a:pt x="21140" y="56406"/>
                                        <a:pt x="17639" y="54942"/>
                                      </a:cubicBezTo>
                                      <a:cubicBezTo>
                                        <a:pt x="14139" y="53454"/>
                                        <a:pt x="11049" y="51371"/>
                                        <a:pt x="8369" y="48741"/>
                                      </a:cubicBezTo>
                                      <a:cubicBezTo>
                                        <a:pt x="5690" y="46013"/>
                                        <a:pt x="3625" y="42937"/>
                                        <a:pt x="2175" y="39464"/>
                                      </a:cubicBezTo>
                                      <a:cubicBezTo>
                                        <a:pt x="725" y="35967"/>
                                        <a:pt x="0" y="32321"/>
                                        <a:pt x="0" y="28575"/>
                                      </a:cubicBezTo>
                                      <a:cubicBezTo>
                                        <a:pt x="0" y="24730"/>
                                        <a:pt x="725" y="21084"/>
                                        <a:pt x="2175" y="17562"/>
                                      </a:cubicBezTo>
                                      <a:cubicBezTo>
                                        <a:pt x="3625" y="14064"/>
                                        <a:pt x="5690" y="10964"/>
                                        <a:pt x="8369" y="8334"/>
                                      </a:cubicBezTo>
                                      <a:cubicBezTo>
                                        <a:pt x="11049" y="5655"/>
                                        <a:pt x="14139" y="3597"/>
                                        <a:pt x="17639" y="215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841" style="width:4.5pt;height:28.5pt;position:absolute;mso-position-horizontal-relative:text;mso-position-horizontal:absolute;margin-left:18.75pt;mso-position-vertical-relative:text;margin-top:2.73633pt;" coordsize="571,3619">
                      <v:shape id="Shape 4659" style="position:absolute;width:571;height:571;left:0;top:0;" coordsize="57150,57150" path="m28575,0c32364,0,36009,695,39510,2158c43011,3597,46101,5655,48780,8359c51460,11013,53524,14064,54975,17587c56424,21084,57150,24730,57150,28575c57150,32321,56424,35967,54975,39464c53524,42962,51460,46062,48780,48766c46101,51420,43011,53454,39510,54918c36009,56356,32364,57100,28575,57150c24785,57100,21140,56356,17639,54918c14139,53454,11049,51420,8369,48766c5690,46062,3625,42962,2175,39464c725,35967,0,32321,0,28575c0,24730,725,21084,2175,17587c3625,14064,5690,11013,8369,8359c11049,5655,14139,3597,17639,2158c21140,695,24785,0,28575,0x">
                        <v:stroke weight="0pt" endcap="flat" joinstyle="miter" miterlimit="4" on="false" color="#000000" opacity="0"/>
                        <v:fill on="true" color="#333333"/>
                      </v:shape>
                      <v:shape id="Shape 4662" style="position:absolute;width:571;height:571;left:0;top:3048;" coordsize="57150,57150" path="m28575,0c32364,0,36009,695,39510,2158c43011,3597,46101,5655,48780,8334c51460,10964,53524,14064,54975,17562c56424,21084,57150,24730,57150,28575c57150,32321,56424,35967,54975,39464c53524,42937,51460,46013,48780,48741c46101,51371,43011,53454,39510,54942c36009,56406,32364,57100,28575,57150c24785,57100,21140,56406,17639,54942c14139,53454,11049,51371,8369,48741c5690,46013,3625,42937,2175,39464c725,35967,0,32321,0,28575c0,24730,725,21084,2175,17562c3625,14064,5690,10964,8369,8334c11049,5655,14139,3597,17639,2158c21140,695,24785,0,28575,0x">
                        <v:stroke weight="0pt" endcap="flat" joinstyle="miter" miterlimit="4" on="false" color="#000000" opacity="0"/>
                        <v:fill on="true" color="#333333"/>
                      </v:shape>
                      <w10:wrap type="square"/>
                    </v:group>
                  </w:pict>
                </mc:Fallback>
              </mc:AlternateContent>
            </w:r>
            <w:r>
              <w:t xml:space="preserve">Многососудистое поражение со шкалой SYNTAX ≥23. Анатомия, способствующая неполной реваскуляризации при коронарном вмешательстве. </w:t>
            </w:r>
            <w:r>
              <w:rPr>
                <w:rFonts w:ascii="Calibri" w:eastAsia="Calibri" w:hAnsi="Calibri" w:cs="Calibri"/>
                <w:noProof/>
                <w:color w:val="000000"/>
                <w:sz w:val="22"/>
              </w:rPr>
              <mc:AlternateContent>
                <mc:Choice Requires="wpg">
                  <w:drawing>
                    <wp:inline distT="0" distB="0" distL="0" distR="0">
                      <wp:extent cx="57150" cy="57150"/>
                      <wp:effectExtent l="0" t="0" r="0" b="0"/>
                      <wp:docPr id="259842" name="Group 25984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666" name="Shape 4666"/>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0" y="8334"/>
                                      </a:cubicBezTo>
                                      <a:cubicBezTo>
                                        <a:pt x="51460" y="10964"/>
                                        <a:pt x="53524" y="14064"/>
                                        <a:pt x="54975" y="17562"/>
                                      </a:cubicBezTo>
                                      <a:cubicBezTo>
                                        <a:pt x="56424" y="21084"/>
                                        <a:pt x="57150" y="24730"/>
                                        <a:pt x="57150" y="28575"/>
                                      </a:cubicBezTo>
                                      <a:cubicBezTo>
                                        <a:pt x="57150" y="32321"/>
                                        <a:pt x="56424" y="35942"/>
                                        <a:pt x="54975" y="39464"/>
                                      </a:cubicBezTo>
                                      <a:cubicBezTo>
                                        <a:pt x="53524" y="42962"/>
                                        <a:pt x="51460" y="46062"/>
                                        <a:pt x="48780" y="48766"/>
                                      </a:cubicBezTo>
                                      <a:cubicBezTo>
                                        <a:pt x="46101" y="51420"/>
                                        <a:pt x="43011" y="53454"/>
                                        <a:pt x="39510" y="54918"/>
                                      </a:cubicBezTo>
                                      <a:cubicBezTo>
                                        <a:pt x="36009" y="56356"/>
                                        <a:pt x="32364" y="57100"/>
                                        <a:pt x="28575" y="57150"/>
                                      </a:cubicBezTo>
                                      <a:cubicBezTo>
                                        <a:pt x="24785" y="57100"/>
                                        <a:pt x="21140" y="56356"/>
                                        <a:pt x="17639" y="54918"/>
                                      </a:cubicBezTo>
                                      <a:cubicBezTo>
                                        <a:pt x="14139" y="53454"/>
                                        <a:pt x="11049" y="51420"/>
                                        <a:pt x="8369" y="48766"/>
                                      </a:cubicBezTo>
                                      <a:cubicBezTo>
                                        <a:pt x="5690" y="46062"/>
                                        <a:pt x="3625" y="42962"/>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72"/>
                                        <a:pt x="17639" y="210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59842" style="width:4.5pt;height:4.5pt;mso-position-horizontal-relative:char;mso-position-vertical-relative:line" coordsize="571,571">
                      <v:shape id="Shape 4666" style="position:absolute;width:571;height:571;left:0;top:0;" coordsize="57150,57150" path="m28575,0c32364,0,36009,695,39510,2108c43011,3572,46101,5655,48780,8334c51460,10964,53524,14064,54975,17562c56424,21084,57150,24730,57150,28575c57150,32321,56424,35942,54975,39464c53524,42962,51460,46062,48780,48766c46101,51420,43011,53454,39510,54918c36009,56356,32364,57100,28575,57150c24785,57100,21140,56356,17639,54918c14139,53454,11049,51420,8369,48766c5690,46062,3625,42962,2175,39464c725,35942,0,32321,0,28575c0,24730,725,21084,2175,17562c3625,14064,5690,10964,8369,8334c11049,5655,14139,3572,17639,2108c21140,695,24785,0,28575,0x">
                        <v:stroke weight="0pt" endcap="flat" joinstyle="miter" miterlimit="4" on="false" color="#000000" opacity="0"/>
                        <v:fill on="true" color="#333333"/>
                      </v:shape>
                    </v:group>
                  </w:pict>
                </mc:Fallback>
              </mc:AlternateContent>
            </w:r>
            <w:r>
              <w:t xml:space="preserve"> Выраженная кальцификация коронарной артерии</w:t>
            </w:r>
          </w:p>
        </w:tc>
      </w:tr>
      <w:tr w:rsidR="008E3F15">
        <w:trPr>
          <w:trHeight w:val="1290"/>
        </w:trPr>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Другая хирургия</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00" w:right="0" w:hanging="269"/>
            </w:pPr>
            <w:r>
              <w:rPr>
                <w:rFonts w:ascii="Calibri" w:eastAsia="Calibri" w:hAnsi="Calibri" w:cs="Calibri"/>
                <w:noProof/>
                <w:color w:val="000000"/>
                <w:sz w:val="22"/>
              </w:rPr>
              <mc:AlternateContent>
                <mc:Choice Requires="wpg">
                  <w:drawing>
                    <wp:inline distT="0" distB="0" distL="0" distR="0">
                      <wp:extent cx="57150" cy="57150"/>
                      <wp:effectExtent l="0" t="0" r="0" b="0"/>
                      <wp:docPr id="260086" name="Group 26008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4671" name="Shape 4671"/>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1" y="8334"/>
                                      </a:cubicBezTo>
                                      <a:cubicBezTo>
                                        <a:pt x="51460" y="10964"/>
                                        <a:pt x="53525" y="14064"/>
                                        <a:pt x="54975" y="17562"/>
                                      </a:cubicBezTo>
                                      <a:cubicBezTo>
                                        <a:pt x="56425" y="21084"/>
                                        <a:pt x="57150" y="24730"/>
                                        <a:pt x="57150" y="28575"/>
                                      </a:cubicBezTo>
                                      <a:cubicBezTo>
                                        <a:pt x="57150" y="32321"/>
                                        <a:pt x="56425" y="35942"/>
                                        <a:pt x="54975" y="39464"/>
                                      </a:cubicBezTo>
                                      <a:cubicBezTo>
                                        <a:pt x="53525" y="42962"/>
                                        <a:pt x="51460" y="46062"/>
                                        <a:pt x="48781" y="48741"/>
                                      </a:cubicBezTo>
                                      <a:cubicBezTo>
                                        <a:pt x="46101" y="51371"/>
                                        <a:pt x="43011" y="53454"/>
                                        <a:pt x="39510" y="54918"/>
                                      </a:cubicBezTo>
                                      <a:cubicBezTo>
                                        <a:pt x="36009" y="56356"/>
                                        <a:pt x="32364" y="57100"/>
                                        <a:pt x="28575" y="57150"/>
                                      </a:cubicBezTo>
                                      <a:cubicBezTo>
                                        <a:pt x="24786" y="57100"/>
                                        <a:pt x="21141" y="56356"/>
                                        <a:pt x="17640" y="54918"/>
                                      </a:cubicBezTo>
                                      <a:cubicBezTo>
                                        <a:pt x="14139" y="53454"/>
                                        <a:pt x="11049" y="51371"/>
                                        <a:pt x="8369" y="48741"/>
                                      </a:cubicBezTo>
                                      <a:cubicBezTo>
                                        <a:pt x="5690" y="46062"/>
                                        <a:pt x="3625" y="42962"/>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72"/>
                                        <a:pt x="17640" y="2108"/>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60086" style="width:4.50001pt;height:4.5pt;mso-position-horizontal-relative:char;mso-position-vertical-relative:line" coordsize="571,571">
                      <v:shape id="Shape 4671" style="position:absolute;width:571;height:571;left:0;top:0;" coordsize="57150,57150" path="m28575,0c32364,0,36009,695,39510,2108c43011,3572,46101,5655,48781,8334c51460,10964,53525,14064,54975,17562c56425,21084,57150,24730,57150,28575c57150,32321,56425,35942,54975,39464c53525,42962,51460,46062,48781,48741c46101,51371,43011,53454,39510,54918c36009,56356,32364,57100,28575,57150c24786,57100,21141,56356,17640,54918c14139,53454,11049,51371,8369,48741c5690,46062,3625,42962,2175,39464c725,35942,0,32321,0,28575c0,24730,725,21084,2175,17562c3625,14064,5690,10964,8369,8334c11049,5655,14139,3572,17640,2108c21141,695,24786,0,28575,0x">
                        <v:stroke weight="0pt" endcap="flat" joinstyle="miter" miterlimit="4" on="false" color="#000000" opacity="0"/>
                        <v:fill on="true" color="#333333"/>
                      </v:shape>
                    </v:group>
                  </w:pict>
                </mc:Fallback>
              </mc:AlternateContent>
            </w:r>
            <w:r>
              <w:t xml:space="preserve"> Отсутствуют показания для сопутствующей хирургии сердца</w:t>
            </w:r>
          </w:p>
        </w:tc>
        <w:tc>
          <w:tcPr>
            <w:tcW w:w="4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31" w:right="11" w:firstLine="0"/>
            </w:pPr>
            <w:r>
              <w:rPr>
                <w:rFonts w:ascii="Calibri" w:eastAsia="Calibri" w:hAnsi="Calibri" w:cs="Calibri"/>
                <w:noProof/>
                <w:color w:val="000000"/>
                <w:sz w:val="22"/>
              </w:rPr>
              <mc:AlternateContent>
                <mc:Choice Requires="wpg">
                  <w:drawing>
                    <wp:anchor distT="0" distB="0" distL="114300" distR="114300" simplePos="0" relativeHeight="251703296" behindDoc="0" locked="0" layoutInCell="1" allowOverlap="1">
                      <wp:simplePos x="0" y="0"/>
                      <wp:positionH relativeFrom="column">
                        <wp:posOffset>238125</wp:posOffset>
                      </wp:positionH>
                      <wp:positionV relativeFrom="paragraph">
                        <wp:posOffset>34751</wp:posOffset>
                      </wp:positionV>
                      <wp:extent cx="57150" cy="361950"/>
                      <wp:effectExtent l="0" t="0" r="0" b="0"/>
                      <wp:wrapSquare wrapText="bothSides"/>
                      <wp:docPr id="260147" name="Group 26014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4674" name="Shape 4674"/>
                              <wps:cNvSpPr/>
                              <wps:spPr>
                                <a:xfrm>
                                  <a:off x="0" y="0"/>
                                  <a:ext cx="57150" cy="57150"/>
                                </a:xfrm>
                                <a:custGeom>
                                  <a:avLst/>
                                  <a:gdLst/>
                                  <a:ahLst/>
                                  <a:cxnLst/>
                                  <a:rect l="0" t="0" r="0" b="0"/>
                                  <a:pathLst>
                                    <a:path w="57150" h="57150">
                                      <a:moveTo>
                                        <a:pt x="28575" y="0"/>
                                      </a:moveTo>
                                      <a:cubicBezTo>
                                        <a:pt x="32364" y="0"/>
                                        <a:pt x="36009" y="695"/>
                                        <a:pt x="39510" y="2108"/>
                                      </a:cubicBezTo>
                                      <a:cubicBezTo>
                                        <a:pt x="43011" y="3572"/>
                                        <a:pt x="46101" y="5655"/>
                                        <a:pt x="48780" y="8334"/>
                                      </a:cubicBezTo>
                                      <a:cubicBezTo>
                                        <a:pt x="51460" y="10964"/>
                                        <a:pt x="53524" y="14064"/>
                                        <a:pt x="54975" y="17562"/>
                                      </a:cubicBezTo>
                                      <a:cubicBezTo>
                                        <a:pt x="56424" y="21084"/>
                                        <a:pt x="57150" y="24730"/>
                                        <a:pt x="57150" y="28575"/>
                                      </a:cubicBezTo>
                                      <a:cubicBezTo>
                                        <a:pt x="57150" y="32321"/>
                                        <a:pt x="56424" y="35942"/>
                                        <a:pt x="54975" y="39464"/>
                                      </a:cubicBezTo>
                                      <a:cubicBezTo>
                                        <a:pt x="53524" y="42937"/>
                                        <a:pt x="51460" y="46013"/>
                                        <a:pt x="48780" y="48741"/>
                                      </a:cubicBezTo>
                                      <a:cubicBezTo>
                                        <a:pt x="46101" y="51371"/>
                                        <a:pt x="43011" y="53454"/>
                                        <a:pt x="39510" y="54918"/>
                                      </a:cubicBezTo>
                                      <a:cubicBezTo>
                                        <a:pt x="36009" y="56356"/>
                                        <a:pt x="32364" y="57100"/>
                                        <a:pt x="28575" y="57150"/>
                                      </a:cubicBezTo>
                                      <a:cubicBezTo>
                                        <a:pt x="24785" y="57100"/>
                                        <a:pt x="21140" y="56356"/>
                                        <a:pt x="17639" y="54918"/>
                                      </a:cubicBezTo>
                                      <a:cubicBezTo>
                                        <a:pt x="14139" y="53454"/>
                                        <a:pt x="11049" y="51371"/>
                                        <a:pt x="8369" y="48741"/>
                                      </a:cubicBezTo>
                                      <a:cubicBezTo>
                                        <a:pt x="5690" y="46013"/>
                                        <a:pt x="3625" y="42937"/>
                                        <a:pt x="2175" y="39464"/>
                                      </a:cubicBezTo>
                                      <a:cubicBezTo>
                                        <a:pt x="725" y="35942"/>
                                        <a:pt x="0" y="32321"/>
                                        <a:pt x="0" y="28575"/>
                                      </a:cubicBezTo>
                                      <a:cubicBezTo>
                                        <a:pt x="0" y="24730"/>
                                        <a:pt x="725" y="21084"/>
                                        <a:pt x="2175" y="17562"/>
                                      </a:cubicBezTo>
                                      <a:cubicBezTo>
                                        <a:pt x="3625" y="14064"/>
                                        <a:pt x="5690" y="10964"/>
                                        <a:pt x="8369" y="8334"/>
                                      </a:cubicBezTo>
                                      <a:cubicBezTo>
                                        <a:pt x="11049" y="5655"/>
                                        <a:pt x="14139" y="3572"/>
                                        <a:pt x="17639" y="210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677" name="Shape 4677"/>
                              <wps:cNvSpPr/>
                              <wps:spPr>
                                <a:xfrm>
                                  <a:off x="0" y="304800"/>
                                  <a:ext cx="57150" cy="57150"/>
                                </a:xfrm>
                                <a:custGeom>
                                  <a:avLst/>
                                  <a:gdLst/>
                                  <a:ahLst/>
                                  <a:cxnLst/>
                                  <a:rect l="0" t="0" r="0" b="0"/>
                                  <a:pathLst>
                                    <a:path w="57150" h="57150">
                                      <a:moveTo>
                                        <a:pt x="28575" y="0"/>
                                      </a:moveTo>
                                      <a:cubicBezTo>
                                        <a:pt x="32364" y="0"/>
                                        <a:pt x="36009" y="695"/>
                                        <a:pt x="39510" y="2108"/>
                                      </a:cubicBezTo>
                                      <a:cubicBezTo>
                                        <a:pt x="43011" y="3572"/>
                                        <a:pt x="46101" y="5606"/>
                                        <a:pt x="48780" y="8334"/>
                                      </a:cubicBezTo>
                                      <a:cubicBezTo>
                                        <a:pt x="51460" y="10964"/>
                                        <a:pt x="53524" y="14064"/>
                                        <a:pt x="54975" y="17562"/>
                                      </a:cubicBezTo>
                                      <a:cubicBezTo>
                                        <a:pt x="56424" y="21059"/>
                                        <a:pt x="57150" y="24730"/>
                                        <a:pt x="57150" y="28575"/>
                                      </a:cubicBezTo>
                                      <a:cubicBezTo>
                                        <a:pt x="57150" y="32321"/>
                                        <a:pt x="56424" y="35967"/>
                                        <a:pt x="54975" y="39464"/>
                                      </a:cubicBezTo>
                                      <a:cubicBezTo>
                                        <a:pt x="53524" y="42962"/>
                                        <a:pt x="51460" y="46062"/>
                                        <a:pt x="48780" y="48766"/>
                                      </a:cubicBezTo>
                                      <a:cubicBezTo>
                                        <a:pt x="46101" y="51420"/>
                                        <a:pt x="43011" y="53504"/>
                                        <a:pt x="39510" y="54942"/>
                                      </a:cubicBezTo>
                                      <a:cubicBezTo>
                                        <a:pt x="36009" y="56406"/>
                                        <a:pt x="32364" y="57100"/>
                                        <a:pt x="28575" y="57150"/>
                                      </a:cubicBezTo>
                                      <a:cubicBezTo>
                                        <a:pt x="24785" y="57100"/>
                                        <a:pt x="21140" y="56406"/>
                                        <a:pt x="17639" y="54942"/>
                                      </a:cubicBezTo>
                                      <a:cubicBezTo>
                                        <a:pt x="14139" y="53504"/>
                                        <a:pt x="11049" y="51420"/>
                                        <a:pt x="8369" y="48766"/>
                                      </a:cubicBezTo>
                                      <a:cubicBezTo>
                                        <a:pt x="5690" y="46062"/>
                                        <a:pt x="3625" y="42962"/>
                                        <a:pt x="2175" y="39464"/>
                                      </a:cubicBezTo>
                                      <a:cubicBezTo>
                                        <a:pt x="725" y="35967"/>
                                        <a:pt x="0" y="32321"/>
                                        <a:pt x="0" y="28575"/>
                                      </a:cubicBezTo>
                                      <a:cubicBezTo>
                                        <a:pt x="0" y="24730"/>
                                        <a:pt x="725" y="21059"/>
                                        <a:pt x="2175" y="17562"/>
                                      </a:cubicBezTo>
                                      <a:cubicBezTo>
                                        <a:pt x="3625" y="14064"/>
                                        <a:pt x="5690" y="10964"/>
                                        <a:pt x="8369" y="8334"/>
                                      </a:cubicBezTo>
                                      <a:cubicBezTo>
                                        <a:pt x="11049" y="5606"/>
                                        <a:pt x="14139" y="3572"/>
                                        <a:pt x="17639" y="2108"/>
                                      </a:cubicBezTo>
                                      <a:cubicBezTo>
                                        <a:pt x="21140" y="695"/>
                                        <a:pt x="24785"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0147" style="width:4.5pt;height:28.5pt;position:absolute;mso-position-horizontal-relative:text;mso-position-horizontal:absolute;margin-left:18.75pt;mso-position-vertical-relative:text;margin-top:2.73633pt;" coordsize="571,3619">
                      <v:shape id="Shape 4674" style="position:absolute;width:571;height:571;left:0;top:0;" coordsize="57150,57150" path="m28575,0c32364,0,36009,695,39510,2108c43011,3572,46101,5655,48780,8334c51460,10964,53524,14064,54975,17562c56424,21084,57150,24730,57150,28575c57150,32321,56424,35942,54975,39464c53524,42937,51460,46013,48780,48741c46101,51371,43011,53454,39510,54918c36009,56356,32364,57100,28575,57150c24785,57100,21140,56356,17639,54918c14139,53454,11049,51371,8369,48741c5690,46013,3625,42937,2175,39464c725,35942,0,32321,0,28575c0,24730,725,21084,2175,17562c3625,14064,5690,10964,8369,8334c11049,5655,14139,3572,17639,2108c21140,695,24785,0,28575,0x">
                        <v:stroke weight="0pt" endcap="flat" joinstyle="miter" miterlimit="4" on="false" color="#000000" opacity="0"/>
                        <v:fill on="true" color="#333333"/>
                      </v:shape>
                      <v:shape id="Shape 4677" style="position:absolute;width:571;height:571;left:0;top:3048;" coordsize="57150,57150" path="m28575,0c32364,0,36009,695,39510,2108c43011,3572,46101,5606,48780,8334c51460,10964,53524,14064,54975,17562c56424,21059,57150,24730,57150,28575c57150,32321,56424,35967,54975,39464c53524,42962,51460,46062,48780,48766c46101,51420,43011,53504,39510,54942c36009,56406,32364,57100,28575,57150c24785,57100,21140,56406,17639,54942c14139,53504,11049,51420,8369,48766c5690,46062,3625,42962,2175,39464c725,35967,0,32321,0,28575c0,24730,725,21059,2175,17562c3625,14064,5690,10964,8369,8334c11049,5606,14139,3572,17639,2108c21140,695,24785,0,28575,0x">
                        <v:stroke weight="0pt" endcap="flat" joinstyle="miter" miterlimit="4" on="false" color="#000000" opacity="0"/>
                        <v:fill on="true" color="#333333"/>
                      </v:shape>
                      <w10:wrap type="square"/>
                    </v:group>
                  </w:pict>
                </mc:Fallback>
              </mc:AlternateContent>
            </w:r>
            <w:r>
              <w:t>Заболевание восходящей аорты с показанием к хирургии. Сопутствующая хирургия сердца</w:t>
            </w:r>
          </w:p>
        </w:tc>
      </w:tr>
    </w:tbl>
    <w:p w:rsidR="008E3F15" w:rsidRDefault="005F449A">
      <w:pPr>
        <w:ind w:left="2" w:right="15"/>
      </w:pPr>
      <w:r>
        <w:t>Для терапии кальцифицированного повреждения коронарных артерий, включая внутристентовые рестенозы, используют ротационную атерэктомию и внутрисосудистую литотрипсию.</w:t>
      </w:r>
    </w:p>
    <w:p w:rsidR="008E3F15" w:rsidRDefault="005F449A">
      <w:pPr>
        <w:ind w:left="2" w:right="15"/>
      </w:pPr>
      <w:r>
        <w:t>Важно оценивать осложнения реваскуляризации с определением в динамике тропонина и ЭКГ. В с</w:t>
      </w:r>
      <w:r>
        <w:t>лучае признаков повреждения или инфаркта миокарда 4–5-го типов существенно возрастает годовая смертность.</w:t>
      </w:r>
    </w:p>
    <w:p w:rsidR="008E3F15" w:rsidRDefault="005F449A">
      <w:pPr>
        <w:ind w:left="2" w:right="15"/>
      </w:pPr>
      <w:r>
        <w:t>Для оценки риска контраст-индуцированной нефропатии можно использовать шкалу Mehran. Чтобы снизить риск контраст-индуцированного повреждения почек у п</w:t>
      </w:r>
      <w:r>
        <w:t>ациентов высокого риска, рекомендуют уменьшить количество контраста, использовать изо- и низкосомолярные контрасты, провести гидратацию изотоническим раствором натрия хлорида, ограничить прием потенциально нефротоксических препаратов.</w:t>
      </w:r>
    </w:p>
    <w:p w:rsidR="008E3F15" w:rsidRDefault="005F449A">
      <w:pPr>
        <w:ind w:left="2" w:right="15"/>
      </w:pPr>
      <w:r>
        <w:rPr>
          <w:b/>
        </w:rPr>
        <w:t>ЧКВ</w:t>
      </w:r>
      <w:r>
        <w:t xml:space="preserve"> проводится обычно</w:t>
      </w:r>
      <w:r>
        <w:t xml:space="preserve"> в виде баллонной ангиопластики, которую сочетают с установкой эндопротеза (стента) для предупреждения рестеноза. Исследования подтверждают возможность проведения ЧКВ в центрах без коронарной хирургии (Aversano T. et al., 2012, Shahian D. et al., 2012).</w:t>
      </w:r>
    </w:p>
    <w:p w:rsidR="008E3F15" w:rsidRDefault="005F449A">
      <w:pPr>
        <w:spacing w:after="359"/>
        <w:ind w:left="2" w:right="15"/>
      </w:pPr>
      <w:r>
        <w:t>По</w:t>
      </w:r>
      <w:r>
        <w:t xml:space="preserve"> сравнению с адекватной медикаментозной терапией механическая дилатация коронарных артерий не приводит к снижению смертности и риска ИМ у больных стабильной коронарной болезнью, но может увеличить переносимость нагрузок, снизить частоту СК и госпитализаций</w:t>
      </w:r>
      <w:r>
        <w:t xml:space="preserve"> (COURAGE, BARI 2D, ORBITA, ISCHEMIA; Bangalore S. et al., 2020; Laukkanen J. et al., 2021).</w:t>
      </w:r>
    </w:p>
    <w:p w:rsidR="008E3F15" w:rsidRDefault="005F449A">
      <w:pPr>
        <w:pStyle w:val="Heading1"/>
        <w:ind w:left="2"/>
      </w:pPr>
      <w:r>
        <w:t>Часть I. Сердечно-сосудистые болезни</w:t>
      </w:r>
    </w:p>
    <w:p w:rsidR="008E3F15" w:rsidRDefault="005F449A">
      <w:pPr>
        <w:ind w:left="2" w:right="347"/>
      </w:pPr>
      <w:r>
        <w:t>Успешная реканализация тотальной окклюзии коронарной артерии со стентированием с использованием двойной КГ, детального и струк</w:t>
      </w:r>
      <w:r>
        <w:t>турированного анализа ангиограмм, микрокатетеров позволяет уменьшить симптомы ишемии мио карда (EUROCTO, IMPACTORCTO, Brilakis E. et al., 2019). В то же время по сравнению с неокклюзивными стенозами реже достигается эффект, чаще возникают перфорации и тамп</w:t>
      </w:r>
      <w:r>
        <w:t>онады (Azzalini L. et al., 2020). При стенозе малых коронарных артерий (&lt;3 мм) использование баллонов</w:t>
      </w:r>
    </w:p>
    <w:p w:rsidR="008E3F15" w:rsidRDefault="005F449A">
      <w:pPr>
        <w:ind w:left="2" w:right="15"/>
      </w:pPr>
      <w:r>
        <w:t>с антипролиферативным веществом и двойной антиагрегантной терапии до 1 мес так же эффективно, как и стентирование (BASKET-SMALL 2).</w:t>
      </w:r>
    </w:p>
    <w:p w:rsidR="008E3F15" w:rsidRDefault="005F449A">
      <w:pPr>
        <w:ind w:left="2" w:right="15"/>
      </w:pPr>
      <w:r>
        <w:t xml:space="preserve">Использование доступа </w:t>
      </w:r>
      <w:r>
        <w:t>через лучевую артерию позволяет уменьшить риск сосудистых осложнений, гематом и даже снизить краткосрочную смертность (Joyal D. et al., 2012). Назначение высоких доз статинов может снизить риск периоперационного ИМ и других сердечно-сосудистых событий (Zho</w:t>
      </w:r>
      <w:r>
        <w:t>u X. et al., 2019; Zhang J. et al., 2018). Схема включает прием 80 мг аторвастатина или 40 мг розувастатина за 12–24 ч до процедуры.</w:t>
      </w:r>
    </w:p>
    <w:p w:rsidR="008E3F15" w:rsidRDefault="005F449A">
      <w:pPr>
        <w:ind w:left="2" w:right="15"/>
      </w:pPr>
      <w:r>
        <w:t xml:space="preserve">Внутристентовый рестеноз составляет около 10% всех коронарных вмешательств и в 25% случаев проявляется острым ИМ, чаще без </w:t>
      </w:r>
      <w:r>
        <w:t xml:space="preserve">подъема </w:t>
      </w:r>
      <w:r>
        <w:rPr>
          <w:i/>
        </w:rPr>
        <w:t>ST</w:t>
      </w:r>
      <w:r>
        <w:t xml:space="preserve"> (Moussa I. et al., 2020). Рестеноз обычно устраняют другим стентом, менее эффективны баллоны с цитостатиками (DAEDALUS). Выписка пациентов после коронарного вмешательства в тот же день, по-видимому, не более опасна, чем выписка через сутки после</w:t>
      </w:r>
      <w:r>
        <w:t xml:space="preserve"> ЧКВ (Abdelaal E. et al., 2013; Rymer J. et al., 2019). Магнитно-резонансная томография может выполняться даже в ранние сроки после стентирования (Curtis J. et al., 2013; Jehl J. et al., 2009).</w:t>
      </w:r>
    </w:p>
    <w:p w:rsidR="008E3F15" w:rsidRDefault="005F449A">
      <w:pPr>
        <w:ind w:left="2" w:right="15"/>
      </w:pPr>
      <w:r>
        <w:rPr>
          <w:i/>
        </w:rPr>
        <w:t>Стенты.</w:t>
      </w:r>
      <w:r>
        <w:t xml:space="preserve"> Структура стента обычно включает каркас и полимерное п</w:t>
      </w:r>
      <w:r>
        <w:t>окрытие с лекарством (</w:t>
      </w:r>
      <w:r>
        <w:rPr>
          <w:b/>
        </w:rPr>
        <w:t>рис. 2.7</w:t>
      </w:r>
      <w:r>
        <w:t>). Каркас из кобальт-хромового или платина-хромового сплава тоньше, гибче, прочнее, более устойчив к коррозии и биосовместим, чем стальная конструкция.</w:t>
      </w:r>
    </w:p>
    <w:p w:rsidR="008E3F15" w:rsidRDefault="005F449A">
      <w:pPr>
        <w:spacing w:after="65" w:line="259" w:lineRule="auto"/>
        <w:ind w:left="0" w:right="0" w:firstLine="0"/>
      </w:pPr>
      <w:r>
        <w:rPr>
          <w:noProof/>
        </w:rPr>
        <w:drawing>
          <wp:inline distT="0" distB="0" distL="0" distR="0">
            <wp:extent cx="5057775" cy="2457450"/>
            <wp:effectExtent l="0" t="0" r="0" b="0"/>
            <wp:docPr id="4741" name="Picture 4741"/>
            <wp:cNvGraphicFramePr/>
            <a:graphic xmlns:a="http://schemas.openxmlformats.org/drawingml/2006/main">
              <a:graphicData uri="http://schemas.openxmlformats.org/drawingml/2006/picture">
                <pic:pic xmlns:pic="http://schemas.openxmlformats.org/drawingml/2006/picture">
                  <pic:nvPicPr>
                    <pic:cNvPr id="4741" name="Picture 4741"/>
                    <pic:cNvPicPr/>
                  </pic:nvPicPr>
                  <pic:blipFill>
                    <a:blip r:embed="rId22"/>
                    <a:stretch>
                      <a:fillRect/>
                    </a:stretch>
                  </pic:blipFill>
                  <pic:spPr>
                    <a:xfrm>
                      <a:off x="0" y="0"/>
                      <a:ext cx="5057775" cy="2457450"/>
                    </a:xfrm>
                    <a:prstGeom prst="rect">
                      <a:avLst/>
                    </a:prstGeom>
                  </pic:spPr>
                </pic:pic>
              </a:graphicData>
            </a:graphic>
          </wp:inline>
        </w:drawing>
      </w:r>
    </w:p>
    <w:p w:rsidR="008E3F15" w:rsidRDefault="005F449A">
      <w:pPr>
        <w:ind w:left="2" w:right="15"/>
      </w:pPr>
      <w:r>
        <w:rPr>
          <w:b/>
        </w:rPr>
        <w:t xml:space="preserve">Рис. 2.7. </w:t>
      </w:r>
      <w:r>
        <w:t>Классификация внутрикоронарных стентов. * — антипролиферативные лекарства: сиролимус, эверолимус, зотаролимус</w:t>
      </w:r>
    </w:p>
    <w:p w:rsidR="008E3F15" w:rsidRDefault="005F449A">
      <w:pPr>
        <w:ind w:left="2" w:right="15"/>
      </w:pPr>
      <w:r>
        <w:t>Стенты, покрытые полимером с антипролиферативными агентами (DES), снижают частоту рестенозов и повторных реваскуляризаций (1 случай из 30) по сравнению</w:t>
      </w:r>
    </w:p>
    <w:p w:rsidR="008E3F15" w:rsidRDefault="005F449A">
      <w:pPr>
        <w:ind w:left="2" w:right="15"/>
      </w:pPr>
      <w:r>
        <w:t>с голометаллическими. Выгода от более дешевых голометаллических стентов и меньшей длительности двойной а</w:t>
      </w:r>
      <w:r>
        <w:t>нтиагрегантной терапии нивелируется затратами на повторные реваскуляризации.</w:t>
      </w:r>
    </w:p>
    <w:p w:rsidR="008E3F15" w:rsidRDefault="005F449A">
      <w:pPr>
        <w:ind w:left="2" w:right="15"/>
      </w:pPr>
      <w:r>
        <w:t>Кроме того, современные стенты, выделяющие лекарства, не повышают существенно риск внутристентового тромбоза, ИМ по сравнению со стентами без лекарственного покрытия (Piccolo R. e</w:t>
      </w:r>
      <w:r>
        <w:t>t al., 2019; SCAAR; DART; NORSTENT).</w:t>
      </w:r>
    </w:p>
    <w:p w:rsidR="008E3F15" w:rsidRDefault="005F449A">
      <w:pPr>
        <w:ind w:left="2" w:right="122"/>
      </w:pPr>
      <w:r>
        <w:t>Среди антипролиферативных лекарств, которые препятствуют рестенозу, чаще используется липофильный эверолимус (линейка стентов Xience), который обладает лучшей биодоступностью, меньшим периодом полужизни, быстрее эпители</w:t>
      </w:r>
      <w:r>
        <w:t>зируется и снижает сосудистое воспаление по сравнению с сиролимусом. Соответственно, возможно уменьшение риска тромбоза стента и длительности двойной антиагрегантной терапии (Toyota T. et al., 2015; SORT OUT IV).</w:t>
      </w:r>
    </w:p>
    <w:p w:rsidR="008E3F15" w:rsidRDefault="005F449A">
      <w:pPr>
        <w:ind w:left="2" w:right="15"/>
      </w:pPr>
      <w:r>
        <w:t>Стойкое полимерное покрытие с лекарством (D</w:t>
      </w:r>
      <w:r>
        <w:t xml:space="preserve">P-DES) обеспечивает медленное выделение лекарства, однако может вызывать воспаление и повысить отдаленный риск тромбоза стента. Для преодоления этой проблемы разработаны биорастворимые полимерные покрытия с лекарством (BP-DES), исчезающие через 3–15 мес и </w:t>
      </w:r>
      <w:r>
        <w:t>способные снизить риск поздних тромбозов (BIOFLOW V; ISAR-TEST 4; SCAAR).</w:t>
      </w:r>
    </w:p>
    <w:p w:rsidR="008E3F15" w:rsidRDefault="005F449A">
      <w:pPr>
        <w:ind w:left="2" w:right="15"/>
      </w:pPr>
      <w:r>
        <w:t>С целью исключения вазотоксичного влияния полимеров предложены стенты без полимеров (PF-DES) с лекарством в микропорах или микрорезервуарах металлического каркаса. Биорастворяемые (~</w:t>
      </w:r>
      <w:r>
        <w:t>3 года) полимерные каркасы с лекарством (BVS, BRS) позволяют восстановить естественную структуру и функцию сосуда и снизить долгосрочные последствия инородной конструкции, однако обладают меньшей прочностью и повышенным риском тромбообразования. Биораствор</w:t>
      </w:r>
      <w:r>
        <w:t>яемые каркасы показали сопоставимый эффект, но чаще вызывали тромбозы стента по сравнению с металлическими стентами, выделяющими эверолимус (AIDA; ABSORB III-IV; Ali Z. et al., 2017).</w:t>
      </w:r>
    </w:p>
    <w:p w:rsidR="008E3F15" w:rsidRDefault="005F449A">
      <w:pPr>
        <w:ind w:left="2" w:right="15"/>
      </w:pPr>
      <w:r>
        <w:t xml:space="preserve">Далеко не всегда более технологичные и современные стенты демонстрируют </w:t>
      </w:r>
      <w:r>
        <w:t>существенные клинические преимущества перед устройствами предыдущих поколений.</w:t>
      </w:r>
    </w:p>
    <w:p w:rsidR="008E3F15" w:rsidRDefault="005F449A">
      <w:pPr>
        <w:ind w:left="2" w:right="15"/>
      </w:pPr>
      <w:r>
        <w:t>Наряду с зарубежными устройствами используются и отечественные стальные, кобальтхромовые («Синус») и покрытые лекарствами («Калипсо», сиролимус на биодеградируемом полимере) сте</w:t>
      </w:r>
      <w:r>
        <w:t>нты.</w:t>
      </w:r>
    </w:p>
    <w:p w:rsidR="008E3F15" w:rsidRDefault="005F449A">
      <w:pPr>
        <w:ind w:left="2" w:right="482"/>
      </w:pPr>
      <w:r>
        <w:t>Стенты, выделяющие лекарства, предпочитают при большинстве клинических состояний и типов поражений.</w:t>
      </w:r>
    </w:p>
    <w:p w:rsidR="008E3F15" w:rsidRDefault="005F449A">
      <w:pPr>
        <w:ind w:left="2" w:right="15"/>
      </w:pPr>
      <w:r>
        <w:rPr>
          <w:i/>
        </w:rPr>
        <w:t xml:space="preserve">Антиагреганты. </w:t>
      </w:r>
      <w:r>
        <w:t xml:space="preserve">Для предупреждения перипроцедурных и более поздних ишемических повреждений мио карда используют антиагреганты. Пациент принимает 300 мг </w:t>
      </w:r>
      <w:r>
        <w:t>АСК и 600 мг клопидогрела не позднее 2 ч перед процедурой.</w:t>
      </w:r>
    </w:p>
    <w:p w:rsidR="008E3F15" w:rsidRDefault="005F449A">
      <w:pPr>
        <w:ind w:left="2" w:right="509"/>
      </w:pPr>
      <w:r>
        <w:t xml:space="preserve">После имплантации стента с целью профилактики внутристентового тромбоза на период эндотелизации комбинированную терапию АСК 75–100 мг/сут и клопидогрелом 75 мг/сут рекомендуют продолжить до 6 мес, </w:t>
      </w:r>
      <w:r>
        <w:t>а при высоком риске кровотечений — до 1–3 мес с последующим приемом АСК или ингибитора P2Y</w:t>
      </w:r>
      <w:r>
        <w:rPr>
          <w:sz w:val="31"/>
          <w:vertAlign w:val="subscript"/>
        </w:rPr>
        <w:t>12</w:t>
      </w:r>
      <w:r>
        <w:t>-рецепторов тромбоцитов (AHA/ACC,</w:t>
      </w:r>
    </w:p>
    <w:p w:rsidR="008E3F15" w:rsidRDefault="005F449A">
      <w:pPr>
        <w:spacing w:after="31"/>
        <w:ind w:left="2" w:right="15"/>
      </w:pPr>
      <w:r>
        <w:t>ESC).</w:t>
      </w:r>
    </w:p>
    <w:p w:rsidR="008E3F15" w:rsidRDefault="005F449A">
      <w:pPr>
        <w:ind w:left="2" w:right="15"/>
      </w:pPr>
      <w:r>
        <w:t>Тикагрелор по сравнению с клопидогрелом не снизил частоту перипроцедурного ИМ 4-го типа в исследовании ALPHEUS.</w:t>
      </w:r>
    </w:p>
    <w:p w:rsidR="008E3F15" w:rsidRDefault="005F449A">
      <w:pPr>
        <w:ind w:left="2" w:right="15"/>
      </w:pPr>
      <w:r>
        <w:t>Если риск тр</w:t>
      </w:r>
      <w:r>
        <w:t>омбоза стента высок (множественные, длинные, перекрывающиеся, малого диаметра, 1-го поколения стенты, СД, дисфункция почек, пожилой возраст, низкая ФВЛЖ), терапия двумя антиагрегантами может быть продолжена более года. Для оценки риска тромбоза стента такж</w:t>
      </w:r>
      <w:r>
        <w:t>е используют шкалу DAPT.</w:t>
      </w:r>
    </w:p>
    <w:p w:rsidR="008E3F15" w:rsidRDefault="005F449A">
      <w:pPr>
        <w:spacing w:after="344"/>
        <w:ind w:left="2" w:right="15"/>
      </w:pPr>
      <w:r>
        <w:t xml:space="preserve">Выбор антиагрегантной терапии (клопидогрел vs прасугрел, тикагрелор) на основе оценки функции тромбоцитов или генетических тестов не показал убедительного преимущества по сравнению с обычным подходом (TAILOR-PCI; POPular Genetics; </w:t>
      </w:r>
      <w:r>
        <w:t>ARCTIC).</w:t>
      </w:r>
    </w:p>
    <w:p w:rsidR="008E3F15" w:rsidRDefault="005F449A">
      <w:pPr>
        <w:pStyle w:val="Heading1"/>
        <w:ind w:left="2"/>
      </w:pPr>
      <w:r>
        <w:t>Часть I. Сердечно-сосудистые болезни</w:t>
      </w:r>
    </w:p>
    <w:p w:rsidR="008E3F15" w:rsidRDefault="005F449A">
      <w:pPr>
        <w:ind w:left="2" w:right="15"/>
      </w:pPr>
      <w:r>
        <w:t>Возможно, длительное лечение клопидогрелом эффективнее АСК у пациентов после имплантации стентов, выделяющих лекарства (HOST-EXAM).</w:t>
      </w:r>
    </w:p>
    <w:p w:rsidR="008E3F15" w:rsidRDefault="005F449A">
      <w:pPr>
        <w:ind w:left="2" w:right="15"/>
      </w:pPr>
      <w:r>
        <w:rPr>
          <w:i/>
        </w:rPr>
        <w:t xml:space="preserve">Кровотечения. </w:t>
      </w:r>
      <w:r>
        <w:t xml:space="preserve">Активная профилактика тромбоза стента сопровождается повышением </w:t>
      </w:r>
      <w:r>
        <w:t>риска кровотечений, включая жизнеопасные.</w:t>
      </w:r>
    </w:p>
    <w:p w:rsidR="008E3F15" w:rsidRDefault="005F449A">
      <w:pPr>
        <w:ind w:left="2" w:right="15"/>
      </w:pPr>
      <w:r>
        <w:t>Консорциум ARC-HBR предложил валидизированные критерии высокого риска кровотечений после ЧКВ, которые включают по крайней мере один большой критерий или два малых</w:t>
      </w:r>
    </w:p>
    <w:p w:rsidR="008E3F15" w:rsidRDefault="005F449A">
      <w:pPr>
        <w:spacing w:after="179"/>
        <w:ind w:left="2" w:right="4514"/>
      </w:pPr>
      <w:r>
        <w:t>(Urban P. et al., 2019; Corpataux N. et al., 2020).</w:t>
      </w:r>
      <w:r>
        <w:t xml:space="preserve"> </w:t>
      </w:r>
      <w:r>
        <w:rPr>
          <w:i/>
        </w:rPr>
        <w:t>Большие:</w:t>
      </w:r>
    </w:p>
    <w:p w:rsidR="008E3F15" w:rsidRDefault="005F449A">
      <w:pPr>
        <w:ind w:left="340" w:right="3610"/>
      </w:pPr>
      <w:r>
        <w:rPr>
          <w:rFonts w:ascii="Calibri" w:eastAsia="Calibri" w:hAnsi="Calibri" w:cs="Calibri"/>
          <w:noProof/>
          <w:color w:val="000000"/>
          <w:sz w:val="22"/>
        </w:rPr>
        <mc:AlternateContent>
          <mc:Choice Requires="wpg">
            <w:drawing>
              <wp:anchor distT="0" distB="0" distL="114300" distR="114300" simplePos="0" relativeHeight="251704320" behindDoc="0" locked="0" layoutInCell="1" allowOverlap="1">
                <wp:simplePos x="0" y="0"/>
                <wp:positionH relativeFrom="column">
                  <wp:posOffset>209550</wp:posOffset>
                </wp:positionH>
                <wp:positionV relativeFrom="paragraph">
                  <wp:posOffset>34826</wp:posOffset>
                </wp:positionV>
                <wp:extent cx="57150" cy="1057275"/>
                <wp:effectExtent l="0" t="0" r="0" b="0"/>
                <wp:wrapSquare wrapText="bothSides"/>
                <wp:docPr id="258558" name="Group 258558"/>
                <wp:cNvGraphicFramePr/>
                <a:graphic xmlns:a="http://schemas.openxmlformats.org/drawingml/2006/main">
                  <a:graphicData uri="http://schemas.microsoft.com/office/word/2010/wordprocessingGroup">
                    <wpg:wgp>
                      <wpg:cNvGrpSpPr/>
                      <wpg:grpSpPr>
                        <a:xfrm>
                          <a:off x="0" y="0"/>
                          <a:ext cx="57150" cy="1057275"/>
                          <a:chOff x="0" y="0"/>
                          <a:chExt cx="57150" cy="1057275"/>
                        </a:xfrm>
                      </wpg:grpSpPr>
                      <wps:wsp>
                        <wps:cNvPr id="4824" name="Shape 4824"/>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345"/>
                                  <a:pt x="56425" y="36016"/>
                                  <a:pt x="54975" y="39439"/>
                                </a:cubicBezTo>
                                <a:cubicBezTo>
                                  <a:pt x="53525" y="42962"/>
                                  <a:pt x="51460" y="46038"/>
                                  <a:pt x="48781" y="48766"/>
                                </a:cubicBezTo>
                                <a:cubicBezTo>
                                  <a:pt x="46101" y="51395"/>
                                  <a:pt x="43011" y="53429"/>
                                  <a:pt x="39510" y="54918"/>
                                </a:cubicBezTo>
                                <a:cubicBezTo>
                                  <a:pt x="36009" y="56406"/>
                                  <a:pt x="32364" y="57150"/>
                                  <a:pt x="28575" y="57150"/>
                                </a:cubicBezTo>
                                <a:cubicBezTo>
                                  <a:pt x="24786" y="57150"/>
                                  <a:pt x="21141" y="56406"/>
                                  <a:pt x="17640" y="54918"/>
                                </a:cubicBezTo>
                                <a:cubicBezTo>
                                  <a:pt x="14139" y="53429"/>
                                  <a:pt x="11049" y="51395"/>
                                  <a:pt x="8369" y="48766"/>
                                </a:cubicBezTo>
                                <a:cubicBezTo>
                                  <a:pt x="5690" y="46038"/>
                                  <a:pt x="3625" y="42962"/>
                                  <a:pt x="2175" y="39439"/>
                                </a:cubicBezTo>
                                <a:cubicBezTo>
                                  <a:pt x="725" y="36016"/>
                                  <a:pt x="0" y="32345"/>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826" name="Shape 4826"/>
                        <wps:cNvSpPr/>
                        <wps:spPr>
                          <a:xfrm>
                            <a:off x="0" y="200025"/>
                            <a:ext cx="57150" cy="57150"/>
                          </a:xfrm>
                          <a:custGeom>
                            <a:avLst/>
                            <a:gdLst/>
                            <a:ahLst/>
                            <a:cxnLst/>
                            <a:rect l="0" t="0" r="0" b="0"/>
                            <a:pathLst>
                              <a:path w="57150" h="57150">
                                <a:moveTo>
                                  <a:pt x="28575" y="0"/>
                                </a:moveTo>
                                <a:cubicBezTo>
                                  <a:pt x="32364" y="0"/>
                                  <a:pt x="36009" y="744"/>
                                  <a:pt x="39510" y="2183"/>
                                </a:cubicBezTo>
                                <a:cubicBezTo>
                                  <a:pt x="43011" y="3621"/>
                                  <a:pt x="46101" y="5655"/>
                                  <a:pt x="48781" y="8384"/>
                                </a:cubicBezTo>
                                <a:cubicBezTo>
                                  <a:pt x="51460" y="11013"/>
                                  <a:pt x="53525" y="14139"/>
                                  <a:pt x="54975" y="17661"/>
                                </a:cubicBezTo>
                                <a:cubicBezTo>
                                  <a:pt x="56425" y="21134"/>
                                  <a:pt x="57150" y="24805"/>
                                  <a:pt x="57150" y="28575"/>
                                </a:cubicBezTo>
                                <a:cubicBezTo>
                                  <a:pt x="57150" y="32345"/>
                                  <a:pt x="56425" y="36016"/>
                                  <a:pt x="54975" y="39489"/>
                                </a:cubicBezTo>
                                <a:cubicBezTo>
                                  <a:pt x="53525" y="42962"/>
                                  <a:pt x="51460" y="46087"/>
                                  <a:pt x="48781" y="48816"/>
                                </a:cubicBezTo>
                                <a:cubicBezTo>
                                  <a:pt x="46101" y="51445"/>
                                  <a:pt x="43011" y="53529"/>
                                  <a:pt x="39510" y="54967"/>
                                </a:cubicBezTo>
                                <a:cubicBezTo>
                                  <a:pt x="36009" y="56406"/>
                                  <a:pt x="32364" y="57150"/>
                                  <a:pt x="28575" y="57150"/>
                                </a:cubicBezTo>
                                <a:cubicBezTo>
                                  <a:pt x="24786" y="57150"/>
                                  <a:pt x="21141" y="56406"/>
                                  <a:pt x="17640" y="54967"/>
                                </a:cubicBezTo>
                                <a:cubicBezTo>
                                  <a:pt x="14139" y="53529"/>
                                  <a:pt x="11049" y="51445"/>
                                  <a:pt x="8369" y="48816"/>
                                </a:cubicBezTo>
                                <a:cubicBezTo>
                                  <a:pt x="5690" y="46087"/>
                                  <a:pt x="3625" y="42962"/>
                                  <a:pt x="2175" y="39489"/>
                                </a:cubicBezTo>
                                <a:cubicBezTo>
                                  <a:pt x="725" y="36016"/>
                                  <a:pt x="0" y="32345"/>
                                  <a:pt x="0" y="28575"/>
                                </a:cubicBezTo>
                                <a:cubicBezTo>
                                  <a:pt x="0" y="24805"/>
                                  <a:pt x="725" y="21134"/>
                                  <a:pt x="2175" y="17661"/>
                                </a:cubicBezTo>
                                <a:cubicBezTo>
                                  <a:pt x="3625" y="14139"/>
                                  <a:pt x="5690" y="11013"/>
                                  <a:pt x="8369" y="838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830" name="Shape 4830"/>
                        <wps:cNvSpPr/>
                        <wps:spPr>
                          <a:xfrm>
                            <a:off x="0" y="352425"/>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611"/>
                                </a:cubicBezTo>
                                <a:cubicBezTo>
                                  <a:pt x="56425" y="21134"/>
                                  <a:pt x="57150" y="24755"/>
                                  <a:pt x="57150" y="28575"/>
                                </a:cubicBezTo>
                                <a:cubicBezTo>
                                  <a:pt x="57150" y="32395"/>
                                  <a:pt x="56425" y="36016"/>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6016"/>
                                  <a:pt x="0" y="32395"/>
                                  <a:pt x="0" y="28575"/>
                                </a:cubicBezTo>
                                <a:cubicBezTo>
                                  <a:pt x="0" y="24755"/>
                                  <a:pt x="725" y="21134"/>
                                  <a:pt x="2175" y="17611"/>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832" name="Shape 4832"/>
                        <wps:cNvSpPr/>
                        <wps:spPr>
                          <a:xfrm>
                            <a:off x="0" y="504825"/>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835" name="Shape 4835"/>
                        <wps:cNvSpPr/>
                        <wps:spPr>
                          <a:xfrm>
                            <a:off x="0" y="847725"/>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4839" name="Shape 4839"/>
                        <wps:cNvSpPr/>
                        <wps:spPr>
                          <a:xfrm>
                            <a:off x="0" y="1000125"/>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8558" style="width:4.5pt;height:83.25pt;position:absolute;mso-position-horizontal-relative:text;mso-position-horizontal:absolute;margin-left:16.5pt;mso-position-vertical-relative:text;margin-top:2.74219pt;" coordsize="571,10572">
                <v:shape id="Shape 4824" style="position:absolute;width:571;height:571;left:0;top:0;" coordsize="57150,57150" path="m28575,0c32364,0,36009,744,39510,2133c43011,3572,46101,5655,48781,8334c51460,11013,53525,14139,54975,17611c56425,21134,57150,24755,57150,28575c57150,32345,56425,36016,54975,39439c53525,42962,51460,46038,48781,48766c46101,51395,43011,53429,39510,54918c36009,56406,32364,57150,28575,57150c24786,57150,21141,56406,17640,54918c14139,53429,11049,51395,8369,48766c5690,46038,3625,42962,2175,39439c725,36016,0,32345,0,28575c0,24755,725,21134,2175,17611c3625,14139,5690,11013,8369,8334c11049,5655,14139,3572,17640,2133c21141,744,24786,0,28575,0x">
                  <v:stroke weight="0pt" endcap="flat" joinstyle="miter" miterlimit="10" on="false" color="#000000" opacity="0"/>
                  <v:fill on="true" color="#333333"/>
                </v:shape>
                <v:shape id="Shape 4826" style="position:absolute;width:571;height:571;left:0;top:2000;" coordsize="57150,57150" path="m28575,0c32364,0,36009,744,39510,2183c43011,3621,46101,5655,48781,8384c51460,11013,53525,14139,54975,17661c56425,21134,57150,24805,57150,28575c57150,32345,56425,36016,54975,39489c53525,42962,51460,46087,48781,48816c46101,51445,43011,53529,39510,54967c36009,56406,32364,57150,28575,57150c24786,57150,21141,56406,17640,54967c14139,53529,11049,51445,8369,48816c5690,46087,3625,42962,2175,39489c725,36016,0,32345,0,28575c0,24805,725,21134,2175,17661c3625,14139,5690,11013,8369,8384c11049,5655,14139,3621,17640,2183c21141,744,24786,0,28575,0x">
                  <v:stroke weight="0pt" endcap="flat" joinstyle="miter" miterlimit="10" on="false" color="#000000" opacity="0"/>
                  <v:fill on="true" color="#333333"/>
                </v:shape>
                <v:shape id="Shape 4830" style="position:absolute;width:571;height:571;left:0;top:3524;" coordsize="57150,57150" path="m28575,0c32364,0,36009,744,39510,2183c43011,3621,46101,5655,48781,8334c51460,11013,53525,14089,54975,17611c56425,21134,57150,24755,57150,28575c57150,32395,56425,36016,54975,39489c53525,43011,51460,46087,48781,48816c46101,51445,43011,53479,39510,54918c36009,56406,32364,57150,28575,57150c24786,57150,21141,56406,17640,54918c14139,53479,11049,51445,8369,48816c5690,46087,3625,43011,2175,39489c725,36016,0,32395,0,28575c0,24755,725,21134,2175,17611c3625,14089,5690,11013,8369,8334c11049,5655,14139,3621,17640,2183c21141,744,24786,0,28575,0x">
                  <v:stroke weight="0pt" endcap="flat" joinstyle="miter" miterlimit="10" on="false" color="#000000" opacity="0"/>
                  <v:fill on="true" color="#333333"/>
                </v:shape>
                <v:shape id="Shape 4832" style="position:absolute;width:571;height:571;left:0;top:5048;" coordsize="57150,57150" path="m28575,0c32364,0,36009,744,39510,2183c43011,3621,46101,5655,48781,8334c51460,11013,53525,14089,54975,17562c56425,21134,57150,24755,57150,28575c57150,32345,56425,35967,54975,39439c53525,42962,51460,46038,48781,48766c46101,51395,43011,53479,39510,54918c36009,56406,32364,57150,28575,57150c24786,57150,21141,56406,17640,54918c14139,53479,11049,51395,8369,48766c5690,46038,3625,42962,2175,39439c725,35967,0,32345,0,28575c0,24755,725,21134,2175,17562c3625,14089,5690,11013,8369,8334c11049,5655,14139,3621,17640,2183c21141,744,24786,0,28575,0x">
                  <v:stroke weight="0pt" endcap="flat" joinstyle="miter" miterlimit="10" on="false" color="#000000" opacity="0"/>
                  <v:fill on="true" color="#333333"/>
                </v:shape>
                <v:shape id="Shape 4835" style="position:absolute;width:571;height:571;left:0;top:8477;" coordsize="57150,57150" path="m28575,0c32364,0,36009,744,39510,2133c43011,3572,46101,5655,48781,8334c51460,11013,53525,14089,54975,17562c56425,21134,57150,24755,57150,28575c57150,32345,56425,35967,54975,39489c53525,42962,51460,46038,48781,48766c46101,51395,43011,53479,39510,54918c36009,56406,32364,57150,28575,57150c24786,57150,21141,56406,17640,54918c14139,53479,11049,51395,8369,48766c5690,46038,3625,42962,2175,39489c725,35967,0,32345,0,28575c0,24755,725,21134,2175,17562c3625,14089,5690,11013,8369,8334c11049,5655,14139,3572,17640,2133c21141,744,24786,0,28575,0x">
                  <v:stroke weight="0pt" endcap="flat" joinstyle="miter" miterlimit="10" on="false" color="#000000" opacity="0"/>
                  <v:fill on="true" color="#333333"/>
                </v:shape>
                <v:shape id="Shape 4839" style="position:absolute;width:571;height:571;left:0;top:10001;" coordsize="57150,57150" path="m28575,0c32364,0,36009,744,39510,2133c43011,3572,46101,5655,48781,8334c51460,11013,53525,14089,54975,17562c56425,21134,57150,24755,57150,28575c57150,32345,56425,35967,54975,39489c53525,43011,51460,46087,48781,48816c46101,51445,43011,53479,39510,54918c36009,56406,32364,57150,28575,57150c24786,57150,21141,56406,17640,54918c14139,53479,11049,51445,8369,48816c5690,46087,3625,43011,2175,39489c725,35967,0,32345,0,28575c0,24755,725,21134,2175,17562c3625,14089,5690,11013,8369,8334c11049,5655,14139,3572,17640,2133c21141,744,24786,0,28575,0x">
                  <v:stroke weight="0pt" endcap="flat" joinstyle="miter" miterlimit="10" on="false" color="#000000" opacity="0"/>
                  <v:fill on="true" color="#333333"/>
                </v:shape>
                <w10:wrap type="square"/>
              </v:group>
            </w:pict>
          </mc:Fallback>
        </mc:AlternateContent>
      </w:r>
      <w:r>
        <w:t>длительный прием оральных антикоагулянтов; выраженная ХБП (рСКФ &lt;30 мл/мин/1,73 м</w:t>
      </w:r>
      <w:r>
        <w:rPr>
          <w:sz w:val="31"/>
          <w:vertAlign w:val="superscript"/>
        </w:rPr>
        <w:t>2</w:t>
      </w:r>
      <w:r>
        <w:t>); гемоглобин &lt;110 г/л;</w:t>
      </w:r>
    </w:p>
    <w:p w:rsidR="008E3F15" w:rsidRDefault="005F449A">
      <w:pPr>
        <w:ind w:left="340" w:right="258"/>
      </w:pPr>
      <w:r>
        <w:t>спонтанные кровотечения, требующие госпитализации/трансфузии, в последние 6 мес или повторные в любое время; тромбоцитопения &lt;100×10</w:t>
      </w:r>
      <w:r>
        <w:rPr>
          <w:sz w:val="31"/>
          <w:vertAlign w:val="superscript"/>
        </w:rPr>
        <w:t>9</w:t>
      </w:r>
      <w:r>
        <w:t>/л; хронические геморрагические диатезы;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05344"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259675" name="Group 259675"/>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4875" name="Shape 4875"/>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13"/>
                                  <a:pt x="53525" y="14139"/>
                                  <a:pt x="54975" y="17611"/>
                                </a:cubicBezTo>
                                <a:cubicBezTo>
                                  <a:pt x="56425" y="21134"/>
                                  <a:pt x="57150" y="24755"/>
                                  <a:pt x="57150" y="28575"/>
                                </a:cubicBezTo>
                                <a:cubicBezTo>
                                  <a:pt x="57150" y="32345"/>
                                  <a:pt x="56425" y="36016"/>
                                  <a:pt x="54975" y="39489"/>
                                </a:cubicBezTo>
                                <a:cubicBezTo>
                                  <a:pt x="53525" y="43011"/>
                                  <a:pt x="51460" y="46137"/>
                                  <a:pt x="48781" y="48816"/>
                                </a:cubicBezTo>
                                <a:cubicBezTo>
                                  <a:pt x="46101" y="51495"/>
                                  <a:pt x="43011" y="53529"/>
                                  <a:pt x="39510" y="54967"/>
                                </a:cubicBezTo>
                                <a:cubicBezTo>
                                  <a:pt x="36009" y="56406"/>
                                  <a:pt x="32364" y="57150"/>
                                  <a:pt x="28575" y="57150"/>
                                </a:cubicBezTo>
                                <a:cubicBezTo>
                                  <a:pt x="24786" y="57150"/>
                                  <a:pt x="21141" y="56406"/>
                                  <a:pt x="17640" y="54967"/>
                                </a:cubicBezTo>
                                <a:cubicBezTo>
                                  <a:pt x="14139" y="53529"/>
                                  <a:pt x="11049" y="51495"/>
                                  <a:pt x="8369" y="48816"/>
                                </a:cubicBezTo>
                                <a:cubicBezTo>
                                  <a:pt x="5690" y="46137"/>
                                  <a:pt x="3625" y="43011"/>
                                  <a:pt x="2175" y="39489"/>
                                </a:cubicBezTo>
                                <a:cubicBezTo>
                                  <a:pt x="725" y="36016"/>
                                  <a:pt x="0" y="32345"/>
                                  <a:pt x="0" y="28575"/>
                                </a:cubicBezTo>
                                <a:cubicBezTo>
                                  <a:pt x="0" y="24755"/>
                                  <a:pt x="725" y="21134"/>
                                  <a:pt x="2175" y="17611"/>
                                </a:cubicBezTo>
                                <a:cubicBezTo>
                                  <a:pt x="3625" y="14139"/>
                                  <a:pt x="5690" y="11013"/>
                                  <a:pt x="8369" y="838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77" name="Shape 4877"/>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3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3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79" name="Shape 4879"/>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39"/>
                                </a:cubicBezTo>
                                <a:cubicBezTo>
                                  <a:pt x="53525" y="4291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12"/>
                                  <a:pt x="2175" y="3943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81" name="Shape 4881"/>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83" name="Shape 4883"/>
                        <wps:cNvSpPr/>
                        <wps:spPr>
                          <a:xfrm>
                            <a:off x="0" y="6096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29"/>
                                  <a:pt x="39510" y="54918"/>
                                </a:cubicBezTo>
                                <a:cubicBezTo>
                                  <a:pt x="36009" y="56406"/>
                                  <a:pt x="32364" y="57150"/>
                                  <a:pt x="28575" y="57150"/>
                                </a:cubicBezTo>
                                <a:cubicBezTo>
                                  <a:pt x="24786" y="57150"/>
                                  <a:pt x="21141" y="56406"/>
                                  <a:pt x="17640" y="54918"/>
                                </a:cubicBezTo>
                                <a:cubicBezTo>
                                  <a:pt x="14139" y="53429"/>
                                  <a:pt x="11049" y="51395"/>
                                  <a:pt x="8369" y="48766"/>
                                </a:cubicBezTo>
                                <a:cubicBezTo>
                                  <a:pt x="5690" y="46038"/>
                                  <a:pt x="3625" y="42962"/>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85" name="Shape 4885"/>
                        <wps:cNvSpPr/>
                        <wps:spPr>
                          <a:xfrm>
                            <a:off x="0" y="762000"/>
                            <a:ext cx="57150" cy="57150"/>
                          </a:xfrm>
                          <a:custGeom>
                            <a:avLst/>
                            <a:gdLst/>
                            <a:ahLst/>
                            <a:cxnLst/>
                            <a:rect l="0" t="0" r="0" b="0"/>
                            <a:pathLst>
                              <a:path w="57150" h="57150">
                                <a:moveTo>
                                  <a:pt x="28575" y="0"/>
                                </a:moveTo>
                                <a:cubicBezTo>
                                  <a:pt x="32364" y="0"/>
                                  <a:pt x="36009" y="744"/>
                                  <a:pt x="39510" y="2183"/>
                                </a:cubicBezTo>
                                <a:cubicBezTo>
                                  <a:pt x="43011" y="3621"/>
                                  <a:pt x="46101" y="5705"/>
                                  <a:pt x="48781" y="8384"/>
                                </a:cubicBezTo>
                                <a:cubicBezTo>
                                  <a:pt x="51460" y="11013"/>
                                  <a:pt x="53525" y="14139"/>
                                  <a:pt x="54975" y="17611"/>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611"/>
                                </a:cubicBezTo>
                                <a:cubicBezTo>
                                  <a:pt x="3625" y="14139"/>
                                  <a:pt x="5690" y="11013"/>
                                  <a:pt x="8369" y="8384"/>
                                </a:cubicBezTo>
                                <a:cubicBezTo>
                                  <a:pt x="11049" y="570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87" name="Shape 4887"/>
                        <wps:cNvSpPr/>
                        <wps:spPr>
                          <a:xfrm>
                            <a:off x="0" y="914400"/>
                            <a:ext cx="57150" cy="57150"/>
                          </a:xfrm>
                          <a:custGeom>
                            <a:avLst/>
                            <a:gdLst/>
                            <a:ahLst/>
                            <a:cxnLst/>
                            <a:rect l="0" t="0" r="0" b="0"/>
                            <a:pathLst>
                              <a:path w="57150" h="57150">
                                <a:moveTo>
                                  <a:pt x="28575" y="0"/>
                                </a:moveTo>
                                <a:cubicBezTo>
                                  <a:pt x="32364" y="0"/>
                                  <a:pt x="36009" y="744"/>
                                  <a:pt x="39510" y="2183"/>
                                </a:cubicBezTo>
                                <a:cubicBezTo>
                                  <a:pt x="43011" y="3621"/>
                                  <a:pt x="46101" y="5705"/>
                                  <a:pt x="48781" y="8384"/>
                                </a:cubicBezTo>
                                <a:cubicBezTo>
                                  <a:pt x="51460" y="11063"/>
                                  <a:pt x="53525" y="14139"/>
                                  <a:pt x="54975" y="17611"/>
                                </a:cubicBezTo>
                                <a:cubicBezTo>
                                  <a:pt x="56425" y="21134"/>
                                  <a:pt x="57150" y="24805"/>
                                  <a:pt x="57150" y="28575"/>
                                </a:cubicBezTo>
                                <a:cubicBezTo>
                                  <a:pt x="57150" y="32345"/>
                                  <a:pt x="56425" y="35967"/>
                                  <a:pt x="54975" y="39489"/>
                                </a:cubicBezTo>
                                <a:cubicBezTo>
                                  <a:pt x="53525" y="43011"/>
                                  <a:pt x="51460" y="46087"/>
                                  <a:pt x="48781" y="48816"/>
                                </a:cubicBezTo>
                                <a:cubicBezTo>
                                  <a:pt x="46101" y="51445"/>
                                  <a:pt x="43011" y="53529"/>
                                  <a:pt x="39510" y="54967"/>
                                </a:cubicBezTo>
                                <a:cubicBezTo>
                                  <a:pt x="36009" y="56406"/>
                                  <a:pt x="32364" y="57150"/>
                                  <a:pt x="28575" y="57150"/>
                                </a:cubicBezTo>
                                <a:cubicBezTo>
                                  <a:pt x="24786" y="57150"/>
                                  <a:pt x="21141" y="56406"/>
                                  <a:pt x="17640" y="54967"/>
                                </a:cubicBezTo>
                                <a:cubicBezTo>
                                  <a:pt x="14139" y="53529"/>
                                  <a:pt x="11049" y="51445"/>
                                  <a:pt x="8369" y="48816"/>
                                </a:cubicBezTo>
                                <a:cubicBezTo>
                                  <a:pt x="5690" y="46087"/>
                                  <a:pt x="3625" y="43011"/>
                                  <a:pt x="2175" y="39489"/>
                                </a:cubicBezTo>
                                <a:cubicBezTo>
                                  <a:pt x="725" y="35967"/>
                                  <a:pt x="0" y="32345"/>
                                  <a:pt x="0" y="28575"/>
                                </a:cubicBezTo>
                                <a:cubicBezTo>
                                  <a:pt x="0" y="24805"/>
                                  <a:pt x="725" y="21134"/>
                                  <a:pt x="2175" y="17611"/>
                                </a:cubicBezTo>
                                <a:cubicBezTo>
                                  <a:pt x="3625" y="14139"/>
                                  <a:pt x="5690" y="11063"/>
                                  <a:pt x="8369" y="8384"/>
                                </a:cubicBezTo>
                                <a:cubicBezTo>
                                  <a:pt x="11049" y="570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89" name="Shape 4889"/>
                        <wps:cNvSpPr/>
                        <wps:spPr>
                          <a:xfrm>
                            <a:off x="0" y="1066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675" style="width:4.5pt;height:88.5pt;position:absolute;mso-position-horizontal-relative:text;mso-position-horizontal:absolute;margin-left:16.5pt;mso-position-vertical-relative:text;margin-top:2.74219pt;" coordsize="571,11239">
                <v:shape id="Shape 4875" style="position:absolute;width:571;height:571;left:0;top:0;" coordsize="57150,57150" path="m28575,0c32364,0,36009,744,39510,2133c43011,3572,46101,5655,48781,8384c51460,11013,53525,14139,54975,17611c56425,21134,57150,24755,57150,28575c57150,32345,56425,36016,54975,39489c53525,43011,51460,46137,48781,48816c46101,51495,43011,53529,39510,54967c36009,56406,32364,57150,28575,57150c24786,57150,21141,56406,17640,54967c14139,53529,11049,51495,8369,48816c5690,46137,3625,43011,2175,39489c725,36016,0,32345,0,28575c0,24755,725,21134,2175,17611c3625,14139,5690,11013,8369,8384c11049,5655,14139,3572,17640,2133c21141,744,24786,0,28575,0x">
                  <v:stroke weight="0pt" endcap="flat" joinstyle="miter" miterlimit="4" on="false" color="#000000" opacity="0"/>
                  <v:fill on="true" color="#333333"/>
                </v:shape>
                <v:shape id="Shape 4877" style="position:absolute;width:571;height:571;left:0;top:1524;" coordsize="57150,57150" path="m28575,0c32364,0,36009,744,39510,2133c43011,3572,46101,5655,48781,8334c51460,11013,53525,14089,54975,17611c56425,21134,57150,24755,57150,28575c57150,32345,56425,36016,54975,39439c53525,42962,51460,46038,48781,48766c46101,51395,43011,53479,39510,54918c36009,56406,32364,57150,28575,57150c24786,57150,21141,56406,17640,54918c14139,53479,11049,51395,8369,48766c5690,46038,3625,42962,2175,39439c725,36016,0,32345,0,28575c0,24755,725,21134,2175,17611c3625,14089,5690,11013,8369,8334c11049,5655,14139,3572,17640,2133c21141,744,24786,0,28575,0x">
                  <v:stroke weight="0pt" endcap="flat" joinstyle="miter" miterlimit="4" on="false" color="#000000" opacity="0"/>
                  <v:fill on="true" color="#333333"/>
                </v:shape>
                <v:shape id="Shape 4879" style="position:absolute;width:571;height:571;left:0;top:3048;" coordsize="57150,57150" path="m28575,0c32364,0,36009,744,39510,2133c43011,3572,46101,5655,48781,8334c51460,11013,53525,14089,54975,17611c56425,21134,57150,24755,57150,28575c57150,32345,56425,36016,54975,39439c53525,42912,51460,46038,48781,48766c46101,51395,43011,53479,39510,54918c36009,56406,32364,57150,28575,57150c24786,57150,21141,56406,17640,54918c14139,53479,11049,51395,8369,48766c5690,46038,3625,42912,2175,39439c725,36016,0,32345,0,28575c0,24755,725,21134,2175,17611c3625,14089,5690,11013,8369,8334c11049,5655,14139,3572,17640,2133c21141,744,24786,0,28575,0x">
                  <v:stroke weight="0pt" endcap="flat" joinstyle="miter" miterlimit="4" on="false" color="#000000" opacity="0"/>
                  <v:fill on="true" color="#333333"/>
                </v:shape>
                <v:shape id="Shape 4881" style="position:absolute;width:571;height:571;left:0;top:4572;" coordsize="57150,57150" path="m28575,0c32364,0,36009,744,39510,2133c43011,3572,46101,5655,48781,8334c51460,11013,53525,14089,54975,17611c56425,21134,57150,24755,57150,28575c57150,32345,56425,36016,54975,39489c53525,42962,51460,46038,48781,48766c46101,51395,43011,53479,39510,54918c36009,56406,32364,57150,28575,57150c24786,57150,21141,56406,17640,54918c14139,53479,11049,51395,8369,48766c5690,46038,3625,42962,2175,39489c725,36016,0,32345,0,28575c0,24755,725,21134,2175,17611c3625,14089,5690,11013,8369,8334c11049,5655,14139,3572,17640,2133c21141,744,24786,0,28575,0x">
                  <v:stroke weight="0pt" endcap="flat" joinstyle="miter" miterlimit="4" on="false" color="#000000" opacity="0"/>
                  <v:fill on="true" color="#333333"/>
                </v:shape>
                <v:shape id="Shape 4883" style="position:absolute;width:571;height:571;left:0;top:6096;" coordsize="57150,57150" path="m28575,0c32364,0,36009,744,39510,2133c43011,3572,46101,5655,48781,8334c51460,11013,53525,14089,54975,17611c56425,21134,57150,24755,57150,28575c57150,32345,56425,36016,54975,39489c53525,42962,51460,46038,48781,48766c46101,51395,43011,53429,39510,54918c36009,56406,32364,57150,28575,57150c24786,57150,21141,56406,17640,54918c14139,53429,11049,51395,8369,48766c5690,46038,3625,42962,2175,39489c725,36016,0,32345,0,28575c0,24755,725,21134,2175,17611c3625,14089,5690,11013,8369,8334c11049,5655,14139,3572,17640,2133c21141,744,24786,0,28575,0x">
                  <v:stroke weight="0pt" endcap="flat" joinstyle="miter" miterlimit="4" on="false" color="#000000" opacity="0"/>
                  <v:fill on="true" color="#333333"/>
                </v:shape>
                <v:shape id="Shape 4885" style="position:absolute;width:571;height:571;left:0;top:7620;" coordsize="57150,57150" path="m28575,0c32364,0,36009,744,39510,2183c43011,3621,46101,5705,48781,8384c51460,11013,53525,14139,54975,17611c56425,21134,57150,24755,57150,28575c57150,32345,56425,35967,54975,39489c53525,42962,51460,46038,48781,48766c46101,51395,43011,53479,39510,54967c36009,56406,32364,57150,28575,57150c24786,57150,21141,56406,17640,54967c14139,53479,11049,51395,8369,48766c5690,46038,3625,42962,2175,39489c725,35967,0,32345,0,28575c0,24755,725,21134,2175,17611c3625,14139,5690,11013,8369,8384c11049,5705,14139,3621,17640,2183c21141,744,24786,0,28575,0x">
                  <v:stroke weight="0pt" endcap="flat" joinstyle="miter" miterlimit="4" on="false" color="#000000" opacity="0"/>
                  <v:fill on="true" color="#333333"/>
                </v:shape>
                <v:shape id="Shape 4887" style="position:absolute;width:571;height:571;left:0;top:9144;" coordsize="57150,57150" path="m28575,0c32364,0,36009,744,39510,2183c43011,3621,46101,5705,48781,8384c51460,11063,53525,14139,54975,17611c56425,21134,57150,24805,57150,28575c57150,32345,56425,35967,54975,39489c53525,43011,51460,46087,48781,48816c46101,51445,43011,53529,39510,54967c36009,56406,32364,57150,28575,57150c24786,57150,21141,56406,17640,54967c14139,53529,11049,51445,8369,48816c5690,46087,3625,43011,2175,39489c725,35967,0,32345,0,28575c0,24805,725,21134,2175,17611c3625,14139,5690,11063,8369,8384c11049,5705,14139,3621,17640,2183c21141,744,24786,0,28575,0x">
                  <v:stroke weight="0pt" endcap="flat" joinstyle="miter" miterlimit="4" on="false" color="#000000" opacity="0"/>
                  <v:fill on="true" color="#333333"/>
                </v:shape>
                <v:shape id="Shape 4889" style="position:absolute;width:571;height:571;left:0;top:10668;" coordsize="57150,57150" path="m28575,0c32364,0,36009,744,39510,2133c43011,3572,46101,5655,48781,8334c51460,11013,53525,14089,54975,17562c56425,21134,57150,24755,57150,28575c57150,32345,56425,35967,54975,39489c53525,43011,51460,46087,48781,48816c46101,51445,43011,53479,39510,54918c36009,56406,32364,57150,28575,57150c24786,57150,21141,56406,17640,54918c14139,53479,11049,51445,8369,48816c5690,46087,3625,43011,2175,39489c725,35967,0,32345,0,28575c0,24755,725,21134,2175,17562c3625,14089,5690,11013,8369,8334c11049,5655,14139,3572,17640,2133c21141,744,24786,0,28575,0x">
                  <v:stroke weight="0pt" endcap="flat" joinstyle="miter" miterlimit="4" on="false" color="#000000" opacity="0"/>
                  <v:fill on="true" color="#333333"/>
                </v:shape>
                <w10:wrap type="square"/>
              </v:group>
            </w:pict>
          </mc:Fallback>
        </mc:AlternateContent>
      </w:r>
      <w:r>
        <w:t>цирроз печени с портальной гипертензией;</w:t>
      </w:r>
    </w:p>
    <w:p w:rsidR="008E3F15" w:rsidRDefault="005F449A">
      <w:pPr>
        <w:spacing w:after="179"/>
        <w:ind w:left="-8" w:right="2018" w:firstLine="180"/>
      </w:pPr>
      <w:r>
        <w:t>активный рак (исключая немеланомный рак кожи) в последние 12 мес; спонтанное внутричерепное кровоизлияние в любое время; травматическое внутричерепное кровоизлияние в послед</w:t>
      </w:r>
      <w:r>
        <w:t xml:space="preserve">ние 12 мес; артериовенозная мальформация мозга; ишемический инсульт в предшествующие 6 мес; неотложная хирургия на двойной антиагрегантной терапии; большая хирургия или травма в последние 30 сут до ЧКВ. </w:t>
      </w:r>
      <w:r>
        <w:rPr>
          <w:i/>
        </w:rPr>
        <w:t>Малые: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06368" behindDoc="0" locked="0" layoutInCell="1" allowOverlap="1">
                <wp:simplePos x="0" y="0"/>
                <wp:positionH relativeFrom="column">
                  <wp:posOffset>209550</wp:posOffset>
                </wp:positionH>
                <wp:positionV relativeFrom="paragraph">
                  <wp:posOffset>34826</wp:posOffset>
                </wp:positionV>
                <wp:extent cx="57150" cy="1009650"/>
                <wp:effectExtent l="0" t="0" r="0" b="0"/>
                <wp:wrapSquare wrapText="bothSides"/>
                <wp:docPr id="259678" name="Group 259678"/>
                <wp:cNvGraphicFramePr/>
                <a:graphic xmlns:a="http://schemas.openxmlformats.org/drawingml/2006/main">
                  <a:graphicData uri="http://schemas.microsoft.com/office/word/2010/wordprocessingGroup">
                    <wpg:wgp>
                      <wpg:cNvGrpSpPr/>
                      <wpg:grpSpPr>
                        <a:xfrm>
                          <a:off x="0" y="0"/>
                          <a:ext cx="57150" cy="1009650"/>
                          <a:chOff x="0" y="0"/>
                          <a:chExt cx="57150" cy="1009650"/>
                        </a:xfrm>
                      </wpg:grpSpPr>
                      <wps:wsp>
                        <wps:cNvPr id="4892" name="Shape 4892"/>
                        <wps:cNvSpPr/>
                        <wps:spPr>
                          <a:xfrm>
                            <a:off x="0" y="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39"/>
                                  <a:pt x="54975" y="17562"/>
                                </a:cubicBezTo>
                                <a:cubicBezTo>
                                  <a:pt x="56425" y="21084"/>
                                  <a:pt x="57150" y="24755"/>
                                  <a:pt x="57150" y="28575"/>
                                </a:cubicBezTo>
                                <a:cubicBezTo>
                                  <a:pt x="57150" y="32345"/>
                                  <a:pt x="56425" y="35967"/>
                                  <a:pt x="54975" y="39439"/>
                                </a:cubicBezTo>
                                <a:cubicBezTo>
                                  <a:pt x="53525" y="43011"/>
                                  <a:pt x="51460" y="46087"/>
                                  <a:pt x="48781" y="4876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766"/>
                                </a:cubicBezTo>
                                <a:cubicBezTo>
                                  <a:pt x="5690" y="46087"/>
                                  <a:pt x="3625" y="43011"/>
                                  <a:pt x="2175" y="39439"/>
                                </a:cubicBezTo>
                                <a:cubicBezTo>
                                  <a:pt x="725" y="35967"/>
                                  <a:pt x="0" y="32345"/>
                                  <a:pt x="0" y="28575"/>
                                </a:cubicBezTo>
                                <a:cubicBezTo>
                                  <a:pt x="0" y="24755"/>
                                  <a:pt x="725" y="21084"/>
                                  <a:pt x="2175" y="17562"/>
                                </a:cubicBezTo>
                                <a:cubicBezTo>
                                  <a:pt x="3625" y="14039"/>
                                  <a:pt x="5690" y="11013"/>
                                  <a:pt x="8369" y="8334"/>
                                </a:cubicBezTo>
                                <a:cubicBezTo>
                                  <a:pt x="11049" y="565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94" name="Shape 4894"/>
                        <wps:cNvSpPr/>
                        <wps:spPr>
                          <a:xfrm>
                            <a:off x="0" y="1905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3011"/>
                                  <a:pt x="51460" y="46137"/>
                                  <a:pt x="48781" y="48816"/>
                                </a:cubicBezTo>
                                <a:cubicBezTo>
                                  <a:pt x="46101" y="51495"/>
                                  <a:pt x="43011" y="53529"/>
                                  <a:pt x="39510" y="54967"/>
                                </a:cubicBezTo>
                                <a:cubicBezTo>
                                  <a:pt x="36009" y="56406"/>
                                  <a:pt x="32364" y="57150"/>
                                  <a:pt x="28575" y="57150"/>
                                </a:cubicBezTo>
                                <a:cubicBezTo>
                                  <a:pt x="24786" y="57150"/>
                                  <a:pt x="21141" y="56406"/>
                                  <a:pt x="17640" y="54967"/>
                                </a:cubicBezTo>
                                <a:cubicBezTo>
                                  <a:pt x="14139" y="53529"/>
                                  <a:pt x="11049" y="51495"/>
                                  <a:pt x="8369" y="48816"/>
                                </a:cubicBezTo>
                                <a:cubicBezTo>
                                  <a:pt x="5690" y="46137"/>
                                  <a:pt x="3625" y="43011"/>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898" name="Shape 4898"/>
                        <wps:cNvSpPr/>
                        <wps:spPr>
                          <a:xfrm>
                            <a:off x="0" y="3429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3011"/>
                                  <a:pt x="51460" y="46087"/>
                                  <a:pt x="48781" y="48816"/>
                                </a:cubicBezTo>
                                <a:cubicBezTo>
                                  <a:pt x="46101" y="51495"/>
                                  <a:pt x="43011" y="53529"/>
                                  <a:pt x="39510" y="54967"/>
                                </a:cubicBezTo>
                                <a:cubicBezTo>
                                  <a:pt x="36009" y="56406"/>
                                  <a:pt x="32364" y="57150"/>
                                  <a:pt x="28575" y="57150"/>
                                </a:cubicBezTo>
                                <a:cubicBezTo>
                                  <a:pt x="24786" y="57150"/>
                                  <a:pt x="21141" y="56406"/>
                                  <a:pt x="17640" y="54967"/>
                                </a:cubicBezTo>
                                <a:cubicBezTo>
                                  <a:pt x="14139" y="53529"/>
                                  <a:pt x="11049" y="51495"/>
                                  <a:pt x="8369" y="48816"/>
                                </a:cubicBezTo>
                                <a:cubicBezTo>
                                  <a:pt x="5690" y="46087"/>
                                  <a:pt x="3625" y="43011"/>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900" name="Shape 4900"/>
                        <wps:cNvSpPr/>
                        <wps:spPr>
                          <a:xfrm>
                            <a:off x="0" y="4953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903" name="Shape 4903"/>
                        <wps:cNvSpPr/>
                        <wps:spPr>
                          <a:xfrm>
                            <a:off x="0" y="8001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4905" name="Shape 4905"/>
                        <wps:cNvSpPr/>
                        <wps:spPr>
                          <a:xfrm>
                            <a:off x="0" y="9525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59678" style="width:4.5pt;height:79.5pt;position:absolute;mso-position-horizontal-relative:text;mso-position-horizontal:absolute;margin-left:16.5pt;mso-position-vertical-relative:text;margin-top:2.74219pt;" coordsize="571,10096">
                <v:shape id="Shape 4892" style="position:absolute;width:571;height:571;left:0;top:0;" coordsize="57150,57150" path="m28575,0c32364,0,36009,744,39510,2183c43011,3621,46101,5655,48781,8334c51460,11013,53525,14039,54975,17562c56425,21084,57150,24755,57150,28575c57150,32345,56425,35967,54975,39439c53525,43011,51460,46087,48781,48766c46101,51445,43011,53479,39510,54918c36009,56406,32364,57150,28575,57150c24786,57150,21141,56406,17640,54918c14139,53479,11049,51445,8369,48766c5690,46087,3625,43011,2175,39439c725,35967,0,32345,0,28575c0,24755,725,21084,2175,17562c3625,14039,5690,11013,8369,8334c11049,5655,14139,3621,17640,2183c21141,744,24786,0,28575,0x">
                  <v:stroke weight="0pt" endcap="flat" joinstyle="miter" miterlimit="4" on="false" color="#000000" opacity="0"/>
                  <v:fill on="true" color="#333333"/>
                </v:shape>
                <v:shape id="Shape 4894" style="position:absolute;width:571;height:571;left:0;top:1905;" coordsize="57150,57150" path="m28575,0c32364,0,36009,744,39510,2133c43011,3572,46101,5655,48781,8334c51460,11013,53525,14089,54975,17611c56425,21134,57150,24755,57150,28575c57150,32345,56425,36016,54975,39489c53525,43011,51460,46137,48781,48816c46101,51495,43011,53529,39510,54967c36009,56406,32364,57150,28575,57150c24786,57150,21141,56406,17640,54967c14139,53529,11049,51495,8369,48816c5690,46137,3625,43011,2175,39489c725,36016,0,32345,0,28575c0,24755,725,21134,2175,17611c3625,14089,5690,11013,8369,8334c11049,5655,14139,3572,17640,2133c21141,744,24786,0,28575,0x">
                  <v:stroke weight="0pt" endcap="flat" joinstyle="miter" miterlimit="4" on="false" color="#000000" opacity="0"/>
                  <v:fill on="true" color="#333333"/>
                </v:shape>
                <v:shape id="Shape 4898" style="position:absolute;width:571;height:571;left:0;top:3429;" coordsize="57150,57150" path="m28575,0c32364,0,36009,744,39510,2133c43011,3572,46101,5655,48781,8334c51460,11013,53525,14089,54975,17611c56425,21134,57150,24755,57150,28575c57150,32345,56425,36016,54975,39489c53525,43011,51460,46087,48781,48816c46101,51495,43011,53529,39510,54967c36009,56406,32364,57150,28575,57150c24786,57150,21141,56406,17640,54967c14139,53529,11049,51495,8369,48816c5690,46087,3625,43011,2175,39489c725,36016,0,32345,0,28575c0,24755,725,21134,2175,17611c3625,14089,5690,11013,8369,8334c11049,5655,14139,3572,17640,2133c21141,744,24786,0,28575,0x">
                  <v:stroke weight="0pt" endcap="flat" joinstyle="miter" miterlimit="4" on="false" color="#000000" opacity="0"/>
                  <v:fill on="true" color="#333333"/>
                </v:shape>
                <v:shape id="Shape 4900" style="position:absolute;width:571;height:571;left:0;top:4953;" coordsize="57150,57150" path="m28575,0c32364,0,36009,744,39510,2133c43011,3572,46101,5655,48781,8334c51460,11013,53525,14089,54975,17611c56425,21134,57150,24755,57150,28575c57150,32345,56425,36016,54975,39489c53525,43011,51460,46087,48781,48816c46101,51445,43011,53479,39510,54918c36009,56406,32364,57150,28575,57150c24786,57150,21141,56406,17640,54918c14139,53479,11049,51445,8369,48816c5690,46087,3625,43011,2175,39489c725,36016,0,32345,0,28575c0,24755,725,21134,2175,17611c3625,14089,5690,11013,8369,8334c11049,5655,14139,3572,17640,2133c21141,744,24786,0,28575,0x">
                  <v:stroke weight="0pt" endcap="flat" joinstyle="miter" miterlimit="4" on="false" color="#000000" opacity="0"/>
                  <v:fill on="true" color="#333333"/>
                </v:shape>
                <v:shape id="Shape 4903" style="position:absolute;width:571;height:571;left:0;top:8001;" coordsize="57150,57150" path="m28575,0c32364,0,36009,744,39510,2183c43011,3621,46101,5655,48781,8334c51460,11013,53525,14089,54975,17562c56425,21134,57150,24755,57150,28575c57150,32345,56425,35967,54975,39489c53525,42962,51460,46038,48781,48766c46101,51395,43011,53479,39510,54967c36009,56406,32364,57150,28575,57150c24786,57150,21141,56406,17640,54967c14139,53479,11049,51395,8369,48766c5690,46038,3625,42962,2175,39489c725,35967,0,32345,0,28575c0,24755,725,21134,2175,17562c3625,14089,5690,11013,8369,8334c11049,5655,14139,3621,17640,2183c21141,744,24786,0,28575,0x">
                  <v:stroke weight="0pt" endcap="flat" joinstyle="miter" miterlimit="4" on="false" color="#000000" opacity="0"/>
                  <v:fill on="true" color="#333333"/>
                </v:shape>
                <v:shape id="Shape 4905" style="position:absolute;width:571;height:571;left:0;top:9525;" coordsize="57150,57150" path="m28575,0c32364,0,36009,744,39510,2133c43011,3572,46101,5655,48781,8334c51460,11013,53525,14089,54975,17562c56425,21134,57150,24755,57150,28575c57150,32345,56425,35967,54975,39489c53525,42962,51460,46038,48781,48766c46101,51395,43011,53479,39510,54918c36009,56406,32364,57150,28575,57150c24786,57150,21141,56406,17640,54918c14139,53479,11049,51395,8369,48766c5690,46038,3625,42962,2175,39489c725,35967,0,32345,0,28575c0,24755,725,21134,2175,17562c3625,14089,5690,11013,8369,8334c11049,5655,14139,3572,17640,2133c21141,744,24786,0,28575,0x">
                  <v:stroke weight="0pt" endcap="flat" joinstyle="miter" miterlimit="4" on="false" color="#000000" opacity="0"/>
                  <v:fill on="true" color="#333333"/>
                </v:shape>
                <w10:wrap type="square"/>
              </v:group>
            </w:pict>
          </mc:Fallback>
        </mc:AlternateContent>
      </w:r>
      <w:r>
        <w:t>возраст ≥75 лет;</w:t>
      </w:r>
    </w:p>
    <w:p w:rsidR="008E3F15" w:rsidRDefault="005F449A">
      <w:pPr>
        <w:ind w:left="340" w:right="3567"/>
      </w:pPr>
      <w:r>
        <w:t>умеренная ХБП (рСКФ 30–60 мл</w:t>
      </w:r>
      <w:r>
        <w:t>/мин/1,73 м</w:t>
      </w:r>
      <w:r>
        <w:rPr>
          <w:sz w:val="31"/>
          <w:vertAlign w:val="superscript"/>
        </w:rPr>
        <w:t>2</w:t>
      </w:r>
      <w:r>
        <w:t>); гемоглобин 110–129 г/л у мужчин, 110–119 г/л у женщин;</w:t>
      </w:r>
    </w:p>
    <w:p w:rsidR="008E3F15" w:rsidRDefault="005F449A">
      <w:pPr>
        <w:spacing w:after="179"/>
        <w:ind w:left="340" w:right="77"/>
      </w:pPr>
      <w:r>
        <w:t xml:space="preserve">спонтанные кровотечения, требующие госпитализации/трансфузии, в последние 12 мес, не соответствующие большим критериям; длительный прием НПВП или глюкокортикоидов; ишемический инсульт в </w:t>
      </w:r>
      <w:r>
        <w:t>любое время, не соответствующий большим критериям.</w:t>
      </w:r>
    </w:p>
    <w:p w:rsidR="008E3F15" w:rsidRDefault="005F449A">
      <w:pPr>
        <w:ind w:left="2" w:right="699"/>
      </w:pPr>
      <w:r>
        <w:t>Почти четверть пациентов имеет высокий риск кровотечений, который можно снизить с помощью менее тромбогенных стентов и сокращения длительности двойной антиагрегантной терапии.</w:t>
      </w:r>
    </w:p>
    <w:p w:rsidR="008E3F15" w:rsidRDefault="005F449A">
      <w:pPr>
        <w:ind w:left="2" w:right="92"/>
      </w:pPr>
      <w:r>
        <w:t>В последних исследованиях показана возможность монотерапии ингибитором Р2Y</w:t>
      </w:r>
      <w:r>
        <w:rPr>
          <w:sz w:val="31"/>
          <w:vertAlign w:val="subscript"/>
        </w:rPr>
        <w:t>12</w:t>
      </w:r>
      <w:r>
        <w:t>рецепторов после прекращения приема АСК через 1–3 мес, что позволяет снизить риск кровотечений без увеличения частоты ССЗ (TWILIGHT, SMART CHOICE, STOPDAPT-2). В случае высокого ри</w:t>
      </w:r>
      <w:r>
        <w:t>ска кровотечений может быть целесообразной установка современных стентов, выделяющих лекарства, или в крайнем случае голометаллических стентов, которые позволяют сократить период комбинированного лечения антиагрегантами. Использование стентов с растворимым</w:t>
      </w:r>
      <w:r>
        <w:t xml:space="preserve"> полимерным покрытием не улучшило исходы по сравнению со стабильным покрытием, а стенты с растворимыми каркасами могут даже повысить частоту внутристентового тромбоза.</w:t>
      </w:r>
    </w:p>
    <w:p w:rsidR="008E3F15" w:rsidRDefault="005F449A">
      <w:pPr>
        <w:ind w:left="2" w:right="15"/>
      </w:pPr>
      <w:r>
        <w:t>Комбинированная терапия антиагрегантами при наличии других факторов риска (язвенная боле</w:t>
      </w:r>
      <w:r>
        <w:t xml:space="preserve">знь или желудочно-кишечное кровотечение в анамнезе в сочетании с инфицированием </w:t>
      </w:r>
      <w:r>
        <w:rPr>
          <w:i/>
        </w:rPr>
        <w:t>H. pylori</w:t>
      </w:r>
      <w:r>
        <w:t>, возрастом ≥65 лет, приемом НПВП или глюкокортикоидов) требует</w:t>
      </w:r>
    </w:p>
    <w:p w:rsidR="008E3F15" w:rsidRDefault="005F449A">
      <w:pPr>
        <w:ind w:left="2" w:right="184"/>
      </w:pPr>
      <w:r>
        <w:t>профилактического назначения ингибиторов протонной помпы (ACCF/ACG/AHA). Надежных данных об отрицательн</w:t>
      </w:r>
      <w:r>
        <w:t>ом влиянии ингибиторов протонной помпы на клинические эффекты клопидогрела недостаточно. Подавление активности фермента CYP2C19 омепразолом и эзомепразолом может уменьшить эффект клопидогрела, поэтому рекомендуют выбрать другой ингибитор протонной помпы.</w:t>
      </w:r>
    </w:p>
    <w:p w:rsidR="008E3F15" w:rsidRDefault="005F449A">
      <w:pPr>
        <w:ind w:left="2" w:right="15"/>
      </w:pPr>
      <w:r>
        <w:rPr>
          <w:b/>
        </w:rPr>
        <w:t>К</w:t>
      </w:r>
      <w:r>
        <w:rPr>
          <w:b/>
        </w:rPr>
        <w:t>Ш</w:t>
      </w:r>
      <w:r>
        <w:t xml:space="preserve"> в зависимости от использования в качестве шунта артерии (внутренней грудной, лучевой) или вены подразделяется на артериальное и аутовенозное. В связи с более длительной проходимостью рекомендуют использовать в первую очередь артериальные шунты, особенно </w:t>
      </w:r>
      <w:r>
        <w:t>внутренние грудные артерии (маммарокоронарное шунтирование).</w:t>
      </w:r>
    </w:p>
    <w:p w:rsidR="008E3F15" w:rsidRDefault="005F449A">
      <w:pPr>
        <w:ind w:left="2" w:right="15"/>
      </w:pPr>
      <w:r>
        <w:t>В 20–28% случаев анатомические особенности болезни и коморбидность не позволяют осуществить полную реваскуляризацию мио карда при многососудистом поражении, и в этих случаях сердечно-сосудистая с</w:t>
      </w:r>
      <w:r>
        <w:t>мертность повышается (Soukup C. et al., 2021; Ji Q. et al., 2019). Исходы КШ, выполненного в условиях искусственного крово обращения или на «работающем сердце», существенно не различаются (CORONARY; GOPCABE; Dieberg G. et al., 2016).</w:t>
      </w:r>
    </w:p>
    <w:p w:rsidR="008E3F15" w:rsidRDefault="005F449A">
      <w:pPr>
        <w:ind w:left="2" w:right="15"/>
      </w:pPr>
      <w:r>
        <w:t>Для расчета риска небл</w:t>
      </w:r>
      <w:r>
        <w:t>агоприятных сердечных событий используют индекс SYNTAX, который отражает сложность поражения коронарных артерий (</w:t>
      </w:r>
      <w:hyperlink r:id="rId23">
        <w:r>
          <w:rPr>
            <w:color w:val="0000EE"/>
            <w:u w:val="single" w:color="0000EE"/>
          </w:rPr>
          <w:t>www.s</w:t>
        </w:r>
      </w:hyperlink>
      <w:hyperlink r:id="rId24">
        <w:r>
          <w:rPr>
            <w:color w:val="0000EE"/>
          </w:rPr>
          <w:t>y</w:t>
        </w:r>
      </w:hyperlink>
      <w:hyperlink r:id="rId25">
        <w:r>
          <w:rPr>
            <w:color w:val="0000EE"/>
            <w:u w:val="single" w:color="0000EE"/>
          </w:rPr>
          <w:t>ntaxscore.com</w:t>
        </w:r>
      </w:hyperlink>
      <w:r>
        <w:t>).</w:t>
      </w:r>
    </w:p>
    <w:p w:rsidR="008E3F15" w:rsidRDefault="005F449A">
      <w:pPr>
        <w:ind w:left="2" w:right="170"/>
      </w:pPr>
      <w:r>
        <w:t>Внедрение современных стентов, выделяющих лекарства, позволяет получить сопоставимые результаты реваскуляризации не защищенного шунтом ствола левой коронарной артерии у пациентов с бляшками невысокой сложности (SYNTAX ≤32), при этом сни</w:t>
      </w:r>
      <w:r>
        <w:t>жается частота инсультов, но повышен риск повторных реваскуляризаций (EXCEL; Kodumuri V. et al., 2018; Giacoppo D. et al., 2017).</w:t>
      </w:r>
    </w:p>
    <w:p w:rsidR="008E3F15" w:rsidRDefault="005F449A">
      <w:pPr>
        <w:ind w:left="2" w:right="617"/>
      </w:pPr>
      <w:r>
        <w:t>Применение АСК перед КШ может улучшить проходимость шунтов, снизить смертность и частоту поздних ИМ. Лишь в случаях высокого риска кровотечений и отказа пациента от трансфузий крови следует рассмотреть отмену АСК за 3–5 сут до операции. Частота краткосрочн</w:t>
      </w:r>
      <w:r>
        <w:t xml:space="preserve">ых осложнений после КШ представлена в </w:t>
      </w:r>
      <w:r>
        <w:rPr>
          <w:b/>
        </w:rPr>
        <w:t>табл. 2.12</w:t>
      </w:r>
      <w:r>
        <w:t xml:space="preserve"> (Head S. et al., 2017).</w:t>
      </w:r>
    </w:p>
    <w:p w:rsidR="008E3F15" w:rsidRDefault="005F449A">
      <w:pPr>
        <w:spacing w:after="31"/>
        <w:ind w:left="2" w:right="15"/>
      </w:pPr>
      <w:r>
        <w:rPr>
          <w:b/>
        </w:rPr>
        <w:t xml:space="preserve">Таблица 2.12. </w:t>
      </w:r>
      <w:r>
        <w:t>Осложнения коронарного шунтирования</w:t>
      </w:r>
    </w:p>
    <w:tbl>
      <w:tblPr>
        <w:tblStyle w:val="TableGrid"/>
        <w:tblW w:w="6060" w:type="dxa"/>
        <w:tblInd w:w="30" w:type="dxa"/>
        <w:tblCellMar>
          <w:top w:w="58" w:type="dxa"/>
          <w:left w:w="40" w:type="dxa"/>
          <w:bottom w:w="0" w:type="dxa"/>
          <w:right w:w="50" w:type="dxa"/>
        </w:tblCellMar>
        <w:tblLook w:val="04A0" w:firstRow="1" w:lastRow="0" w:firstColumn="1" w:lastColumn="0" w:noHBand="0" w:noVBand="1"/>
      </w:tblPr>
      <w:tblGrid>
        <w:gridCol w:w="4725"/>
        <w:gridCol w:w="1335"/>
      </w:tblGrid>
      <w:tr w:rsidR="008E3F15">
        <w:trPr>
          <w:trHeight w:val="330"/>
        </w:trPr>
        <w:tc>
          <w:tcPr>
            <w:tcW w:w="472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rPr>
                <w:b/>
              </w:rPr>
              <w:t>Вид осложнения</w:t>
            </w:r>
          </w:p>
        </w:tc>
        <w:tc>
          <w:tcPr>
            <w:tcW w:w="133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Частота, %</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Смертность</w:t>
            </w:r>
          </w:p>
        </w:tc>
        <w:tc>
          <w:tcPr>
            <w:tcW w:w="13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Инсульт</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1–3</w:t>
            </w:r>
          </w:p>
        </w:tc>
      </w:tr>
      <w:tr w:rsidR="008E3F15">
        <w:trPr>
          <w:trHeight w:val="308"/>
        </w:trPr>
        <w:tc>
          <w:tcPr>
            <w:tcW w:w="4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ИМ</w:t>
            </w:r>
          </w:p>
        </w:tc>
        <w:tc>
          <w:tcPr>
            <w:tcW w:w="133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2–4</w:t>
            </w:r>
          </w:p>
        </w:tc>
      </w:tr>
      <w:tr w:rsidR="008E3F15">
        <w:trPr>
          <w:trHeight w:val="98"/>
        </w:trPr>
        <w:tc>
          <w:tcPr>
            <w:tcW w:w="6060"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08"/>
        </w:trPr>
        <w:tc>
          <w:tcPr>
            <w:tcW w:w="4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Операция при кровотечении</w:t>
            </w:r>
          </w:p>
        </w:tc>
        <w:tc>
          <w:tcPr>
            <w:tcW w:w="13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2–4</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Делирий</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8–50</w:t>
            </w:r>
          </w:p>
        </w:tc>
      </w:tr>
      <w:tr w:rsidR="008E3F15">
        <w:trPr>
          <w:trHeight w:val="330"/>
        </w:trPr>
        <w:tc>
          <w:tcPr>
            <w:tcW w:w="4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Тампонада сердца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1–3</w:t>
            </w:r>
          </w:p>
        </w:tc>
      </w:tr>
      <w:tr w:rsidR="008E3F15">
        <w:trPr>
          <w:trHeight w:val="330"/>
        </w:trPr>
        <w:tc>
          <w:tcPr>
            <w:tcW w:w="47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jc w:val="both"/>
            </w:pPr>
            <w:r>
              <w:rPr>
                <w:bdr w:val="single" w:sz="12" w:space="0" w:color="000000"/>
              </w:rPr>
              <w:t>Терминальная почечная недостаточность</w:t>
            </w:r>
          </w:p>
        </w:tc>
        <w:tc>
          <w:tcPr>
            <w:tcW w:w="133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w:t>
            </w:r>
          </w:p>
        </w:tc>
      </w:tr>
      <w:tr w:rsidR="008E3F15">
        <w:trPr>
          <w:trHeight w:val="330"/>
        </w:trPr>
        <w:tc>
          <w:tcPr>
            <w:tcW w:w="4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ФП</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15–30</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Медиастинит</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0,5–3</w:t>
            </w:r>
          </w:p>
        </w:tc>
      </w:tr>
    </w:tbl>
    <w:p w:rsidR="008E3F15" w:rsidRDefault="005F449A">
      <w:pPr>
        <w:pStyle w:val="Heading1"/>
        <w:ind w:left="2"/>
      </w:pPr>
      <w:r>
        <w:t>Часть I. Сердечно-сосудистые болезни</w:t>
      </w:r>
    </w:p>
    <w:p w:rsidR="008E3F15" w:rsidRDefault="005F449A">
      <w:pPr>
        <w:ind w:left="2" w:right="120"/>
      </w:pPr>
      <w:r>
        <w:t>После КШ пациентам рекомендуется продолжить прием АСК в дозе 75–100 мг/сут и статины в высокой дозе.</w:t>
      </w:r>
    </w:p>
    <w:p w:rsidR="008E3F15" w:rsidRDefault="005F449A">
      <w:pPr>
        <w:ind w:left="2" w:right="15"/>
      </w:pPr>
      <w:r>
        <w:t>Добавление клопидогрела или тикагрелора к АСК в течение года после венозного шунтирования предупреждает недостаточность шунта почти наполовину, однако повышается риск кровотечения, особенно при лечении тикагрелором (Solo K. et al., 2019; Sandner S. et al.,</w:t>
      </w:r>
      <w:r>
        <w:t xml:space="preserve"> 2022).</w:t>
      </w:r>
    </w:p>
    <w:p w:rsidR="008E3F15" w:rsidRDefault="005F449A">
      <w:pPr>
        <w:spacing w:after="31"/>
        <w:ind w:left="2" w:right="15"/>
      </w:pPr>
      <w:r>
        <w:t>Физическую реабилитацию после стернотомии можно начинать раньше, уже через 2 нед</w:t>
      </w:r>
    </w:p>
    <w:p w:rsidR="008E3F15" w:rsidRDefault="005F449A">
      <w:pPr>
        <w:spacing w:after="31"/>
        <w:ind w:left="2" w:right="15"/>
      </w:pPr>
      <w:r>
        <w:t>(Ennis S. et al., 2022).</w:t>
      </w:r>
    </w:p>
    <w:p w:rsidR="008E3F15" w:rsidRDefault="005F449A">
      <w:pPr>
        <w:spacing w:after="359"/>
        <w:ind w:left="2" w:right="15"/>
      </w:pPr>
      <w:r>
        <w:t>Для контроля боли в области оперативного вмешательства используют анальгетики, а прием НПВП нежелателен (Kohli P. et al., 2014). При длительно</w:t>
      </w:r>
      <w:r>
        <w:t>м приеме последних используют ингибиторы протонной помпы, которые, однако, могут увеличить риск кишечных инфекций (COMPASS).</w:t>
      </w:r>
    </w:p>
    <w:p w:rsidR="008E3F15" w:rsidRDefault="005F449A">
      <w:pPr>
        <w:pStyle w:val="Heading1"/>
        <w:ind w:left="2"/>
      </w:pPr>
      <w:r>
        <w:t>Часть I. Сердечно-сосудистые болезни</w:t>
      </w:r>
    </w:p>
    <w:p w:rsidR="008E3F15" w:rsidRDefault="005F449A">
      <w:pPr>
        <w:spacing w:after="31"/>
        <w:ind w:left="2" w:right="15"/>
      </w:pPr>
      <w:r>
        <w:t>Коморбидность</w:t>
      </w:r>
    </w:p>
    <w:p w:rsidR="008E3F15" w:rsidRDefault="005F449A">
      <w:pPr>
        <w:spacing w:after="31"/>
        <w:ind w:left="2" w:right="1201"/>
      </w:pPr>
      <w:r>
        <w:t>Особенности лечения стабильной коронарной болезни при частых сопутствующих забол</w:t>
      </w:r>
      <w:r>
        <w:t xml:space="preserve">еваниях и состояниях представлены в </w:t>
      </w:r>
      <w:r>
        <w:rPr>
          <w:b/>
        </w:rPr>
        <w:t>табл. 2.13</w:t>
      </w:r>
      <w:r>
        <w:t xml:space="preserve"> (Белялов Ф.И., 2022). </w:t>
      </w:r>
      <w:r>
        <w:rPr>
          <w:b/>
        </w:rPr>
        <w:t xml:space="preserve">Таблица 2.13. </w:t>
      </w:r>
      <w:r>
        <w:t>Выбор препаратов у пациентов с коронарной болезнью в условиях коморбидности</w:t>
      </w:r>
    </w:p>
    <w:tbl>
      <w:tblPr>
        <w:tblStyle w:val="TableGrid"/>
        <w:tblW w:w="10485" w:type="dxa"/>
        <w:tblInd w:w="30" w:type="dxa"/>
        <w:tblCellMar>
          <w:top w:w="58" w:type="dxa"/>
          <w:left w:w="43" w:type="dxa"/>
          <w:bottom w:w="0" w:type="dxa"/>
          <w:right w:w="82" w:type="dxa"/>
        </w:tblCellMar>
        <w:tblLook w:val="04A0" w:firstRow="1" w:lastRow="0" w:firstColumn="1" w:lastColumn="0" w:noHBand="0" w:noVBand="1"/>
      </w:tblPr>
      <w:tblGrid>
        <w:gridCol w:w="2790"/>
        <w:gridCol w:w="4080"/>
        <w:gridCol w:w="3615"/>
      </w:tblGrid>
      <w:tr w:rsidR="008E3F15">
        <w:trPr>
          <w:trHeight w:val="330"/>
        </w:trPr>
        <w:tc>
          <w:tcPr>
            <w:tcW w:w="27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Коморбидность</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Предпочтительные препараты</w:t>
            </w:r>
          </w:p>
        </w:tc>
        <w:tc>
          <w:tcPr>
            <w:tcW w:w="36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Нежелательные препараты</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Артериальная гипотензия</w:t>
            </w:r>
          </w:p>
        </w:tc>
        <w:tc>
          <w:tcPr>
            <w:tcW w:w="40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Ранолазин, триметазидин, антиагреганты, реваскуляризация</w:t>
            </w:r>
          </w:p>
        </w:tc>
        <w:tc>
          <w:tcPr>
            <w:tcW w:w="36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β-Адреноблокаторы, блокаторы кальциевых каналов, никорандил, нитраты</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Артериальная гипертензия</w:t>
            </w:r>
          </w:p>
        </w:tc>
        <w:tc>
          <w:tcPr>
            <w:tcW w:w="40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β-Адреноблокаторы, блокаторы кальциевых каналов</w:t>
            </w:r>
          </w:p>
        </w:tc>
        <w:tc>
          <w:tcPr>
            <w:tcW w:w="36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Антиагреганты, ривароксабан (высокая, неконтролируемая артериальная гипертензия)</w:t>
            </w:r>
          </w:p>
        </w:tc>
      </w:tr>
      <w:tr w:rsidR="008E3F15">
        <w:trPr>
          <w:trHeight w:val="129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Брадиаритмии</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Дигидропиридины, нитраты, никорандил, ранолазин, триметазидин, антиагреганты, реваскуляризация, кардиостимулятор</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 верапамил, дилтиазем</w:t>
            </w:r>
          </w:p>
        </w:tc>
      </w:tr>
      <w:tr w:rsidR="008E3F15">
        <w:trPr>
          <w:trHeight w:val="105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Бронхиальная астма</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Блокаторы кальциевых каналов, нитраты, никорандил, клопидогрел, ранолазин, тикагрелор, триметазидин</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 АСК (аспириновая астма), β2агонисты, теофиллин</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Гастродуоденальные язвы</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Блокаторы кальциевых каналов, βадреноблокаторы, нитраты, ранолазин, триметазидин</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Антиагреганты, ривароксабан</w:t>
            </w:r>
          </w:p>
        </w:tc>
      </w:tr>
      <w:tr w:rsidR="008E3F15">
        <w:trPr>
          <w:trHeight w:val="105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Гастроэзофагеальная рефлюксная болезнь</w:t>
            </w:r>
          </w:p>
        </w:tc>
        <w:tc>
          <w:tcPr>
            <w:tcW w:w="40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β-Адреноблокаторы, ранолазин, триметазидин</w:t>
            </w:r>
          </w:p>
        </w:tc>
        <w:tc>
          <w:tcPr>
            <w:tcW w:w="36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Блокаторы кальциевых каналов, нитраты, никорандил, антиагреганты и ривароксабан (при эрозиях)</w:t>
            </w:r>
          </w:p>
        </w:tc>
      </w:tr>
      <w:tr w:rsidR="008E3F15">
        <w:trPr>
          <w:trHeight w:val="1028"/>
        </w:trPr>
        <w:tc>
          <w:tcPr>
            <w:tcW w:w="279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2" w:right="0" w:firstLine="0"/>
            </w:pPr>
            <w:r>
              <w:t>Гипотиреоз</w:t>
            </w:r>
          </w:p>
        </w:tc>
        <w:tc>
          <w:tcPr>
            <w:tcW w:w="408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1" w:right="0" w:firstLine="0"/>
            </w:pPr>
            <w:r>
              <w:t>Дигидропиридины, нитраты, никорандил, антиагреганты</w:t>
            </w:r>
          </w:p>
        </w:tc>
        <w:tc>
          <w:tcPr>
            <w:tcW w:w="36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β-Адреноблокаторы, верапамил, дилтиазем, избыточная доза левотироксина натрия</w:t>
            </w:r>
          </w:p>
        </w:tc>
      </w:tr>
      <w:tr w:rsidR="008E3F15">
        <w:trPr>
          <w:trHeight w:val="503"/>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788"/>
        </w:trPr>
        <w:tc>
          <w:tcPr>
            <w:tcW w:w="279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Перемежающаяся хромота</w:t>
            </w:r>
          </w:p>
        </w:tc>
        <w:tc>
          <w:tcPr>
            <w:tcW w:w="40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Блокаторы кальциевых каналов, нитраты, никорандил, антиагреганты, ривароксабан</w:t>
            </w:r>
          </w:p>
        </w:tc>
        <w:tc>
          <w:tcPr>
            <w:tcW w:w="361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 пентоксифиллин</w:t>
            </w:r>
          </w:p>
        </w:tc>
      </w:tr>
      <w:tr w:rsidR="008E3F15">
        <w:trPr>
          <w:trHeight w:val="105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СНнФВ</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β-Адреноблокаторы (метопролола</w:t>
            </w:r>
          </w:p>
          <w:p w:rsidR="008E3F15" w:rsidRDefault="005F449A">
            <w:pPr>
              <w:spacing w:after="0" w:line="259" w:lineRule="auto"/>
              <w:ind w:left="1" w:right="0" w:firstLine="0"/>
            </w:pPr>
            <w:r>
              <w:t>сукцинат, карведилол, бисопролол), нитраты, антиагреганты</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Верапамил, дилтиазем</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Стеноз устья аорты, тяжелый</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β-Адреноблокаторы, антиагреганты, ранолазин, триметазидин, коррекция порока</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Блокаторы кальциевых каналов, нитраты</w:t>
            </w:r>
          </w:p>
        </w:tc>
      </w:tr>
      <w:tr w:rsidR="008E3F15">
        <w:trPr>
          <w:trHeight w:val="105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ФП</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β-Адреноблокаторы, верапамил, дилтиазем, ранолазин, соталол, антиагреганты, оральные антикоагулянты</w:t>
            </w:r>
          </w:p>
        </w:tc>
        <w:tc>
          <w:tcPr>
            <w:tcW w:w="36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IА и IС класс, дигоксин (дабигатрана этексилат)</w:t>
            </w:r>
          </w:p>
        </w:tc>
      </w:tr>
      <w:tr w:rsidR="008E3F15">
        <w:trPr>
          <w:trHeight w:val="57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Цирроз печени</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Пропранолол, изосорбида мононитрат, статины</w:t>
            </w:r>
          </w:p>
        </w:tc>
        <w:tc>
          <w:tcPr>
            <w:tcW w:w="36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Антиагреганты, ранолазин, ривароксабан</w:t>
            </w:r>
          </w:p>
        </w:tc>
      </w:tr>
    </w:tbl>
    <w:p w:rsidR="008E3F15" w:rsidRDefault="005F449A">
      <w:pPr>
        <w:ind w:left="2" w:right="15"/>
      </w:pPr>
      <w:r>
        <w:rPr>
          <w:b/>
        </w:rPr>
        <w:t>Примечание.</w:t>
      </w:r>
      <w:r>
        <w:t xml:space="preserve"> * — у пациентов после ИМ с высоким риском β-адреноблокаторы (предпочтительнее высокоселективные) снижают риск сердечных событий.</w:t>
      </w:r>
    </w:p>
    <w:p w:rsidR="008E3F15" w:rsidRDefault="005F449A">
      <w:pPr>
        <w:ind w:left="2" w:right="333"/>
      </w:pPr>
      <w:r>
        <w:t>Вопреки распространенным опасениям в исследованиях показано положительное влияние статинов на частоту декомпенсаций и смертнос</w:t>
      </w:r>
      <w:r>
        <w:t>ти, эффект противовирусной терапии у пациентов с хроническими заболеваниями печени, включая циррозы (Mahmud N. et al.,</w:t>
      </w:r>
    </w:p>
    <w:p w:rsidR="008E3F15" w:rsidRDefault="005F449A">
      <w:pPr>
        <w:spacing w:after="345"/>
        <w:ind w:left="2" w:right="15"/>
      </w:pPr>
      <w:r>
        <w:t>2022; Li Z. et al., 2022).</w:t>
      </w:r>
    </w:p>
    <w:p w:rsidR="008E3F15" w:rsidRDefault="005F449A">
      <w:pPr>
        <w:pStyle w:val="Heading1"/>
        <w:ind w:left="2"/>
      </w:pPr>
      <w:r>
        <w:t>Часть I. Сердечно-сосудистые болезни</w:t>
      </w:r>
    </w:p>
    <w:p w:rsidR="008E3F15" w:rsidRDefault="005F449A">
      <w:pPr>
        <w:spacing w:after="31"/>
        <w:ind w:left="2" w:right="15"/>
      </w:pPr>
      <w:r>
        <w:t>Глава 3. Легочная эмболия</w:t>
      </w:r>
    </w:p>
    <w:p w:rsidR="008E3F15" w:rsidRDefault="005F449A">
      <w:pPr>
        <w:ind w:left="2" w:right="15"/>
      </w:pPr>
      <w:r>
        <w:t>Венозные тромбоэмболии (ВТЭ), включающие ЛЭ (pu</w:t>
      </w:r>
      <w:r>
        <w:t>lmonary embolism) и тромбоз глубоких вен со сходным прогнозом и лечением, являются третьей по частоте причиной острой сердечно-сосудистой смерти после ИМ и инсульта (Wendelboe A. et al., 2016).</w:t>
      </w:r>
    </w:p>
    <w:p w:rsidR="008E3F15" w:rsidRDefault="005F449A">
      <w:pPr>
        <w:ind w:left="2" w:right="15"/>
      </w:pPr>
      <w:r>
        <w:t>Своевременная диагностика и лечение ЛЭ представляются крайне в</w:t>
      </w:r>
      <w:r>
        <w:t>ажными, поскольку без лечения смертность достигает 30%, в основном вследствие рецидивов тромбоэмболии. Даже при современном лечении госпитальная смертность составляет 6–11% (Aujesky D. et al., 2008; DeMonaco N. et al., 2008).</w:t>
      </w:r>
    </w:p>
    <w:p w:rsidR="008E3F15" w:rsidRDefault="005F449A">
      <w:pPr>
        <w:spacing w:after="359"/>
        <w:ind w:left="2" w:right="15"/>
      </w:pPr>
      <w:r>
        <w:t>Сложность оценки заболеваемост</w:t>
      </w:r>
      <w:r>
        <w:t>и и смертности от ЛЭ заключается в регистрации данной патологии в рубрике осложнений заболевания и, соответственно, отсутствии статистического учета.</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spacing w:after="179"/>
        <w:ind w:left="2" w:right="15"/>
      </w:pPr>
      <w:r>
        <w:t>В зависимости от вероятности появления ЛЭ пре</w:t>
      </w:r>
      <w:r>
        <w:t xml:space="preserve">драсполагающие факторы риска предложено классифицировать следующим образом (ESC). </w:t>
      </w:r>
      <w:r>
        <w:rPr>
          <w:i/>
        </w:rPr>
        <w:t>Большие (риск &gt;10 раз):</w:t>
      </w:r>
    </w:p>
    <w:p w:rsidR="008E3F15" w:rsidRDefault="005F449A">
      <w:pPr>
        <w:ind w:left="340" w:right="6573"/>
      </w:pPr>
      <w:r>
        <w:rPr>
          <w:rFonts w:ascii="Calibri" w:eastAsia="Calibri" w:hAnsi="Calibri" w:cs="Calibri"/>
          <w:noProof/>
          <w:color w:val="000000"/>
          <w:sz w:val="22"/>
        </w:rPr>
        <mc:AlternateContent>
          <mc:Choice Requires="wpg">
            <w:drawing>
              <wp:anchor distT="0" distB="0" distL="114300" distR="114300" simplePos="0" relativeHeight="251707392"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261093" name="Group 261093"/>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5244" name="Shape 5244"/>
                        <wps:cNvSpPr/>
                        <wps:spPr>
                          <a:xfrm>
                            <a:off x="0" y="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46" name="Shape 5246"/>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48" name="Shape 5248"/>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084"/>
                                  <a:pt x="57150" y="24755"/>
                                  <a:pt x="57150" y="28575"/>
                                </a:cubicBezTo>
                                <a:cubicBezTo>
                                  <a:pt x="57150" y="32345"/>
                                  <a:pt x="56425" y="35967"/>
                                  <a:pt x="54975" y="39439"/>
                                </a:cubicBezTo>
                                <a:cubicBezTo>
                                  <a:pt x="53525" y="43011"/>
                                  <a:pt x="51460" y="46087"/>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87"/>
                                  <a:pt x="3625" y="43011"/>
                                  <a:pt x="2175" y="39439"/>
                                </a:cubicBezTo>
                                <a:cubicBezTo>
                                  <a:pt x="725" y="35967"/>
                                  <a:pt x="0" y="32345"/>
                                  <a:pt x="0" y="28575"/>
                                </a:cubicBezTo>
                                <a:cubicBezTo>
                                  <a:pt x="0" y="24755"/>
                                  <a:pt x="725" y="2108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50" name="Shape 5250"/>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084"/>
                                  <a:pt x="57150" y="24755"/>
                                  <a:pt x="57150" y="28575"/>
                                </a:cubicBezTo>
                                <a:cubicBezTo>
                                  <a:pt x="57150" y="32345"/>
                                  <a:pt x="56425" y="36016"/>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6016"/>
                                  <a:pt x="0" y="32345"/>
                                  <a:pt x="0" y="28575"/>
                                </a:cubicBezTo>
                                <a:cubicBezTo>
                                  <a:pt x="0" y="24755"/>
                                  <a:pt x="725" y="2108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52" name="Shape 5252"/>
                        <wps:cNvSpPr/>
                        <wps:spPr>
                          <a:xfrm>
                            <a:off x="0" y="6096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39"/>
                                  <a:pt x="54975" y="17562"/>
                                </a:cubicBezTo>
                                <a:cubicBezTo>
                                  <a:pt x="56425" y="21084"/>
                                  <a:pt x="57150" y="24755"/>
                                  <a:pt x="57150" y="28575"/>
                                </a:cubicBezTo>
                                <a:cubicBezTo>
                                  <a:pt x="57150" y="32345"/>
                                  <a:pt x="56425" y="36016"/>
                                  <a:pt x="54975" y="39489"/>
                                </a:cubicBezTo>
                                <a:cubicBezTo>
                                  <a:pt x="53525" y="43011"/>
                                  <a:pt x="51460" y="46087"/>
                                  <a:pt x="48781" y="48816"/>
                                </a:cubicBezTo>
                                <a:cubicBezTo>
                                  <a:pt x="46101" y="51445"/>
                                  <a:pt x="43011" y="53529"/>
                                  <a:pt x="39510" y="54967"/>
                                </a:cubicBezTo>
                                <a:cubicBezTo>
                                  <a:pt x="36009" y="56406"/>
                                  <a:pt x="32364" y="57150"/>
                                  <a:pt x="28575" y="57150"/>
                                </a:cubicBezTo>
                                <a:cubicBezTo>
                                  <a:pt x="24786" y="57150"/>
                                  <a:pt x="21141" y="56406"/>
                                  <a:pt x="17640" y="54967"/>
                                </a:cubicBezTo>
                                <a:cubicBezTo>
                                  <a:pt x="14139" y="53529"/>
                                  <a:pt x="11049" y="51445"/>
                                  <a:pt x="8369" y="48816"/>
                                </a:cubicBezTo>
                                <a:cubicBezTo>
                                  <a:pt x="5690" y="46087"/>
                                  <a:pt x="3625" y="43011"/>
                                  <a:pt x="2175" y="39489"/>
                                </a:cubicBezTo>
                                <a:cubicBezTo>
                                  <a:pt x="725" y="36016"/>
                                  <a:pt x="0" y="32345"/>
                                  <a:pt x="0" y="28575"/>
                                </a:cubicBezTo>
                                <a:cubicBezTo>
                                  <a:pt x="0" y="24755"/>
                                  <a:pt x="725" y="21084"/>
                                  <a:pt x="2175" y="17562"/>
                                </a:cubicBezTo>
                                <a:cubicBezTo>
                                  <a:pt x="3625" y="14039"/>
                                  <a:pt x="5690" y="11013"/>
                                  <a:pt x="8369" y="8334"/>
                                </a:cubicBezTo>
                                <a:cubicBezTo>
                                  <a:pt x="11049" y="565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54" name="Shape 5254"/>
                        <wps:cNvSpPr/>
                        <wps:spPr>
                          <a:xfrm>
                            <a:off x="0" y="762000"/>
                            <a:ext cx="57150" cy="57150"/>
                          </a:xfrm>
                          <a:custGeom>
                            <a:avLst/>
                            <a:gdLst/>
                            <a:ahLst/>
                            <a:cxnLst/>
                            <a:rect l="0" t="0" r="0" b="0"/>
                            <a:pathLst>
                              <a:path w="57150" h="57150">
                                <a:moveTo>
                                  <a:pt x="28575" y="0"/>
                                </a:moveTo>
                                <a:cubicBezTo>
                                  <a:pt x="32364" y="0"/>
                                  <a:pt x="36009" y="744"/>
                                  <a:pt x="39510" y="2183"/>
                                </a:cubicBezTo>
                                <a:cubicBezTo>
                                  <a:pt x="43011" y="3572"/>
                                  <a:pt x="46101" y="5655"/>
                                  <a:pt x="48781" y="8334"/>
                                </a:cubicBezTo>
                                <a:cubicBezTo>
                                  <a:pt x="51460" y="10964"/>
                                  <a:pt x="53525" y="14039"/>
                                  <a:pt x="54975" y="17562"/>
                                </a:cubicBezTo>
                                <a:cubicBezTo>
                                  <a:pt x="56425" y="21084"/>
                                  <a:pt x="57150" y="24755"/>
                                  <a:pt x="57150" y="28575"/>
                                </a:cubicBezTo>
                                <a:cubicBezTo>
                                  <a:pt x="57150" y="32345"/>
                                  <a:pt x="56425" y="36016"/>
                                  <a:pt x="54975" y="39489"/>
                                </a:cubicBezTo>
                                <a:cubicBezTo>
                                  <a:pt x="53525" y="43011"/>
                                  <a:pt x="51460" y="46087"/>
                                  <a:pt x="48781" y="48816"/>
                                </a:cubicBezTo>
                                <a:cubicBezTo>
                                  <a:pt x="46101" y="51445"/>
                                  <a:pt x="43011" y="53529"/>
                                  <a:pt x="39510" y="54967"/>
                                </a:cubicBezTo>
                                <a:cubicBezTo>
                                  <a:pt x="36009" y="56406"/>
                                  <a:pt x="32364" y="57150"/>
                                  <a:pt x="28575" y="57150"/>
                                </a:cubicBezTo>
                                <a:cubicBezTo>
                                  <a:pt x="24786" y="57150"/>
                                  <a:pt x="21141" y="56406"/>
                                  <a:pt x="17640" y="54967"/>
                                </a:cubicBezTo>
                                <a:cubicBezTo>
                                  <a:pt x="14139" y="53529"/>
                                  <a:pt x="11049" y="51445"/>
                                  <a:pt x="8369" y="48816"/>
                                </a:cubicBezTo>
                                <a:cubicBezTo>
                                  <a:pt x="5690" y="46087"/>
                                  <a:pt x="3625" y="43011"/>
                                  <a:pt x="2175" y="39489"/>
                                </a:cubicBezTo>
                                <a:cubicBezTo>
                                  <a:pt x="725" y="36016"/>
                                  <a:pt x="0" y="32345"/>
                                  <a:pt x="0" y="28575"/>
                                </a:cubicBezTo>
                                <a:cubicBezTo>
                                  <a:pt x="0" y="24755"/>
                                  <a:pt x="725" y="21084"/>
                                  <a:pt x="2175" y="17562"/>
                                </a:cubicBezTo>
                                <a:cubicBezTo>
                                  <a:pt x="3625" y="14039"/>
                                  <a:pt x="5690" y="1096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56" name="Shape 5256"/>
                        <wps:cNvSpPr/>
                        <wps:spPr>
                          <a:xfrm>
                            <a:off x="0" y="9144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611"/>
                                </a:cubicBezTo>
                                <a:cubicBezTo>
                                  <a:pt x="56425" y="2113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134"/>
                                  <a:pt x="2175" y="17611"/>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1093" style="width:4.5pt;height:76.5pt;position:absolute;mso-position-horizontal-relative:text;mso-position-horizontal:absolute;margin-left:16.5pt;mso-position-vertical-relative:text;margin-top:2.74219pt;" coordsize="571,9715">
                <v:shape id="Shape 5244" style="position:absolute;width:571;height:571;left:0;top:0;" coordsize="57150,57150" path="m28575,0c32364,0,36009,744,39510,2183c43011,3621,46101,5655,48781,8334c51460,11013,53525,14089,54975,17562c56425,21134,57150,24755,57150,28575c57150,32345,56425,35967,54975,39489c53525,42962,51460,46038,48781,48766c46101,51395,43011,53479,39510,54967c36009,56406,32364,57150,28575,57150c24786,57150,21141,56406,17640,54967c14139,53479,11049,51395,8369,48766c5690,46038,3625,42962,2175,39489c725,35967,0,32345,0,28575c0,24755,725,21134,2175,17562c3625,14089,5690,11013,8369,8334c11049,5655,14139,3621,17640,2183c21141,744,24786,0,28575,0x">
                  <v:stroke weight="0pt" endcap="flat" joinstyle="miter" miterlimit="4" on="false" color="#000000" opacity="0"/>
                  <v:fill on="true" color="#333333"/>
                </v:shape>
                <v:shape id="Shape 5246" style="position:absolute;width:571;height:571;left:0;top:1524;" coordsize="57150,57150" path="m28575,0c32364,0,36009,744,39510,2133c43011,3572,46101,5655,48781,8334c51460,11013,53525,14089,54975,17562c56425,21134,57150,24755,57150,28575c57150,32345,56425,35967,54975,39489c53525,42962,51460,46038,48781,48766c46101,51395,43011,53479,39510,54918c36009,56406,32364,57150,28575,57150c24786,57150,21141,56406,17640,54918c14139,53479,11049,51395,8369,48766c5690,46038,3625,42962,2175,39489c725,35967,0,32345,0,28575c0,24755,725,21134,2175,17562c3625,14089,5690,11013,8369,8334c11049,5655,14139,3572,17640,2133c21141,744,24786,0,28575,0x">
                  <v:stroke weight="0pt" endcap="flat" joinstyle="miter" miterlimit="4" on="false" color="#000000" opacity="0"/>
                  <v:fill on="true" color="#333333"/>
                </v:shape>
                <v:shape id="Shape 5248" style="position:absolute;width:571;height:571;left:0;top:3048;" coordsize="57150,57150" path="m28575,0c32364,0,36009,744,39510,2133c43011,3572,46101,5655,48781,8334c51460,11013,53525,14089,54975,17562c56425,21084,57150,24755,57150,28575c57150,32345,56425,35967,54975,39439c53525,43011,51460,46087,48781,48766c46101,51395,43011,53479,39510,54918c36009,56406,32364,57150,28575,57150c24786,57150,21141,56406,17640,54918c14139,53479,11049,51395,8369,48766c5690,46087,3625,43011,2175,39439c725,35967,0,32345,0,28575c0,24755,725,21084,2175,17562c3625,14089,5690,11013,8369,8334c11049,5655,14139,3572,17640,2133c21141,744,24786,0,28575,0x">
                  <v:stroke weight="0pt" endcap="flat" joinstyle="miter" miterlimit="4" on="false" color="#000000" opacity="0"/>
                  <v:fill on="true" color="#333333"/>
                </v:shape>
                <v:shape id="Shape 5250" style="position:absolute;width:571;height:571;left:0;top:4572;" coordsize="57150,57150" path="m28575,0c32364,0,36009,744,39510,2133c43011,3572,46101,5655,48781,8334c51460,11013,53525,14089,54975,17562c56425,21084,57150,24755,57150,28575c57150,32345,56425,36016,54975,39489c53525,43011,51460,46087,48781,48816c46101,51445,43011,53479,39510,54918c36009,56406,32364,57150,28575,57150c24786,57150,21141,56406,17640,54918c14139,53479,11049,51445,8369,48816c5690,46087,3625,43011,2175,39489c725,36016,0,32345,0,28575c0,24755,725,21084,2175,17562c3625,14089,5690,11013,8369,8334c11049,5655,14139,3572,17640,2133c21141,744,24786,0,28575,0x">
                  <v:stroke weight="0pt" endcap="flat" joinstyle="miter" miterlimit="4" on="false" color="#000000" opacity="0"/>
                  <v:fill on="true" color="#333333"/>
                </v:shape>
                <v:shape id="Shape 5252" style="position:absolute;width:571;height:571;left:0;top:6096;" coordsize="57150,57150" path="m28575,0c32364,0,36009,744,39510,2183c43011,3621,46101,5655,48781,8334c51460,11013,53525,14039,54975,17562c56425,21084,57150,24755,57150,28575c57150,32345,56425,36016,54975,39489c53525,43011,51460,46087,48781,48816c46101,51445,43011,53529,39510,54967c36009,56406,32364,57150,28575,57150c24786,57150,21141,56406,17640,54967c14139,53529,11049,51445,8369,48816c5690,46087,3625,43011,2175,39489c725,36016,0,32345,0,28575c0,24755,725,21084,2175,17562c3625,14039,5690,11013,8369,8334c11049,5655,14139,3621,17640,2183c21141,744,24786,0,28575,0x">
                  <v:stroke weight="0pt" endcap="flat" joinstyle="miter" miterlimit="4" on="false" color="#000000" opacity="0"/>
                  <v:fill on="true" color="#333333"/>
                </v:shape>
                <v:shape id="Shape 5254" style="position:absolute;width:571;height:571;left:0;top:7620;" coordsize="57150,57150" path="m28575,0c32364,0,36009,744,39510,2183c43011,3572,46101,5655,48781,8334c51460,10964,53525,14039,54975,17562c56425,21084,57150,24755,57150,28575c57150,32345,56425,36016,54975,39489c53525,43011,51460,46087,48781,48816c46101,51445,43011,53529,39510,54967c36009,56406,32364,57150,28575,57150c24786,57150,21141,56406,17640,54967c14139,53529,11049,51445,8369,48816c5690,46087,3625,43011,2175,39489c725,36016,0,32345,0,28575c0,24755,725,21084,2175,17562c3625,14039,5690,10964,8369,8334c11049,5655,14139,3572,17640,2133c21141,744,24786,0,28575,0x">
                  <v:stroke weight="0pt" endcap="flat" joinstyle="miter" miterlimit="4" on="false" color="#000000" opacity="0"/>
                  <v:fill on="true" color="#333333"/>
                </v:shape>
                <v:shape id="Shape 5256" style="position:absolute;width:571;height:571;left:0;top:9144;" coordsize="57150,57150" path="m28575,0c32364,0,36009,744,39510,2183c43011,3621,46101,5655,48781,8334c51460,11013,53525,14089,54975,17611c56425,21134,57150,24755,57150,28575c57150,32345,56425,35967,54975,39439c53525,42962,51460,46038,48781,48766c46101,51445,43011,53479,39510,54918c36009,56406,32364,57150,28575,57150c24786,57150,21141,56406,17640,54918c14139,53479,11049,51445,8369,48766c5690,46038,3625,42962,2175,39439c725,35967,0,32345,0,28575c0,24755,725,21134,2175,17611c3625,14089,5690,11013,8369,8334c11049,5655,14139,3621,17640,2183c21141,744,24786,0,28575,0x">
                  <v:stroke weight="0pt" endcap="flat" joinstyle="miter" miterlimit="4" on="false" color="#000000" opacity="0"/>
                  <v:fill on="true" color="#333333"/>
                </v:shape>
                <w10:wrap type="square"/>
              </v:group>
            </w:pict>
          </mc:Fallback>
        </mc:AlternateContent>
      </w:r>
      <w:r>
        <w:t>предшествующие ВТЭ; большая травма; повреждение спинного мозга;</w:t>
      </w:r>
    </w:p>
    <w:p w:rsidR="008E3F15" w:rsidRDefault="005F449A">
      <w:pPr>
        <w:spacing w:after="31"/>
        <w:ind w:left="340" w:right="15"/>
      </w:pPr>
      <w:r>
        <w:t>переломы ног, таза;</w:t>
      </w:r>
    </w:p>
    <w:p w:rsidR="008E3F15" w:rsidRDefault="005F449A">
      <w:pPr>
        <w:spacing w:after="179"/>
        <w:ind w:left="340" w:right="4341"/>
      </w:pPr>
      <w:r>
        <w:t>замена бедренных и коленных суставов; госпитализации с ИМ, СН, ФП (до 3 мес); COVID-19.</w:t>
      </w:r>
    </w:p>
    <w:p w:rsidR="008E3F15" w:rsidRDefault="005F449A">
      <w:pPr>
        <w:spacing w:after="133" w:line="259" w:lineRule="auto"/>
        <w:ind w:right="0"/>
      </w:pPr>
      <w:r>
        <w:rPr>
          <w:i/>
        </w:rPr>
        <w:t>Умеренные (риск 2–9 раз):</w:t>
      </w:r>
    </w:p>
    <w:p w:rsidR="008E3F15" w:rsidRDefault="005F449A">
      <w:pPr>
        <w:ind w:left="340" w:right="5319"/>
      </w:pPr>
      <w:r>
        <w:rPr>
          <w:rFonts w:ascii="Calibri" w:eastAsia="Calibri" w:hAnsi="Calibri" w:cs="Calibri"/>
          <w:noProof/>
          <w:color w:val="000000"/>
          <w:sz w:val="22"/>
        </w:rPr>
        <mc:AlternateContent>
          <mc:Choice Requires="wpg">
            <w:drawing>
              <wp:anchor distT="0" distB="0" distL="114300" distR="114300" simplePos="0" relativeHeight="251708416"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261094" name="Group 261094"/>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5259" name="Shape 5259"/>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13"/>
                                  <a:pt x="53525" y="14139"/>
                                  <a:pt x="54975" y="17611"/>
                                </a:cubicBezTo>
                                <a:cubicBezTo>
                                  <a:pt x="56425" y="21134"/>
                                  <a:pt x="57150" y="24805"/>
                                  <a:pt x="57150" y="28575"/>
                                </a:cubicBezTo>
                                <a:cubicBezTo>
                                  <a:pt x="57150" y="32345"/>
                                  <a:pt x="56425" y="35967"/>
                                  <a:pt x="54975" y="39439"/>
                                </a:cubicBezTo>
                                <a:cubicBezTo>
                                  <a:pt x="53525" y="42962"/>
                                  <a:pt x="51460" y="46038"/>
                                  <a:pt x="48781" y="48766"/>
                                </a:cubicBezTo>
                                <a:cubicBezTo>
                                  <a:pt x="46101" y="51395"/>
                                  <a:pt x="43011" y="53429"/>
                                  <a:pt x="39510" y="54918"/>
                                </a:cubicBezTo>
                                <a:cubicBezTo>
                                  <a:pt x="36009" y="56406"/>
                                  <a:pt x="32364" y="57150"/>
                                  <a:pt x="28575" y="57150"/>
                                </a:cubicBezTo>
                                <a:cubicBezTo>
                                  <a:pt x="24786" y="57150"/>
                                  <a:pt x="21141" y="56406"/>
                                  <a:pt x="17640" y="54918"/>
                                </a:cubicBezTo>
                                <a:cubicBezTo>
                                  <a:pt x="14139" y="53429"/>
                                  <a:pt x="11049" y="51395"/>
                                  <a:pt x="8369" y="48766"/>
                                </a:cubicBezTo>
                                <a:cubicBezTo>
                                  <a:pt x="5690" y="46038"/>
                                  <a:pt x="3625" y="42962"/>
                                  <a:pt x="2175" y="39439"/>
                                </a:cubicBezTo>
                                <a:cubicBezTo>
                                  <a:pt x="725" y="35967"/>
                                  <a:pt x="0" y="32345"/>
                                  <a:pt x="0" y="28575"/>
                                </a:cubicBezTo>
                                <a:cubicBezTo>
                                  <a:pt x="0" y="24805"/>
                                  <a:pt x="725" y="21134"/>
                                  <a:pt x="2175" y="17611"/>
                                </a:cubicBezTo>
                                <a:cubicBezTo>
                                  <a:pt x="3625" y="14139"/>
                                  <a:pt x="5690" y="11013"/>
                                  <a:pt x="8369" y="838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61" name="Shape 5261"/>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13"/>
                                  <a:pt x="53525" y="14139"/>
                                  <a:pt x="54975" y="17611"/>
                                </a:cubicBezTo>
                                <a:cubicBezTo>
                                  <a:pt x="56425" y="21134"/>
                                  <a:pt x="57150" y="24805"/>
                                  <a:pt x="57150" y="28575"/>
                                </a:cubicBezTo>
                                <a:cubicBezTo>
                                  <a:pt x="57150" y="32345"/>
                                  <a:pt x="56425" y="35967"/>
                                  <a:pt x="54975" y="39439"/>
                                </a:cubicBezTo>
                                <a:cubicBezTo>
                                  <a:pt x="53525" y="42962"/>
                                  <a:pt x="51460" y="46038"/>
                                  <a:pt x="48781" y="48766"/>
                                </a:cubicBezTo>
                                <a:cubicBezTo>
                                  <a:pt x="46101" y="51395"/>
                                  <a:pt x="43011" y="53429"/>
                                  <a:pt x="39510" y="54918"/>
                                </a:cubicBezTo>
                                <a:cubicBezTo>
                                  <a:pt x="36009" y="56356"/>
                                  <a:pt x="32364" y="57150"/>
                                  <a:pt x="28575" y="57150"/>
                                </a:cubicBezTo>
                                <a:cubicBezTo>
                                  <a:pt x="24786" y="57150"/>
                                  <a:pt x="21141" y="56356"/>
                                  <a:pt x="17640" y="54918"/>
                                </a:cubicBezTo>
                                <a:cubicBezTo>
                                  <a:pt x="14139" y="53429"/>
                                  <a:pt x="11049" y="51395"/>
                                  <a:pt x="8369" y="48766"/>
                                </a:cubicBezTo>
                                <a:cubicBezTo>
                                  <a:pt x="5690" y="46038"/>
                                  <a:pt x="3625" y="42962"/>
                                  <a:pt x="2175" y="39439"/>
                                </a:cubicBezTo>
                                <a:cubicBezTo>
                                  <a:pt x="725" y="35967"/>
                                  <a:pt x="0" y="32345"/>
                                  <a:pt x="0" y="28575"/>
                                </a:cubicBezTo>
                                <a:cubicBezTo>
                                  <a:pt x="0" y="24805"/>
                                  <a:pt x="725" y="21134"/>
                                  <a:pt x="2175" y="17611"/>
                                </a:cubicBezTo>
                                <a:cubicBezTo>
                                  <a:pt x="3625" y="14139"/>
                                  <a:pt x="5690" y="11013"/>
                                  <a:pt x="8369" y="838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63" name="Shape 5263"/>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345"/>
                                  <a:pt x="56425" y="36016"/>
                                  <a:pt x="54975" y="39489"/>
                                </a:cubicBezTo>
                                <a:cubicBezTo>
                                  <a:pt x="53525" y="43011"/>
                                  <a:pt x="51460" y="4613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137"/>
                                  <a:pt x="3625" y="43011"/>
                                  <a:pt x="2175" y="39489"/>
                                </a:cubicBezTo>
                                <a:cubicBezTo>
                                  <a:pt x="725" y="36016"/>
                                  <a:pt x="0" y="32345"/>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65" name="Shape 5265"/>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39"/>
                                </a:cubicBezTo>
                                <a:cubicBezTo>
                                  <a:pt x="725" y="36016"/>
                                  <a:pt x="0" y="32345"/>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67" name="Shape 5267"/>
                        <wps:cNvSpPr/>
                        <wps:spPr>
                          <a:xfrm>
                            <a:off x="0" y="6096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3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270" name="Shape 5270"/>
                        <wps:cNvSpPr/>
                        <wps:spPr>
                          <a:xfrm>
                            <a:off x="0" y="914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3011"/>
                                  <a:pt x="51460" y="46087"/>
                                  <a:pt x="48781" y="48816"/>
                                </a:cubicBezTo>
                                <a:cubicBezTo>
                                  <a:pt x="46101" y="51495"/>
                                  <a:pt x="43011" y="53529"/>
                                  <a:pt x="39510" y="54967"/>
                                </a:cubicBezTo>
                                <a:cubicBezTo>
                                  <a:pt x="36009" y="56406"/>
                                  <a:pt x="32364" y="57150"/>
                                  <a:pt x="28575" y="57150"/>
                                </a:cubicBezTo>
                                <a:cubicBezTo>
                                  <a:pt x="24786" y="57150"/>
                                  <a:pt x="21141" y="56406"/>
                                  <a:pt x="17640" y="54967"/>
                                </a:cubicBezTo>
                                <a:cubicBezTo>
                                  <a:pt x="14139" y="53529"/>
                                  <a:pt x="11049" y="51495"/>
                                  <a:pt x="8369" y="48816"/>
                                </a:cubicBezTo>
                                <a:cubicBezTo>
                                  <a:pt x="5690" y="46087"/>
                                  <a:pt x="3625" y="43011"/>
                                  <a:pt x="2175" y="3948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1094" style="width:4.5pt;height:76.5pt;position:absolute;mso-position-horizontal-relative:text;mso-position-horizontal:absolute;margin-left:16.5pt;mso-position-vertical-relative:text;margin-top:2.74219pt;" coordsize="571,9715">
                <v:shape id="Shape 5259" style="position:absolute;width:571;height:571;left:0;top:0;" coordsize="57150,57150" path="m28575,0c32364,0,36009,744,39510,2133c43011,3572,46101,5655,48781,8384c51460,11013,53525,14139,54975,17611c56425,21134,57150,24805,57150,28575c57150,32345,56425,35967,54975,39439c53525,42962,51460,46038,48781,48766c46101,51395,43011,53429,39510,54918c36009,56406,32364,57150,28575,57150c24786,57150,21141,56406,17640,54918c14139,53429,11049,51395,8369,48766c5690,46038,3625,42962,2175,39439c725,35967,0,32345,0,28575c0,24805,725,21134,2175,17611c3625,14139,5690,11013,8369,8384c11049,5655,14139,3572,17640,2133c21141,744,24786,0,28575,0x">
                  <v:stroke weight="0pt" endcap="flat" joinstyle="miter" miterlimit="4" on="false" color="#000000" opacity="0"/>
                  <v:fill on="true" color="#333333"/>
                </v:shape>
                <v:shape id="Shape 5261" style="position:absolute;width:571;height:571;left:0;top:1524;" coordsize="57150,57150" path="m28575,0c32364,0,36009,744,39510,2133c43011,3572,46101,5655,48781,8384c51460,11013,53525,14139,54975,17611c56425,21134,57150,24805,57150,28575c57150,32345,56425,35967,54975,39439c53525,42962,51460,46038,48781,48766c46101,51395,43011,53429,39510,54918c36009,56356,32364,57150,28575,57150c24786,57150,21141,56356,17640,54918c14139,53429,11049,51395,8369,48766c5690,46038,3625,42962,2175,39439c725,35967,0,32345,0,28575c0,24805,725,21134,2175,17611c3625,14139,5690,11013,8369,8384c11049,5655,14139,3572,17640,2133c21141,744,24786,0,28575,0x">
                  <v:stroke weight="0pt" endcap="flat" joinstyle="miter" miterlimit="4" on="false" color="#000000" opacity="0"/>
                  <v:fill on="true" color="#333333"/>
                </v:shape>
                <v:shape id="Shape 5263" style="position:absolute;width:571;height:571;left:0;top:3048;" coordsize="57150,57150" path="m28575,0c32364,0,36009,744,39510,2133c43011,3572,46101,5655,48781,8334c51460,11013,53525,14139,54975,17611c56425,21134,57150,24755,57150,28575c57150,32345,56425,36016,54975,39489c53525,43011,51460,46137,48781,48816c46101,51445,43011,53479,39510,54918c36009,56406,32364,57150,28575,57150c24786,57150,21141,56406,17640,54918c14139,53479,11049,51445,8369,48816c5690,46137,3625,43011,2175,39489c725,36016,0,32345,0,28575c0,24755,725,21134,2175,17611c3625,14139,5690,11013,8369,8334c11049,5655,14139,3572,17640,2133c21141,744,24786,0,28575,0x">
                  <v:stroke weight="0pt" endcap="flat" joinstyle="miter" miterlimit="4" on="false" color="#000000" opacity="0"/>
                  <v:fill on="true" color="#333333"/>
                </v:shape>
                <v:shape id="Shape 5265" style="position:absolute;width:571;height:571;left:0;top:4572;" coordsize="57150,57150" path="m28575,0c32364,0,36009,744,39510,2133c43011,3572,46101,5655,48781,8334c51460,11013,53525,14139,54975,17611c56425,21134,57150,24755,57150,28575c57150,32345,56425,36016,54975,39489c53525,42962,51460,46038,48781,48766c46101,51395,43011,53479,39510,54918c36009,56406,32364,57150,28575,57150c24786,57150,21141,56406,17640,54967c14139,53479,11049,51395,8369,48766c5690,46038,3625,42962,2175,39439c725,36016,0,32345,0,28575c0,24755,725,21134,2175,17611c3625,14139,5690,11013,8369,8334c11049,5655,14139,3572,17640,2133c21141,744,24786,0,28575,0x">
                  <v:stroke weight="0pt" endcap="flat" joinstyle="miter" miterlimit="4" on="false" color="#000000" opacity="0"/>
                  <v:fill on="true" color="#333333"/>
                </v:shape>
                <v:shape id="Shape 5267" style="position:absolute;width:571;height:571;left:0;top:6096;" coordsize="57150,57150" path="m28575,0c32364,0,36009,744,39510,2133c43011,3572,46101,5655,48781,8334c51460,11013,53525,14089,54975,17611c56425,21134,57150,24755,57150,28575c57150,32345,56425,36016,54975,39489c53525,42962,51460,46038,48781,48766c46101,51395,43011,53479,39510,54918c36009,56406,32364,57150,28575,57150c24786,57150,21141,56406,17640,54967c14139,53479,11049,51395,8369,48766c5690,46038,3625,42962,2175,39439c725,36016,0,32345,0,28575c0,24755,725,21134,2175,17611c3625,14089,5690,11013,8369,8334c11049,5655,14139,3572,17640,2133c21141,744,24786,0,28575,0x">
                  <v:stroke weight="0pt" endcap="flat" joinstyle="miter" miterlimit="4" on="false" color="#000000" opacity="0"/>
                  <v:fill on="true" color="#333333"/>
                </v:shape>
                <v:shape id="Shape 5270" style="position:absolute;width:571;height:571;left:0;top:9144;" coordsize="57150,57150" path="m28575,0c32364,0,36009,744,39510,2133c43011,3572,46101,5655,48781,8334c51460,11013,53525,14089,54975,17611c56425,21134,57150,24755,57150,28575c57150,32345,56425,36016,54975,39489c53525,43011,51460,46087,48781,48816c46101,51495,43011,53529,39510,54967c36009,56406,32364,57150,28575,57150c24786,57150,21141,56406,17640,54967c14139,53529,11049,51495,8369,48816c5690,46087,3625,43011,2175,39489c725,36016,0,32345,0,28575c0,24755,725,21134,2175,17611c3625,14089,5690,11013,8369,8334c11049,5655,14139,3572,17640,2133c21141,744,24786,0,28575,0x">
                  <v:stroke weight="0pt" endcap="flat" joinstyle="miter" miterlimit="4" on="false" color="#000000" opacity="0"/>
                  <v:fill on="true" color="#333333"/>
                </v:shape>
                <w10:wrap type="square"/>
              </v:group>
            </w:pict>
          </mc:Fallback>
        </mc:AlternateContent>
      </w:r>
      <w:r>
        <w:t>сердечная, дыхательная недостаточность; инсульт с параличом; венозные катетеры и проводники; тромбоз поверхностных вен;</w:t>
      </w:r>
    </w:p>
    <w:p w:rsidR="008E3F15" w:rsidRDefault="005F449A">
      <w:pPr>
        <w:ind w:left="340" w:right="15"/>
      </w:pPr>
      <w:r>
        <w:t>тромбофилии (фактор V</w:t>
      </w:r>
      <w:r>
        <w:t xml:space="preserve"> Лейдена, протромбин G20210A, дефицит протеинов C, S, антитромбина III);</w:t>
      </w:r>
    </w:p>
    <w:p w:rsidR="008E3F15" w:rsidRDefault="005F449A">
      <w:pPr>
        <w:spacing w:after="31"/>
        <w:ind w:left="340" w:right="15"/>
      </w:pPr>
      <w:r>
        <w:t>инфекции (пневмония, мочевого тракта, вирус иммунодефицита человека);</w:t>
      </w:r>
    </w:p>
    <w:p w:rsidR="008E3F15" w:rsidRDefault="005F449A">
      <w:pPr>
        <w:ind w:left="340" w:right="2197"/>
      </w:pPr>
      <w:r>
        <w:rPr>
          <w:rFonts w:ascii="Calibri" w:eastAsia="Calibri" w:hAnsi="Calibri" w:cs="Calibri"/>
          <w:noProof/>
          <w:color w:val="000000"/>
          <w:sz w:val="22"/>
        </w:rPr>
        <mc:AlternateContent>
          <mc:Choice Requires="wpg">
            <w:drawing>
              <wp:anchor distT="0" distB="0" distL="114300" distR="114300" simplePos="0" relativeHeight="251709440" behindDoc="0" locked="0" layoutInCell="1" allowOverlap="1">
                <wp:simplePos x="0" y="0"/>
                <wp:positionH relativeFrom="column">
                  <wp:posOffset>209550</wp:posOffset>
                </wp:positionH>
                <wp:positionV relativeFrom="paragraph">
                  <wp:posOffset>34826</wp:posOffset>
                </wp:positionV>
                <wp:extent cx="57150" cy="1733550"/>
                <wp:effectExtent l="0" t="0" r="0" b="0"/>
                <wp:wrapSquare wrapText="bothSides"/>
                <wp:docPr id="266986" name="Group 266986"/>
                <wp:cNvGraphicFramePr/>
                <a:graphic xmlns:a="http://schemas.openxmlformats.org/drawingml/2006/main">
                  <a:graphicData uri="http://schemas.microsoft.com/office/word/2010/wordprocessingGroup">
                    <wpg:wgp>
                      <wpg:cNvGrpSpPr/>
                      <wpg:grpSpPr>
                        <a:xfrm>
                          <a:off x="0" y="0"/>
                          <a:ext cx="57150" cy="1733550"/>
                          <a:chOff x="0" y="0"/>
                          <a:chExt cx="57150" cy="1733550"/>
                        </a:xfrm>
                      </wpg:grpSpPr>
                      <wps:wsp>
                        <wps:cNvPr id="5296" name="Shape 5296"/>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298" name="Shape 5298"/>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084"/>
                                  <a:pt x="57150" y="24755"/>
                                  <a:pt x="57150" y="28575"/>
                                </a:cubicBezTo>
                                <a:cubicBezTo>
                                  <a:pt x="57150" y="32345"/>
                                  <a:pt x="56425" y="35967"/>
                                  <a:pt x="54975" y="39439"/>
                                </a:cubicBezTo>
                                <a:cubicBezTo>
                                  <a:pt x="53525" y="43011"/>
                                  <a:pt x="51460" y="46087"/>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87"/>
                                  <a:pt x="3625" y="43011"/>
                                  <a:pt x="2175" y="39439"/>
                                </a:cubicBezTo>
                                <a:cubicBezTo>
                                  <a:pt x="725" y="35967"/>
                                  <a:pt x="0" y="32345"/>
                                  <a:pt x="0" y="28575"/>
                                </a:cubicBezTo>
                                <a:cubicBezTo>
                                  <a:pt x="0" y="24755"/>
                                  <a:pt x="725" y="2108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00" name="Shape 5300"/>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63"/>
                                  <a:pt x="53525" y="14139"/>
                                  <a:pt x="54975" y="17611"/>
                                </a:cubicBezTo>
                                <a:cubicBezTo>
                                  <a:pt x="56425" y="21134"/>
                                  <a:pt x="57150" y="24755"/>
                                  <a:pt x="57150" y="28575"/>
                                </a:cubicBezTo>
                                <a:cubicBezTo>
                                  <a:pt x="57150" y="32345"/>
                                  <a:pt x="56425" y="35967"/>
                                  <a:pt x="54975" y="39439"/>
                                </a:cubicBezTo>
                                <a:cubicBezTo>
                                  <a:pt x="53525" y="43011"/>
                                  <a:pt x="51460" y="46087"/>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87"/>
                                  <a:pt x="3625" y="43011"/>
                                  <a:pt x="2175" y="39439"/>
                                </a:cubicBezTo>
                                <a:cubicBezTo>
                                  <a:pt x="725" y="35967"/>
                                  <a:pt x="0" y="32345"/>
                                  <a:pt x="0" y="28575"/>
                                </a:cubicBezTo>
                                <a:cubicBezTo>
                                  <a:pt x="0" y="24755"/>
                                  <a:pt x="725" y="21134"/>
                                  <a:pt x="2175" y="17611"/>
                                </a:cubicBezTo>
                                <a:cubicBezTo>
                                  <a:pt x="3625" y="14139"/>
                                  <a:pt x="5690" y="11063"/>
                                  <a:pt x="8369" y="838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02" name="Shape 5302"/>
                        <wps:cNvSpPr/>
                        <wps:spPr>
                          <a:xfrm>
                            <a:off x="0" y="457200"/>
                            <a:ext cx="57150" cy="57150"/>
                          </a:xfrm>
                          <a:custGeom>
                            <a:avLst/>
                            <a:gdLst/>
                            <a:ahLst/>
                            <a:cxnLst/>
                            <a:rect l="0" t="0" r="0" b="0"/>
                            <a:pathLst>
                              <a:path w="57150" h="57150">
                                <a:moveTo>
                                  <a:pt x="28575" y="0"/>
                                </a:moveTo>
                                <a:cubicBezTo>
                                  <a:pt x="32364" y="0"/>
                                  <a:pt x="36009" y="744"/>
                                  <a:pt x="39510" y="2183"/>
                                </a:cubicBezTo>
                                <a:cubicBezTo>
                                  <a:pt x="43011" y="3621"/>
                                  <a:pt x="46101" y="5655"/>
                                  <a:pt x="48781" y="8384"/>
                                </a:cubicBezTo>
                                <a:cubicBezTo>
                                  <a:pt x="51460" y="11063"/>
                                  <a:pt x="53525" y="14139"/>
                                  <a:pt x="54975" y="17611"/>
                                </a:cubicBezTo>
                                <a:cubicBezTo>
                                  <a:pt x="56425" y="21134"/>
                                  <a:pt x="57150" y="24755"/>
                                  <a:pt x="57150" y="28575"/>
                                </a:cubicBezTo>
                                <a:cubicBezTo>
                                  <a:pt x="57150" y="32345"/>
                                  <a:pt x="56425" y="35967"/>
                                  <a:pt x="54975" y="39439"/>
                                </a:cubicBezTo>
                                <a:cubicBezTo>
                                  <a:pt x="53525" y="43011"/>
                                  <a:pt x="51460" y="46087"/>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87"/>
                                  <a:pt x="3625" y="43011"/>
                                  <a:pt x="2175" y="39439"/>
                                </a:cubicBezTo>
                                <a:cubicBezTo>
                                  <a:pt x="725" y="35967"/>
                                  <a:pt x="0" y="32345"/>
                                  <a:pt x="0" y="28575"/>
                                </a:cubicBezTo>
                                <a:cubicBezTo>
                                  <a:pt x="0" y="24755"/>
                                  <a:pt x="725" y="21134"/>
                                  <a:pt x="2175" y="17611"/>
                                </a:cubicBezTo>
                                <a:cubicBezTo>
                                  <a:pt x="3625" y="14139"/>
                                  <a:pt x="5690" y="11063"/>
                                  <a:pt x="8369" y="838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04" name="Shape 5304"/>
                        <wps:cNvSpPr/>
                        <wps:spPr>
                          <a:xfrm>
                            <a:off x="0" y="6096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611"/>
                                </a:cubicBezTo>
                                <a:cubicBezTo>
                                  <a:pt x="56425" y="21134"/>
                                  <a:pt x="57150" y="24755"/>
                                  <a:pt x="57150" y="28575"/>
                                </a:cubicBezTo>
                                <a:cubicBezTo>
                                  <a:pt x="57150" y="32345"/>
                                  <a:pt x="56425" y="35967"/>
                                  <a:pt x="54975" y="39439"/>
                                </a:cubicBezTo>
                                <a:cubicBezTo>
                                  <a:pt x="53525" y="42863"/>
                                  <a:pt x="51460" y="45988"/>
                                  <a:pt x="48781" y="48716"/>
                                </a:cubicBezTo>
                                <a:cubicBezTo>
                                  <a:pt x="46101" y="51346"/>
                                  <a:pt x="43011" y="53429"/>
                                  <a:pt x="39510" y="54918"/>
                                </a:cubicBezTo>
                                <a:cubicBezTo>
                                  <a:pt x="36009" y="56356"/>
                                  <a:pt x="32364" y="57150"/>
                                  <a:pt x="28575" y="57150"/>
                                </a:cubicBezTo>
                                <a:cubicBezTo>
                                  <a:pt x="24786" y="57150"/>
                                  <a:pt x="21141" y="56356"/>
                                  <a:pt x="17640" y="54918"/>
                                </a:cubicBezTo>
                                <a:cubicBezTo>
                                  <a:pt x="14139" y="53429"/>
                                  <a:pt x="11049" y="51346"/>
                                  <a:pt x="8369" y="48716"/>
                                </a:cubicBezTo>
                                <a:cubicBezTo>
                                  <a:pt x="5690" y="45988"/>
                                  <a:pt x="3625" y="42863"/>
                                  <a:pt x="2175" y="39439"/>
                                </a:cubicBezTo>
                                <a:cubicBezTo>
                                  <a:pt x="725" y="35967"/>
                                  <a:pt x="0" y="32345"/>
                                  <a:pt x="0" y="28575"/>
                                </a:cubicBezTo>
                                <a:cubicBezTo>
                                  <a:pt x="0" y="24755"/>
                                  <a:pt x="725" y="21134"/>
                                  <a:pt x="2175" y="17611"/>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06" name="Shape 5306"/>
                        <wps:cNvSpPr/>
                        <wps:spPr>
                          <a:xfrm>
                            <a:off x="0" y="7620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611"/>
                                </a:cubicBezTo>
                                <a:cubicBezTo>
                                  <a:pt x="56425" y="2113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134"/>
                                  <a:pt x="2175" y="17611"/>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08" name="Shape 5308"/>
                        <wps:cNvSpPr/>
                        <wps:spPr>
                          <a:xfrm>
                            <a:off x="0" y="9144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611"/>
                                </a:cubicBezTo>
                                <a:cubicBezTo>
                                  <a:pt x="56425" y="21134"/>
                                  <a:pt x="57150" y="24755"/>
                                  <a:pt x="57150" y="28575"/>
                                </a:cubicBezTo>
                                <a:cubicBezTo>
                                  <a:pt x="57150" y="32345"/>
                                  <a:pt x="56425" y="36016"/>
                                  <a:pt x="54975" y="39439"/>
                                </a:cubicBezTo>
                                <a:cubicBezTo>
                                  <a:pt x="53525" y="42962"/>
                                  <a:pt x="51460" y="46038"/>
                                  <a:pt x="48781" y="4876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766"/>
                                </a:cubicBezTo>
                                <a:cubicBezTo>
                                  <a:pt x="5690" y="46038"/>
                                  <a:pt x="3625" y="42962"/>
                                  <a:pt x="2175" y="39439"/>
                                </a:cubicBezTo>
                                <a:cubicBezTo>
                                  <a:pt x="725" y="36016"/>
                                  <a:pt x="0" y="32345"/>
                                  <a:pt x="0" y="28575"/>
                                </a:cubicBezTo>
                                <a:cubicBezTo>
                                  <a:pt x="0" y="24755"/>
                                  <a:pt x="725" y="21134"/>
                                  <a:pt x="2175" y="17611"/>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10" name="Shape 5310"/>
                        <wps:cNvSpPr/>
                        <wps:spPr>
                          <a:xfrm>
                            <a:off x="0" y="10668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12" name="Shape 5312"/>
                        <wps:cNvSpPr/>
                        <wps:spPr>
                          <a:xfrm>
                            <a:off x="0" y="12192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6016"/>
                                  <a:pt x="54975" y="39539"/>
                                </a:cubicBezTo>
                                <a:cubicBezTo>
                                  <a:pt x="53525" y="43011"/>
                                  <a:pt x="51460" y="46087"/>
                                  <a:pt x="48781" y="48816"/>
                                </a:cubicBezTo>
                                <a:cubicBezTo>
                                  <a:pt x="46101" y="51445"/>
                                  <a:pt x="43011" y="53529"/>
                                  <a:pt x="39510" y="54967"/>
                                </a:cubicBezTo>
                                <a:cubicBezTo>
                                  <a:pt x="36009" y="56406"/>
                                  <a:pt x="32364" y="57150"/>
                                  <a:pt x="28575" y="57150"/>
                                </a:cubicBezTo>
                                <a:cubicBezTo>
                                  <a:pt x="24786" y="57150"/>
                                  <a:pt x="21141" y="56455"/>
                                  <a:pt x="17640" y="55017"/>
                                </a:cubicBezTo>
                                <a:cubicBezTo>
                                  <a:pt x="14139" y="53529"/>
                                  <a:pt x="11049" y="51445"/>
                                  <a:pt x="8369" y="48816"/>
                                </a:cubicBezTo>
                                <a:cubicBezTo>
                                  <a:pt x="5690" y="46087"/>
                                  <a:pt x="3625" y="43011"/>
                                  <a:pt x="2175" y="39489"/>
                                </a:cubicBezTo>
                                <a:cubicBezTo>
                                  <a:pt x="725" y="36016"/>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14" name="Shape 5314"/>
                        <wps:cNvSpPr/>
                        <wps:spPr>
                          <a:xfrm>
                            <a:off x="0" y="13716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805"/>
                                  <a:pt x="57150" y="28575"/>
                                </a:cubicBezTo>
                                <a:cubicBezTo>
                                  <a:pt x="57150" y="32345"/>
                                  <a:pt x="56425" y="36016"/>
                                  <a:pt x="54975" y="3953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55"/>
                                  <a:pt x="17640" y="55017"/>
                                </a:cubicBezTo>
                                <a:cubicBezTo>
                                  <a:pt x="14139" y="53529"/>
                                  <a:pt x="11049" y="51445"/>
                                  <a:pt x="8369" y="48816"/>
                                </a:cubicBezTo>
                                <a:cubicBezTo>
                                  <a:pt x="5690" y="46087"/>
                                  <a:pt x="3625" y="43011"/>
                                  <a:pt x="2175" y="39489"/>
                                </a:cubicBezTo>
                                <a:cubicBezTo>
                                  <a:pt x="725" y="36016"/>
                                  <a:pt x="0" y="32345"/>
                                  <a:pt x="0" y="28575"/>
                                </a:cubicBezTo>
                                <a:cubicBezTo>
                                  <a:pt x="0" y="2480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16" name="Shape 5316"/>
                        <wps:cNvSpPr/>
                        <wps:spPr>
                          <a:xfrm>
                            <a:off x="0" y="15240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64"/>
                                  <a:pt x="53525" y="14039"/>
                                  <a:pt x="54975" y="17562"/>
                                </a:cubicBezTo>
                                <a:cubicBezTo>
                                  <a:pt x="56425" y="21134"/>
                                  <a:pt x="57150" y="24755"/>
                                  <a:pt x="57150" y="28575"/>
                                </a:cubicBezTo>
                                <a:cubicBezTo>
                                  <a:pt x="57150" y="32345"/>
                                  <a:pt x="56425" y="36016"/>
                                  <a:pt x="54975" y="3953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67"/>
                                </a:cubicBezTo>
                                <a:cubicBezTo>
                                  <a:pt x="14139" y="53529"/>
                                  <a:pt x="11049" y="51445"/>
                                  <a:pt x="8369" y="48816"/>
                                </a:cubicBezTo>
                                <a:cubicBezTo>
                                  <a:pt x="5690" y="46087"/>
                                  <a:pt x="3625" y="43011"/>
                                  <a:pt x="2175" y="39489"/>
                                </a:cubicBezTo>
                                <a:cubicBezTo>
                                  <a:pt x="725" y="36016"/>
                                  <a:pt x="0" y="32345"/>
                                  <a:pt x="0" y="28575"/>
                                </a:cubicBezTo>
                                <a:cubicBezTo>
                                  <a:pt x="0" y="24755"/>
                                  <a:pt x="725" y="21134"/>
                                  <a:pt x="2175" y="17562"/>
                                </a:cubicBezTo>
                                <a:cubicBezTo>
                                  <a:pt x="3625" y="14039"/>
                                  <a:pt x="5690" y="1096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18" name="Shape 5318"/>
                        <wps:cNvSpPr/>
                        <wps:spPr>
                          <a:xfrm>
                            <a:off x="0" y="1676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29"/>
                                  <a:pt x="39510" y="54918"/>
                                </a:cubicBezTo>
                                <a:cubicBezTo>
                                  <a:pt x="36009" y="56356"/>
                                  <a:pt x="32364" y="57150"/>
                                  <a:pt x="28575" y="57150"/>
                                </a:cubicBezTo>
                                <a:cubicBezTo>
                                  <a:pt x="24786" y="57150"/>
                                  <a:pt x="21141" y="56356"/>
                                  <a:pt x="17640" y="54918"/>
                                </a:cubicBezTo>
                                <a:cubicBezTo>
                                  <a:pt x="14139" y="53429"/>
                                  <a:pt x="11049" y="51395"/>
                                  <a:pt x="8369" y="48766"/>
                                </a:cubicBezTo>
                                <a:cubicBezTo>
                                  <a:pt x="5690" y="46038"/>
                                  <a:pt x="3625" y="42962"/>
                                  <a:pt x="2175" y="39439"/>
                                </a:cubicBezTo>
                                <a:cubicBezTo>
                                  <a:pt x="725" y="36016"/>
                                  <a:pt x="0" y="32345"/>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6986" style="width:4.5pt;height:136.5pt;position:absolute;mso-position-horizontal-relative:text;mso-position-horizontal:absolute;margin-left:16.5pt;mso-position-vertical-relative:text;margin-top:2.74219pt;" coordsize="571,17335">
                <v:shape id="Shape 5296" style="position:absolute;width:571;height:571;left:0;top:0;" coordsize="57150,57150" path="m28575,0c32364,0,36009,744,39510,2133c43011,3572,46101,5655,48781,8334c51460,11013,53525,14089,54975,17562c56425,21134,57150,24755,57150,28575c57150,32345,56425,35967,54975,39489c53525,42962,51460,46038,48781,48766c46101,51395,43011,53479,39510,54918c36009,56406,32364,57150,28575,57150c24786,57150,21141,56406,17640,54918c14139,53479,11049,51395,8369,48766c5690,46038,3625,42962,2175,39489c725,35967,0,32345,0,28575c0,24755,725,21134,2175,17562c3625,14089,5690,11013,8369,8334c11049,5655,14139,3572,17640,2133c21141,744,24786,0,28575,0x">
                  <v:stroke weight="0pt" endcap="flat" joinstyle="miter" miterlimit="10" on="false" color="#000000" opacity="0"/>
                  <v:fill on="true" color="#333333"/>
                </v:shape>
                <v:shape id="Shape 5298" style="position:absolute;width:571;height:571;left:0;top:1524;" coordsize="57150,57150" path="m28575,0c32364,0,36009,744,39510,2133c43011,3572,46101,5655,48781,8334c51460,11013,53525,14089,54975,17562c56425,21084,57150,24755,57150,28575c57150,32345,56425,35967,54975,39439c53525,43011,51460,46087,48781,48766c46101,51395,43011,53479,39510,54918c36009,56406,32364,57150,28575,57150c24786,57150,21141,56406,17640,54918c14139,53479,11049,51395,8369,48766c5690,46087,3625,43011,2175,39439c725,35967,0,32345,0,28575c0,24755,725,21084,2175,17562c3625,14089,5690,11013,8369,8334c11049,5655,14139,3572,17640,2133c21141,744,24786,0,28575,0x">
                  <v:stroke weight="0pt" endcap="flat" joinstyle="miter" miterlimit="10" on="false" color="#000000" opacity="0"/>
                  <v:fill on="true" color="#333333"/>
                </v:shape>
                <v:shape id="Shape 5300" style="position:absolute;width:571;height:571;left:0;top:3048;" coordsize="57150,57150" path="m28575,0c32364,0,36009,744,39510,2133c43011,3572,46101,5655,48781,8384c51460,11063,53525,14139,54975,17611c56425,21134,57150,24755,57150,28575c57150,32345,56425,35967,54975,39439c53525,43011,51460,46087,48781,48766c46101,51395,43011,53479,39510,54918c36009,56406,32364,57150,28575,57150c24786,57150,21141,56406,17640,54918c14139,53479,11049,51395,8369,48766c5690,46087,3625,43011,2175,39439c725,35967,0,32345,0,28575c0,24755,725,21134,2175,17611c3625,14139,5690,11063,8369,8384c11049,5655,14139,3572,17640,2133c21141,744,24786,0,28575,0x">
                  <v:stroke weight="0pt" endcap="flat" joinstyle="miter" miterlimit="10" on="false" color="#000000" opacity="0"/>
                  <v:fill on="true" color="#333333"/>
                </v:shape>
                <v:shape id="Shape 5302" style="position:absolute;width:571;height:571;left:0;top:4572;" coordsize="57150,57150" path="m28575,0c32364,0,36009,744,39510,2183c43011,3621,46101,5655,48781,8384c51460,11063,53525,14139,54975,17611c56425,21134,57150,24755,57150,28575c57150,32345,56425,35967,54975,39439c53525,43011,51460,46087,48781,48766c46101,51395,43011,53479,39510,54918c36009,56406,32364,57150,28575,57150c24786,57150,21141,56406,17640,54918c14139,53479,11049,51395,8369,48766c5690,46087,3625,43011,2175,39439c725,35967,0,32345,0,28575c0,24755,725,21134,2175,17611c3625,14139,5690,11063,8369,8384c11049,5655,14139,3621,17640,2183c21141,744,24786,0,28575,0x">
                  <v:stroke weight="0pt" endcap="flat" joinstyle="miter" miterlimit="10" on="false" color="#000000" opacity="0"/>
                  <v:fill on="true" color="#333333"/>
                </v:shape>
                <v:shape id="Shape 5304" style="position:absolute;width:571;height:571;left:0;top:6096;" coordsize="57150,57150" path="m28575,0c32364,0,36009,744,39510,2183c43011,3621,46101,5655,48781,8334c51460,11013,53525,14089,54975,17611c56425,21134,57150,24755,57150,28575c57150,32345,56425,35967,54975,39439c53525,42863,51460,45988,48781,48716c46101,51346,43011,53429,39510,54918c36009,56356,32364,57150,28575,57150c24786,57150,21141,56356,17640,54918c14139,53429,11049,51346,8369,48716c5690,45988,3625,42863,2175,39439c725,35967,0,32345,0,28575c0,24755,725,21134,2175,17611c3625,14089,5690,11013,8369,8334c11049,5655,14139,3621,17640,2183c21141,744,24786,0,28575,0x">
                  <v:stroke weight="0pt" endcap="flat" joinstyle="miter" miterlimit="10" on="false" color="#000000" opacity="0"/>
                  <v:fill on="true" color="#333333"/>
                </v:shape>
                <v:shape id="Shape 5306" style="position:absolute;width:571;height:571;left:0;top:7620;" coordsize="57150,57150" path="m28575,0c32364,0,36009,744,39510,2183c43011,3621,46101,5655,48781,8334c51460,11013,53525,14089,54975,17611c56425,21134,57150,24755,57150,28575c57150,32345,56425,35967,54975,39439c53525,42962,51460,46038,48781,48766c46101,51445,43011,53479,39510,54918c36009,56406,32364,57150,28575,57150c24786,57150,21141,56406,17640,54918c14139,53479,11049,51445,8369,48766c5690,46038,3625,42962,2175,39439c725,35967,0,32345,0,28575c0,24755,725,21134,2175,17611c3625,14089,5690,11013,8369,8334c11049,5655,14139,3621,17640,2183c21141,744,24786,0,28575,0x">
                  <v:stroke weight="0pt" endcap="flat" joinstyle="miter" miterlimit="10" on="false" color="#000000" opacity="0"/>
                  <v:fill on="true" color="#333333"/>
                </v:shape>
                <v:shape id="Shape 5308" style="position:absolute;width:571;height:571;left:0;top:9144;" coordsize="57150,57150" path="m28575,0c32364,0,36009,744,39510,2183c43011,3621,46101,5655,48781,8334c51460,11013,53525,14089,54975,17611c56425,21134,57150,24755,57150,28575c57150,32345,56425,36016,54975,39439c53525,42962,51460,46038,48781,48766c46101,51445,43011,53479,39510,54918c36009,56406,32364,57150,28575,57150c24786,57150,21141,56406,17640,54918c14139,53479,11049,51445,8369,48766c5690,46038,3625,42962,2175,39439c725,36016,0,32345,0,28575c0,24755,725,21134,2175,17611c3625,14089,5690,11013,8369,8334c11049,5655,14139,3621,17640,2183c21141,744,24786,0,28575,0x">
                  <v:stroke weight="0pt" endcap="flat" joinstyle="miter" miterlimit="10" on="false" color="#000000" opacity="0"/>
                  <v:fill on="true" color="#333333"/>
                </v:shape>
                <v:shape id="Shape 5310" style="position:absolute;width:571;height:571;left:0;top:10668;" coordsize="57150,57150" path="m28575,0c32364,0,36009,744,39510,2183c43011,3621,46101,5655,48781,8334c51460,11013,53525,14089,54975,17562c56425,21134,57150,24755,57150,28575c57150,32345,56425,35967,54975,39439c53525,42962,51460,46038,48781,48766c46101,51395,43011,53479,39510,54918c36009,56406,32364,57150,28575,57150c24786,57150,21141,56406,17640,54918c14139,53479,11049,51395,8369,48766c5690,46038,3625,42962,2175,39439c725,35967,0,32345,0,28575c0,24755,725,21134,2175,17562c3625,14089,5690,11013,8369,8334c11049,5655,14139,3621,17640,2183c21141,744,24786,0,28575,0x">
                  <v:stroke weight="0pt" endcap="flat" joinstyle="miter" miterlimit="10" on="false" color="#000000" opacity="0"/>
                  <v:fill on="true" color="#333333"/>
                </v:shape>
                <v:shape id="Shape 5312" style="position:absolute;width:571;height:571;left:0;top:12192;" coordsize="57150,57150" path="m28575,0c32364,0,36009,744,39510,2183c43011,3621,46101,5655,48781,8334c51460,11013,53525,14089,54975,17562c56425,21134,57150,24755,57150,28575c57150,32345,56425,36016,54975,39539c53525,43011,51460,46087,48781,48816c46101,51445,43011,53529,39510,54967c36009,56406,32364,57150,28575,57150c24786,57150,21141,56455,17640,55017c14139,53529,11049,51445,8369,48816c5690,46087,3625,43011,2175,39489c725,36016,0,32345,0,28575c0,24755,725,21134,2175,17562c3625,14089,5690,11013,8369,8334c11049,5655,14139,3621,17640,2183c21141,744,24786,0,28575,0x">
                  <v:stroke weight="0pt" endcap="flat" joinstyle="miter" miterlimit="10" on="false" color="#000000" opacity="0"/>
                  <v:fill on="true" color="#333333"/>
                </v:shape>
                <v:shape id="Shape 5314" style="position:absolute;width:571;height:571;left:0;top:13716;" coordsize="57150,57150" path="m28575,0c32364,0,36009,744,39510,2133c43011,3572,46101,5655,48781,8334c51460,11013,53525,14139,54975,17611c56425,21134,57150,24805,57150,28575c57150,32345,56425,36016,54975,39539c53525,43011,51460,46087,48781,48816c46101,51445,43011,53479,39510,54918c36009,56406,32364,57150,28575,57150c24786,57150,21141,56455,17640,55017c14139,53529,11049,51445,8369,48816c5690,46087,3625,43011,2175,39489c725,36016,0,32345,0,28575c0,24805,725,21134,2175,17611c3625,14139,5690,11013,8369,8334c11049,5655,14139,3572,17640,2133c21141,744,24786,0,28575,0x">
                  <v:stroke weight="0pt" endcap="flat" joinstyle="miter" miterlimit="10" on="false" color="#000000" opacity="0"/>
                  <v:fill on="true" color="#333333"/>
                </v:shape>
                <v:shape id="Shape 5316" style="position:absolute;width:571;height:571;left:0;top:15240;" coordsize="57150,57150" path="m28575,0c32364,0,36009,744,39510,2133c43011,3572,46101,5655,48781,8334c51460,10964,53525,14039,54975,17562c56425,21134,57150,24755,57150,28575c57150,32345,56425,36016,54975,39539c53525,43011,51460,46087,48781,48816c46101,51445,43011,53479,39510,54918c36009,56406,32364,57150,28575,57150c24786,57150,21141,56406,17640,54967c14139,53529,11049,51445,8369,48816c5690,46087,3625,43011,2175,39489c725,36016,0,32345,0,28575c0,24755,725,21134,2175,17562c3625,14039,5690,10964,8369,8334c11049,5655,14139,3572,17640,2133c21141,744,24786,0,28575,0x">
                  <v:stroke weight="0pt" endcap="flat" joinstyle="miter" miterlimit="10" on="false" color="#000000" opacity="0"/>
                  <v:fill on="true" color="#333333"/>
                </v:shape>
                <v:shape id="Shape 5318" style="position:absolute;width:571;height:571;left:0;top:16764;" coordsize="57150,57150" path="m28575,0c32364,0,36009,744,39510,2133c43011,3572,46101,5655,48781,8334c51460,11013,53525,14139,54975,17611c56425,21134,57150,24755,57150,28575c57150,32345,56425,36016,54975,39489c53525,42962,51460,46038,48781,48766c46101,51395,43011,53429,39510,54918c36009,56356,32364,57150,28575,57150c24786,57150,21141,56356,17640,54918c14139,53429,11049,51395,8369,48766c5690,46038,3625,42962,2175,39439c725,36016,0,32345,0,28575c0,24755,725,21134,2175,17611c3625,14139,5690,11013,8369,8334c11049,5655,14139,3572,17640,2133c21141,744,24786,0,28575,0x">
                  <v:stroke weight="0pt" endcap="flat" joinstyle="miter" miterlimit="10" on="false" color="#000000" opacity="0"/>
                  <v:fill on="true" color="#333333"/>
                </v:shape>
                <w10:wrap type="square"/>
              </v:group>
            </w:pict>
          </mc:Fallback>
        </mc:AlternateContent>
      </w:r>
      <w:r>
        <w:t>эстрогены + прогестероны (контрацептивы, заместительная терапия); недавние роды; НПВП;</w:t>
      </w:r>
    </w:p>
    <w:p w:rsidR="008E3F15" w:rsidRDefault="005F449A">
      <w:pPr>
        <w:ind w:left="340" w:right="3746"/>
      </w:pPr>
      <w:r>
        <w:t>артроскопические вмешател</w:t>
      </w:r>
      <w:r>
        <w:t>ьства на коленном суставе; аутоиммунные болезни; воспалительные болезни кишечника;</w:t>
      </w:r>
    </w:p>
    <w:p w:rsidR="008E3F15" w:rsidRDefault="005F449A">
      <w:pPr>
        <w:ind w:left="340" w:right="2549"/>
      </w:pPr>
      <w:r>
        <w:t>злокачественные опухоли, особенно с метастазами; химиотерапия;</w:t>
      </w:r>
    </w:p>
    <w:p w:rsidR="008E3F15" w:rsidRDefault="005F449A">
      <w:pPr>
        <w:spacing w:after="31"/>
        <w:ind w:left="340" w:right="15"/>
      </w:pPr>
      <w:r>
        <w:t>эритропоэз-стимулирующие препараты;</w:t>
      </w:r>
    </w:p>
    <w:p w:rsidR="008E3F15" w:rsidRDefault="005F449A">
      <w:pPr>
        <w:ind w:left="340" w:right="6181"/>
      </w:pPr>
      <w:r>
        <w:t>трансфузия крови; нефротический синдром; дегидратация.</w:t>
      </w:r>
    </w:p>
    <w:p w:rsidR="008E3F15" w:rsidRDefault="005F449A">
      <w:pPr>
        <w:spacing w:after="133" w:line="259" w:lineRule="auto"/>
        <w:ind w:right="0"/>
      </w:pPr>
      <w:r>
        <w:rPr>
          <w:i/>
        </w:rPr>
        <w:t>Слабые (риск &lt;2 раз</w:t>
      </w:r>
      <w:r>
        <w:rPr>
          <w:i/>
        </w:rPr>
        <w:t>):</w:t>
      </w:r>
    </w:p>
    <w:p w:rsidR="008E3F15" w:rsidRDefault="005F449A">
      <w:pPr>
        <w:ind w:left="340" w:right="6830"/>
      </w:pPr>
      <w:r>
        <w:rPr>
          <w:rFonts w:ascii="Calibri" w:eastAsia="Calibri" w:hAnsi="Calibri" w:cs="Calibri"/>
          <w:noProof/>
          <w:color w:val="000000"/>
          <w:sz w:val="22"/>
        </w:rPr>
        <mc:AlternateContent>
          <mc:Choice Requires="wpg">
            <w:drawing>
              <wp:anchor distT="0" distB="0" distL="114300" distR="114300" simplePos="0" relativeHeight="251710464"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266987" name="Group 266987"/>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5321" name="Shape 5321"/>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61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12"/>
                                  <a:pt x="2175" y="39439"/>
                                </a:cubicBezTo>
                                <a:cubicBezTo>
                                  <a:pt x="725" y="36016"/>
                                  <a:pt x="0" y="32345"/>
                                  <a:pt x="0" y="28575"/>
                                </a:cubicBezTo>
                                <a:cubicBezTo>
                                  <a:pt x="0" y="24755"/>
                                  <a:pt x="725" y="21134"/>
                                  <a:pt x="2175" y="17611"/>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23" name="Shape 5323"/>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13"/>
                                  <a:pt x="53525" y="14139"/>
                                  <a:pt x="54975" y="1766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12"/>
                                  <a:pt x="2175" y="39439"/>
                                </a:cubicBezTo>
                                <a:cubicBezTo>
                                  <a:pt x="725" y="36016"/>
                                  <a:pt x="0" y="32345"/>
                                  <a:pt x="0" y="28575"/>
                                </a:cubicBezTo>
                                <a:cubicBezTo>
                                  <a:pt x="0" y="24755"/>
                                  <a:pt x="725" y="21134"/>
                                  <a:pt x="2175" y="17611"/>
                                </a:cubicBezTo>
                                <a:cubicBezTo>
                                  <a:pt x="3625" y="14139"/>
                                  <a:pt x="5690" y="11013"/>
                                  <a:pt x="8369" y="838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25" name="Shape 5325"/>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84"/>
                                </a:cubicBezTo>
                                <a:cubicBezTo>
                                  <a:pt x="51460" y="11013"/>
                                  <a:pt x="53525" y="14139"/>
                                  <a:pt x="54975" y="17661"/>
                                </a:cubicBezTo>
                                <a:cubicBezTo>
                                  <a:pt x="56425" y="21134"/>
                                  <a:pt x="57150" y="24755"/>
                                  <a:pt x="57150" y="28575"/>
                                </a:cubicBezTo>
                                <a:cubicBezTo>
                                  <a:pt x="57150" y="32345"/>
                                  <a:pt x="56425" y="36016"/>
                                  <a:pt x="54975" y="39489"/>
                                </a:cubicBezTo>
                                <a:cubicBezTo>
                                  <a:pt x="53525" y="42962"/>
                                  <a:pt x="51460" y="46038"/>
                                  <a:pt x="48781" y="48766"/>
                                </a:cubicBezTo>
                                <a:cubicBezTo>
                                  <a:pt x="46101" y="51395"/>
                                  <a:pt x="43011" y="53429"/>
                                  <a:pt x="39510" y="54918"/>
                                </a:cubicBezTo>
                                <a:cubicBezTo>
                                  <a:pt x="36009" y="56406"/>
                                  <a:pt x="32364" y="57150"/>
                                  <a:pt x="28575" y="57150"/>
                                </a:cubicBezTo>
                                <a:cubicBezTo>
                                  <a:pt x="24786" y="57150"/>
                                  <a:pt x="21141" y="56406"/>
                                  <a:pt x="17640" y="54967"/>
                                </a:cubicBezTo>
                                <a:cubicBezTo>
                                  <a:pt x="14139" y="53429"/>
                                  <a:pt x="11049" y="51395"/>
                                  <a:pt x="8369" y="48766"/>
                                </a:cubicBezTo>
                                <a:cubicBezTo>
                                  <a:pt x="5690" y="46038"/>
                                  <a:pt x="3625" y="42962"/>
                                  <a:pt x="2175" y="39489"/>
                                </a:cubicBezTo>
                                <a:cubicBezTo>
                                  <a:pt x="725" y="36016"/>
                                  <a:pt x="0" y="32345"/>
                                  <a:pt x="0" y="28575"/>
                                </a:cubicBezTo>
                                <a:cubicBezTo>
                                  <a:pt x="0" y="24755"/>
                                  <a:pt x="725" y="21134"/>
                                  <a:pt x="2175" y="17611"/>
                                </a:cubicBezTo>
                                <a:cubicBezTo>
                                  <a:pt x="3625" y="14139"/>
                                  <a:pt x="5690" y="11013"/>
                                  <a:pt x="8369" y="838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27" name="Shape 5327"/>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39"/>
                                </a:cubicBezTo>
                                <a:cubicBezTo>
                                  <a:pt x="53525" y="42912"/>
                                  <a:pt x="51460" y="45988"/>
                                  <a:pt x="48781" y="48716"/>
                                </a:cubicBezTo>
                                <a:cubicBezTo>
                                  <a:pt x="46101" y="51346"/>
                                  <a:pt x="43011" y="53429"/>
                                  <a:pt x="39510" y="54918"/>
                                </a:cubicBezTo>
                                <a:cubicBezTo>
                                  <a:pt x="36009" y="56406"/>
                                  <a:pt x="32364" y="57150"/>
                                  <a:pt x="28575" y="57150"/>
                                </a:cubicBezTo>
                                <a:cubicBezTo>
                                  <a:pt x="24786" y="57150"/>
                                  <a:pt x="21141" y="56406"/>
                                  <a:pt x="17640" y="54918"/>
                                </a:cubicBezTo>
                                <a:cubicBezTo>
                                  <a:pt x="14139" y="53429"/>
                                  <a:pt x="11049" y="51346"/>
                                  <a:pt x="8369" y="48716"/>
                                </a:cubicBezTo>
                                <a:cubicBezTo>
                                  <a:pt x="5690" y="45988"/>
                                  <a:pt x="3625" y="42912"/>
                                  <a:pt x="2175" y="3943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29" name="Shape 5329"/>
                        <wps:cNvSpPr/>
                        <wps:spPr>
                          <a:xfrm>
                            <a:off x="0" y="609600"/>
                            <a:ext cx="57150" cy="57150"/>
                          </a:xfrm>
                          <a:custGeom>
                            <a:avLst/>
                            <a:gdLst/>
                            <a:ahLst/>
                            <a:cxnLst/>
                            <a:rect l="0" t="0" r="0" b="0"/>
                            <a:pathLst>
                              <a:path w="57150" h="57150">
                                <a:moveTo>
                                  <a:pt x="28575" y="0"/>
                                </a:moveTo>
                                <a:cubicBezTo>
                                  <a:pt x="32364" y="0"/>
                                  <a:pt x="36009" y="744"/>
                                  <a:pt x="39510" y="2183"/>
                                </a:cubicBezTo>
                                <a:cubicBezTo>
                                  <a:pt x="43011" y="3621"/>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50"/>
                                  <a:pt x="28575" y="57150"/>
                                </a:cubicBezTo>
                                <a:cubicBezTo>
                                  <a:pt x="24786" y="5715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621"/>
                                  <a:pt x="17640" y="218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31" name="Shape 5331"/>
                        <wps:cNvSpPr/>
                        <wps:spPr>
                          <a:xfrm>
                            <a:off x="0" y="7620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13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13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33" name="Shape 5333"/>
                        <wps:cNvSpPr/>
                        <wps:spPr>
                          <a:xfrm>
                            <a:off x="0" y="914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084"/>
                                  <a:pt x="57150" y="24755"/>
                                  <a:pt x="57150" y="28575"/>
                                </a:cubicBezTo>
                                <a:cubicBezTo>
                                  <a:pt x="57150" y="32345"/>
                                  <a:pt x="56425" y="35967"/>
                                  <a:pt x="54975" y="39439"/>
                                </a:cubicBezTo>
                                <a:cubicBezTo>
                                  <a:pt x="53525" y="43011"/>
                                  <a:pt x="51460" y="46087"/>
                                  <a:pt x="48781" y="4876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66"/>
                                </a:cubicBezTo>
                                <a:cubicBezTo>
                                  <a:pt x="5690" y="46087"/>
                                  <a:pt x="3625" y="43011"/>
                                  <a:pt x="2175" y="39439"/>
                                </a:cubicBezTo>
                                <a:cubicBezTo>
                                  <a:pt x="725" y="35967"/>
                                  <a:pt x="0" y="32345"/>
                                  <a:pt x="0" y="28575"/>
                                </a:cubicBezTo>
                                <a:cubicBezTo>
                                  <a:pt x="0" y="24755"/>
                                  <a:pt x="725" y="2108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335" name="Shape 5335"/>
                        <wps:cNvSpPr/>
                        <wps:spPr>
                          <a:xfrm>
                            <a:off x="0" y="1066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89"/>
                                  <a:pt x="54975" y="17562"/>
                                </a:cubicBezTo>
                                <a:cubicBezTo>
                                  <a:pt x="56425" y="21084"/>
                                  <a:pt x="57150" y="24755"/>
                                  <a:pt x="57150" y="28575"/>
                                </a:cubicBezTo>
                                <a:cubicBezTo>
                                  <a:pt x="57150" y="32345"/>
                                  <a:pt x="56425" y="36016"/>
                                  <a:pt x="54975" y="39489"/>
                                </a:cubicBezTo>
                                <a:cubicBezTo>
                                  <a:pt x="53525" y="43011"/>
                                  <a:pt x="51460" y="46087"/>
                                  <a:pt x="48781" y="48816"/>
                                </a:cubicBezTo>
                                <a:cubicBezTo>
                                  <a:pt x="46101" y="51445"/>
                                  <a:pt x="43011" y="53479"/>
                                  <a:pt x="39510" y="54918"/>
                                </a:cubicBezTo>
                                <a:cubicBezTo>
                                  <a:pt x="36009" y="56406"/>
                                  <a:pt x="32364" y="57150"/>
                                  <a:pt x="28575" y="57150"/>
                                </a:cubicBezTo>
                                <a:cubicBezTo>
                                  <a:pt x="24786" y="57150"/>
                                  <a:pt x="21141" y="56406"/>
                                  <a:pt x="17640" y="54918"/>
                                </a:cubicBezTo>
                                <a:cubicBezTo>
                                  <a:pt x="14139" y="53479"/>
                                  <a:pt x="11049" y="51445"/>
                                  <a:pt x="8369" y="48816"/>
                                </a:cubicBezTo>
                                <a:cubicBezTo>
                                  <a:pt x="5690" y="46087"/>
                                  <a:pt x="3625" y="43011"/>
                                  <a:pt x="2175" y="39489"/>
                                </a:cubicBezTo>
                                <a:cubicBezTo>
                                  <a:pt x="725" y="36016"/>
                                  <a:pt x="0" y="32345"/>
                                  <a:pt x="0" y="28575"/>
                                </a:cubicBezTo>
                                <a:cubicBezTo>
                                  <a:pt x="0" y="24755"/>
                                  <a:pt x="725" y="21084"/>
                                  <a:pt x="2175" y="17562"/>
                                </a:cubicBezTo>
                                <a:cubicBezTo>
                                  <a:pt x="3625" y="1408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6987" style="width:4.5pt;height:88.5pt;position:absolute;mso-position-horizontal-relative:text;mso-position-horizontal:absolute;margin-left:16.5pt;mso-position-vertical-relative:text;margin-top:2.74219pt;" coordsize="571,11239">
                <v:shape id="Shape 5321" style="position:absolute;width:571;height:571;left:0;top:0;" coordsize="57150,57150" path="m28575,0c32364,0,36009,744,39510,2133c43011,3572,46101,5655,48781,8334c51460,11013,53525,14089,54975,17611c56425,21134,57150,24755,57150,28575c57150,32345,56425,36016,54975,39489c53525,42962,51460,46038,48781,48766c46101,51395,43011,53479,39510,54918c36009,56406,32364,57150,28575,57150c24786,57150,21141,56406,17640,54967c14139,53479,11049,51395,8369,48766c5690,46038,3625,42912,2175,39439c725,36016,0,32345,0,28575c0,24755,725,21134,2175,17611c3625,14089,5690,11013,8369,8334c11049,5655,14139,3572,17640,2133c21141,744,24786,0,28575,0x">
                  <v:stroke weight="0pt" endcap="flat" joinstyle="miter" miterlimit="10" on="false" color="#000000" opacity="0"/>
                  <v:fill on="true" color="#333333"/>
                </v:shape>
                <v:shape id="Shape 5323" style="position:absolute;width:571;height:571;left:0;top:1524;" coordsize="57150,57150" path="m28575,0c32364,0,36009,744,39510,2133c43011,3572,46101,5655,48781,8384c51460,11013,53525,14139,54975,17661c56425,21134,57150,24755,57150,28575c57150,32345,56425,36016,54975,39489c53525,42962,51460,46038,48781,48766c46101,51395,43011,53479,39510,54918c36009,56406,32364,57150,28575,57150c24786,57150,21141,56406,17640,54967c14139,53479,11049,51395,8369,48766c5690,46038,3625,42912,2175,39439c725,36016,0,32345,0,28575c0,24755,725,21134,2175,17611c3625,14139,5690,11013,8369,8384c11049,5655,14139,3621,17640,2183c21141,744,24786,0,28575,0x">
                  <v:stroke weight="0pt" endcap="flat" joinstyle="miter" miterlimit="10" on="false" color="#000000" opacity="0"/>
                  <v:fill on="true" color="#333333"/>
                </v:shape>
                <v:shape id="Shape 5325" style="position:absolute;width:571;height:571;left:0;top:3048;" coordsize="57150,57150" path="m28575,0c32364,0,36009,744,39510,2133c43011,3572,46101,5655,48781,8384c51460,11013,53525,14139,54975,17661c56425,21134,57150,24755,57150,28575c57150,32345,56425,36016,54975,39489c53525,42962,51460,46038,48781,48766c46101,51395,43011,53429,39510,54918c36009,56406,32364,57150,28575,57150c24786,57150,21141,56406,17640,54967c14139,53429,11049,51395,8369,48766c5690,46038,3625,42962,2175,39489c725,36016,0,32345,0,28575c0,24755,725,21134,2175,17611c3625,14139,5690,11013,8369,8384c11049,5655,14139,3621,17640,2183c21141,744,24786,0,28575,0x">
                  <v:stroke weight="0pt" endcap="flat" joinstyle="miter" miterlimit="10" on="false" color="#000000" opacity="0"/>
                  <v:fill on="true" color="#333333"/>
                </v:shape>
                <v:shape id="Shape 5327" style="position:absolute;width:571;height:571;left:0;top:4572;" coordsize="57150,57150" path="m28575,0c32364,0,36009,744,39510,2133c43011,3572,46101,5655,48781,8334c51460,11013,53525,14089,54975,17562c56425,21134,57150,24755,57150,28575c57150,32345,56425,35967,54975,39439c53525,42912,51460,45988,48781,48716c46101,51346,43011,53429,39510,54918c36009,56406,32364,57150,28575,57150c24786,57150,21141,56406,17640,54918c14139,53429,11049,51346,8369,48716c5690,45988,3625,42912,2175,39439c725,35967,0,32345,0,28575c0,24755,725,21134,2175,17562c3625,14089,5690,11013,8369,8334c11049,5655,14139,3572,17640,2133c21141,744,24786,0,28575,0x">
                  <v:stroke weight="0pt" endcap="flat" joinstyle="miter" miterlimit="10" on="false" color="#000000" opacity="0"/>
                  <v:fill on="true" color="#333333"/>
                </v:shape>
                <v:shape id="Shape 5329" style="position:absolute;width:571;height:571;left:0;top:6096;" coordsize="57150,57150" path="m28575,0c32364,0,36009,744,39510,2183c43011,3621,46101,5655,48781,8334c51460,11013,53525,14089,54975,17562c56425,21134,57150,24755,57150,28575c57150,32345,56425,35967,54975,39489c53525,42962,51460,46038,48781,48766c46101,51395,43011,53479,39510,54967c36009,56406,32364,57150,28575,57150c24786,57150,21141,56406,17640,54967c14139,53479,11049,51395,8369,48766c5690,46038,3625,42962,2175,39489c725,35967,0,32345,0,28575c0,24755,725,21134,2175,17562c3625,14089,5690,11013,8369,8334c11049,5655,14139,3621,17640,2183c21141,744,24786,0,28575,0x">
                  <v:stroke weight="0pt" endcap="flat" joinstyle="miter" miterlimit="10" on="false" color="#000000" opacity="0"/>
                  <v:fill on="true" color="#333333"/>
                </v:shape>
                <v:shape id="Shape 5331" style="position:absolute;width:571;height:571;left:0;top:7620;" coordsize="57150,57150" path="m28575,0c32364,0,36009,744,39510,2133c43011,3572,46101,5655,48781,8334c51460,11013,53525,14089,54975,17562c56425,21134,57150,24755,57150,28575c57150,32345,56425,35967,54975,39489c53525,42962,51460,46038,48781,48766c46101,51395,43011,53479,39510,54918c36009,56406,32364,57150,28575,57150c24786,57150,21141,56406,17640,54918c14139,53479,11049,51395,8369,48766c5690,46038,3625,42962,2175,39489c725,35967,0,32345,0,28575c0,24755,725,21134,2175,17562c3625,14089,5690,11013,8369,8334c11049,5655,14139,3572,17640,2133c21141,744,24786,0,28575,0x">
                  <v:stroke weight="0pt" endcap="flat" joinstyle="miter" miterlimit="10" on="false" color="#000000" opacity="0"/>
                  <v:fill on="true" color="#333333"/>
                </v:shape>
                <v:shape id="Shape 5333" style="position:absolute;width:571;height:571;left:0;top:9144;" coordsize="57150,57150" path="m28575,0c32364,0,36009,744,39510,2133c43011,3572,46101,5655,48781,8334c51460,11013,53525,14089,54975,17562c56425,21084,57150,24755,57150,28575c57150,32345,56425,35967,54975,39439c53525,43011,51460,46087,48781,48766c46101,51395,43011,53479,39510,54918c36009,56406,32364,57150,28575,57150c24786,57150,21141,56406,17640,54918c14139,53479,11049,51395,8369,48766c5690,46087,3625,43011,2175,39439c725,35967,0,32345,0,28575c0,24755,725,21084,2175,17562c3625,14089,5690,11013,8369,8334c11049,5655,14139,3572,17640,2133c21141,744,24786,0,28575,0x">
                  <v:stroke weight="0pt" endcap="flat" joinstyle="miter" miterlimit="10" on="false" color="#000000" opacity="0"/>
                  <v:fill on="true" color="#333333"/>
                </v:shape>
                <v:shape id="Shape 5335" style="position:absolute;width:571;height:571;left:0;top:10668;" coordsize="57150,57150" path="m28575,0c32364,0,36009,744,39510,2133c43011,3572,46101,5655,48781,8334c51460,11013,53525,14089,54975,17562c56425,21084,57150,24755,57150,28575c57150,32345,56425,36016,54975,39489c53525,43011,51460,46087,48781,48816c46101,51445,43011,53479,39510,54918c36009,56406,32364,57150,28575,57150c24786,57150,21141,56406,17640,54918c14139,53479,11049,51445,8369,48816c5690,46087,3625,43011,2175,39489c725,36016,0,32345,0,28575c0,24755,725,21084,2175,17562c3625,14089,5690,11013,8369,8334c11049,5655,14139,3572,17640,2133c21141,744,24786,0,28575,0x">
                  <v:stroke weight="0pt" endcap="flat" joinstyle="miter" miterlimit="10" on="false" color="#000000" opacity="0"/>
                  <v:fill on="true" color="#333333"/>
                </v:shape>
                <w10:wrap type="square"/>
              </v:group>
            </w:pict>
          </mc:Fallback>
        </mc:AlternateContent>
      </w:r>
      <w:r>
        <w:t>возраст &gt;40 лет; постельный режим &gt;3 сут;</w:t>
      </w:r>
    </w:p>
    <w:p w:rsidR="008E3F15" w:rsidRDefault="005F449A">
      <w:pPr>
        <w:ind w:left="340" w:right="3498"/>
      </w:pPr>
      <w:r>
        <w:t>продолжительная иммобилизация (самолет, автомобиль); беременность; варикозные вены;</w:t>
      </w:r>
    </w:p>
    <w:p w:rsidR="008E3F15" w:rsidRDefault="005F449A">
      <w:pPr>
        <w:spacing w:after="179"/>
        <w:ind w:left="340" w:right="6652"/>
      </w:pPr>
      <w:r>
        <w:t>лапароскопическая хирургия; СД; ожирение.</w:t>
      </w:r>
    </w:p>
    <w:p w:rsidR="008E3F15" w:rsidRDefault="005F449A">
      <w:pPr>
        <w:ind w:left="2" w:right="15"/>
      </w:pPr>
      <w:r>
        <w:t>В отделениях неотложной помощи ЛЭ среди пациентов с COVID-19 выявляется нечасто (0,5%), однако в 9 раз выше, чем среди пациентов без COVID-19 (Miró Ò. et al., 2021). Несмотря на профилактический прием антикоагулянтов, тромбоз глубоких вен и ЛЭ выявляются у</w:t>
      </w:r>
      <w:r>
        <w:t xml:space="preserve"> 9 и 17% пациентов с COVID-19 в палатах интенсивной терапии, а в общих палатах — у 7 и 4% (Nopp S. et al., 2020).</w:t>
      </w:r>
    </w:p>
    <w:p w:rsidR="008E3F15" w:rsidRDefault="005F449A">
      <w:pPr>
        <w:ind w:left="2" w:right="15"/>
      </w:pPr>
      <w:r>
        <w:t xml:space="preserve">Врожденные тромбофилии (лейденская мутация фактора V, мутация протромбина G20210A, дефицит протеинов С, S) следует заподозрить при отсутствии </w:t>
      </w:r>
      <w:r>
        <w:t>больших факторов риска тромбозов, возрасте до 40–50 лет, наличии ранних венозных тромбозов у ближайших родственников, в случаях рецидивирующих тромбоэмболий, несмотря на прием антикоагулянтов, необычной локализации венозных тромбов (церебральные, чревные в</w:t>
      </w:r>
      <w:r>
        <w:t>ены). Тестирование проводится вне периода острого тромбоза, через ≥2 нед после прекращения приема варфарина, ≥2 сут после прекращения приема прямых оральных антикоагулянтов, ≥48 ч после прекращения приема гепарина. В то же время в большинстве случаев тесты</w:t>
      </w:r>
      <w:r>
        <w:t xml:space="preserve"> на тромбофилии не имеют клинического значения, особенно при наличии больших факторов риска ЛЭ, и проводить дорогостоящую диагностику тромбофилий нецелесообразно (AHS). Несмотря на то что первый эпизод ЛЭ без наличия факторов риска может быть ранним призна</w:t>
      </w:r>
      <w:r>
        <w:t>ком скрытого рака (у одного из 20 пациентов в течение года выявляют рак), скрининг новообразования не дает существенного эффекта (SOME).</w:t>
      </w:r>
    </w:p>
    <w:p w:rsidR="008E3F15" w:rsidRDefault="005F449A">
      <w:pPr>
        <w:ind w:left="2" w:right="15"/>
      </w:pPr>
      <w:r>
        <w:rPr>
          <w:b/>
        </w:rPr>
        <w:t>Тромбоз вен нижних конечностей</w:t>
      </w:r>
      <w:r>
        <w:t xml:space="preserve"> находят в 36–74% случаев и около 10% выше пупартовой связки (Keller K. et al., 2020; van</w:t>
      </w:r>
      <w:r>
        <w:t xml:space="preserve"> Langevelde K. et al., 2013). Невысокую частоту выявленных венозных тромбов объясняют миграцией последних в легкие. При этом ЛЭ без выявленных венозных тромбов характеризуются более высокой смертностью.</w:t>
      </w:r>
    </w:p>
    <w:p w:rsidR="008E3F15" w:rsidRDefault="005F449A">
      <w:pPr>
        <w:ind w:left="2" w:right="15"/>
      </w:pPr>
      <w:r>
        <w:rPr>
          <w:i/>
        </w:rPr>
        <w:t>Тромбоз глубоких вен.</w:t>
      </w:r>
      <w:r>
        <w:t xml:space="preserve"> У пациентов отделений неотложно</w:t>
      </w:r>
      <w:r>
        <w:t>й помощи тромбоз глубоких вен локализовался проксимально в 66%, дистально в 28%, в венах таза в 5,7%, в нижней полой вене в 0,6% (Stein P. et al., 2021). У пациентов с дистальным тромбозом глубоких вен годовая смертность и частота ухудшения на 28 и 17% ниж</w:t>
      </w:r>
      <w:r>
        <w:t>е по сравнению с проксимальным тромбозом (RIETE).</w:t>
      </w:r>
    </w:p>
    <w:p w:rsidR="008E3F15" w:rsidRDefault="005F449A">
      <w:pPr>
        <w:ind w:left="2" w:right="15"/>
      </w:pPr>
      <w:r>
        <w:t>Поскольку у пациентов с ЛЭ или изолированным проксимальным тромбозом глубоких вен частота последующих тромбоэмболий не отличается (Worcester VTE), то лечение проводится аналогично и возможно в амбулаторных условиях (ESC). Дополнительный прием антиагреганто</w:t>
      </w:r>
      <w:r>
        <w:t>в не улучшает прогноз (Cochrane Reviews).</w:t>
      </w:r>
    </w:p>
    <w:p w:rsidR="008E3F15" w:rsidRDefault="005F449A">
      <w:pPr>
        <w:ind w:left="2" w:right="1216"/>
      </w:pPr>
      <w:r>
        <w:t>Тромболизис чаще, чем стандартная антикоагулянтная терапия, устраняет тромб, но возрастает частота кровотечений (Cochrane Reviews).</w:t>
      </w:r>
    </w:p>
    <w:p w:rsidR="008E3F15" w:rsidRDefault="005F449A">
      <w:pPr>
        <w:ind w:left="2" w:right="96"/>
      </w:pPr>
      <w:r>
        <w:t>Ранняя мобилизация на фоне компрессионной терапии и антикоагуляции ускоряет регрес</w:t>
      </w:r>
      <w:r>
        <w:t>с симптомов и не повышает риска ВТЭ (Aissaoui N. et al., 2009). НПВП для контроля боли и местного воспаления применяют не более 3–5 сут ввиду повышенного риска кровотечений и тромбообразования.</w:t>
      </w:r>
    </w:p>
    <w:p w:rsidR="008E3F15" w:rsidRDefault="005F449A">
      <w:pPr>
        <w:ind w:left="2" w:right="15"/>
      </w:pPr>
      <w:r>
        <w:rPr>
          <w:i/>
        </w:rPr>
        <w:t>Тромбоз дистальных вен.</w:t>
      </w:r>
      <w:r>
        <w:t xml:space="preserve"> При изолированном дистальном (ниже под</w:t>
      </w:r>
      <w:r>
        <w:t>коленной вены) тромбозе рекомендуют сонографию еженедельно или при ухудшении, и назначить антикоагулянты в случае прогрессирования тромбоза (ACCP).</w:t>
      </w:r>
    </w:p>
    <w:p w:rsidR="008E3F15" w:rsidRDefault="005F449A">
      <w:pPr>
        <w:spacing w:after="359"/>
        <w:ind w:left="2" w:right="15"/>
      </w:pPr>
      <w:r>
        <w:t>В случае высокого риска рецидива тромбоза дистальных вен целесообразно лечить аналогично тромбозу проксималь</w:t>
      </w:r>
      <w:r>
        <w:t>ных вен не менее 3 мес. При низком риске рецидивов можно ограничиться назначением низкомолекулярного гепарина (НМГ) на 4–6 нед (ESC). В небольшом рандомизированном исследовании лечение пациентов с симптомным тромбозом дистальных вен ривароксабаном в дозе 2</w:t>
      </w:r>
      <w:r>
        <w:t xml:space="preserve">0 мг в течение 3 мес почти в 2 раза больше предупреждало рецидивы, чем 6-недельное лечение (Ageno W. et al., 2022). </w:t>
      </w:r>
      <w:r>
        <w:rPr>
          <w:i/>
        </w:rPr>
        <w:t>Тромбоз поверхностных вен.</w:t>
      </w:r>
      <w:r>
        <w:t xml:space="preserve"> Показано повышение риска ЛЭ и у пациентов с тромбозом поверхностных вен нижних конечностей, который проявляется б</w:t>
      </w:r>
      <w:r>
        <w:t>олью по ходу тромбированных вен, ограничивающей движения конечности, полосой гиперемии в проекции пораженной вены, при пальпации — шнуровидным, плотным, резко болезненным тяжем, местным повышением температуры, гиперестезией кожи.</w:t>
      </w:r>
    </w:p>
    <w:p w:rsidR="008E3F15" w:rsidRDefault="005F449A">
      <w:pPr>
        <w:pStyle w:val="Heading1"/>
        <w:ind w:left="2"/>
      </w:pPr>
      <w:r>
        <w:t>Часть I. Сердечно-сосудист</w:t>
      </w:r>
      <w:r>
        <w:t>ые болезни</w:t>
      </w:r>
    </w:p>
    <w:p w:rsidR="008E3F15" w:rsidRDefault="005F449A">
      <w:pPr>
        <w:spacing w:after="359"/>
        <w:ind w:left="2" w:right="188"/>
      </w:pPr>
      <w:r>
        <w:t xml:space="preserve">Ведение пациентов с поверхностным тромбофлебитом нижних конечностей исследовано недостаточно. Считают целесообразным лечение фондапаринуксом натрия 2,5 мг п/к или ривароксабаном 10 мг/сут в течение 45 сут пациентов с тромбозом поверхностных вен </w:t>
      </w:r>
      <w:r>
        <w:t>&gt;5 см длиной и дополнительными факторами риска тромбоэмболий (мужчины, анамнез ВТЭ, рак, системное воспалительное заболевание, тромбоз неварикозных вен) (ACCP; BeyerWestendorf J., 2017).</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ind w:left="2" w:right="15"/>
      </w:pPr>
      <w:r>
        <w:t>Лечение ЛЭ существ</w:t>
      </w:r>
      <w:r>
        <w:t>енно зависит от прогнозируемого риска ранней смертности, который оценивается по клиническим и лабораторным тестам (</w:t>
      </w:r>
      <w:r>
        <w:rPr>
          <w:b/>
        </w:rPr>
        <w:t>табл. 3.1</w:t>
      </w:r>
      <w:r>
        <w:t>).</w:t>
      </w:r>
    </w:p>
    <w:p w:rsidR="008E3F15" w:rsidRDefault="005F449A">
      <w:pPr>
        <w:spacing w:after="31"/>
        <w:ind w:left="2" w:right="15"/>
      </w:pPr>
      <w:r>
        <w:rPr>
          <w:b/>
        </w:rPr>
        <w:t xml:space="preserve">Таблица 3.1. </w:t>
      </w:r>
      <w:r>
        <w:t>Стратификация риска легочной эмболии в зависимости от ранней смертности (ESC)</w:t>
      </w:r>
    </w:p>
    <w:tbl>
      <w:tblPr>
        <w:tblStyle w:val="TableGrid"/>
        <w:tblW w:w="10485" w:type="dxa"/>
        <w:tblInd w:w="30" w:type="dxa"/>
        <w:tblCellMar>
          <w:top w:w="80" w:type="dxa"/>
          <w:left w:w="40" w:type="dxa"/>
          <w:bottom w:w="0" w:type="dxa"/>
          <w:right w:w="45" w:type="dxa"/>
        </w:tblCellMar>
        <w:tblLook w:val="04A0" w:firstRow="1" w:lastRow="0" w:firstColumn="1" w:lastColumn="0" w:noHBand="0" w:noVBand="1"/>
      </w:tblPr>
      <w:tblGrid>
        <w:gridCol w:w="2085"/>
        <w:gridCol w:w="1530"/>
        <w:gridCol w:w="2010"/>
        <w:gridCol w:w="1605"/>
        <w:gridCol w:w="855"/>
        <w:gridCol w:w="2400"/>
      </w:tblGrid>
      <w:tr w:rsidR="008E3F15">
        <w:trPr>
          <w:trHeight w:val="330"/>
        </w:trPr>
        <w:tc>
          <w:tcPr>
            <w:tcW w:w="20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Риск ранней смерти от ЛЭ</w:t>
            </w:r>
          </w:p>
        </w:tc>
        <w:tc>
          <w:tcPr>
            <w:tcW w:w="35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2" w:right="0" w:firstLine="0"/>
            </w:pPr>
            <w:r>
              <w:rPr>
                <w:b/>
              </w:rPr>
              <w:t>Маркеры риска</w:t>
            </w:r>
          </w:p>
        </w:tc>
        <w:tc>
          <w:tcPr>
            <w:tcW w:w="2460" w:type="dxa"/>
            <w:gridSpan w:val="2"/>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c>
          <w:tcPr>
            <w:tcW w:w="240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rPr>
                <w:b/>
              </w:rPr>
              <w:t>Лечение</w:t>
            </w:r>
          </w:p>
        </w:tc>
      </w:tr>
      <w:tr w:rsidR="008E3F15">
        <w:trPr>
          <w:trHeight w:val="81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5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rPr>
                <w:b/>
              </w:rPr>
              <w:t>Шок, гипотензия</w:t>
            </w:r>
          </w:p>
        </w:tc>
        <w:tc>
          <w:tcPr>
            <w:tcW w:w="20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Дисфункция правого желудочка</w:t>
            </w:r>
          </w:p>
        </w:tc>
        <w:tc>
          <w:tcPr>
            <w:tcW w:w="1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rPr>
                <w:b/>
              </w:rPr>
              <w:t>Биомаркеры</w:t>
            </w:r>
          </w:p>
        </w:tc>
        <w:tc>
          <w:tcPr>
            <w:tcW w:w="8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Класс PESI</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570"/>
        </w:trPr>
        <w:tc>
          <w:tcPr>
            <w:tcW w:w="20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Низкий (0–3%)</w:t>
            </w:r>
          </w:p>
        </w:tc>
        <w:tc>
          <w:tcPr>
            <w:tcW w:w="15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w:t>
            </w:r>
          </w:p>
        </w:tc>
        <w:tc>
          <w:tcPr>
            <w:tcW w:w="20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w:t>
            </w:r>
          </w:p>
        </w:tc>
        <w:tc>
          <w:tcPr>
            <w:tcW w:w="1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8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I–II</w:t>
            </w:r>
          </w:p>
        </w:tc>
        <w:tc>
          <w:tcPr>
            <w:tcW w:w="24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Амбулаторное лечение</w:t>
            </w:r>
          </w:p>
        </w:tc>
      </w:tr>
      <w:tr w:rsidR="008E3F15">
        <w:trPr>
          <w:trHeight w:val="570"/>
        </w:trPr>
        <w:tc>
          <w:tcPr>
            <w:tcW w:w="20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Средненизкий (3– 7%)</w:t>
            </w:r>
          </w:p>
        </w:tc>
        <w:tc>
          <w:tcPr>
            <w:tcW w:w="15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w:t>
            </w:r>
          </w:p>
        </w:tc>
        <w:tc>
          <w:tcPr>
            <w:tcW w:w="20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w:t>
            </w:r>
            <w:r>
              <w:rPr>
                <w:sz w:val="20"/>
              </w:rPr>
              <w:t>б</w:t>
            </w:r>
          </w:p>
        </w:tc>
        <w:tc>
          <w:tcPr>
            <w:tcW w:w="1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8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III–V</w:t>
            </w:r>
          </w:p>
        </w:tc>
        <w:tc>
          <w:tcPr>
            <w:tcW w:w="24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Антикоагуляция</w:t>
            </w:r>
          </w:p>
        </w:tc>
      </w:tr>
      <w:tr w:rsidR="008E3F15">
        <w:trPr>
          <w:trHeight w:val="810"/>
        </w:trPr>
        <w:tc>
          <w:tcPr>
            <w:tcW w:w="20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Средневысокий (11–16%)</w:t>
            </w:r>
          </w:p>
        </w:tc>
        <w:tc>
          <w:tcPr>
            <w:tcW w:w="15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w:t>
            </w:r>
          </w:p>
        </w:tc>
        <w:tc>
          <w:tcPr>
            <w:tcW w:w="20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w:t>
            </w:r>
          </w:p>
        </w:tc>
        <w:tc>
          <w:tcPr>
            <w:tcW w:w="1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8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III–V</w:t>
            </w:r>
          </w:p>
        </w:tc>
        <w:tc>
          <w:tcPr>
            <w:tcW w:w="24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Антикоагуляция, возможен тромболизис</w:t>
            </w:r>
          </w:p>
        </w:tc>
      </w:tr>
      <w:tr w:rsidR="008E3F15">
        <w:trPr>
          <w:trHeight w:val="570"/>
        </w:trPr>
        <w:tc>
          <w:tcPr>
            <w:tcW w:w="20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Высокий (&gt;20%)</w:t>
            </w:r>
          </w:p>
        </w:tc>
        <w:tc>
          <w:tcPr>
            <w:tcW w:w="15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w:t>
            </w:r>
          </w:p>
        </w:tc>
        <w:tc>
          <w:tcPr>
            <w:tcW w:w="20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w:t>
            </w:r>
          </w:p>
        </w:tc>
        <w:tc>
          <w:tcPr>
            <w:tcW w:w="1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r>
              <w:rPr>
                <w:sz w:val="20"/>
              </w:rPr>
              <w:t>а</w:t>
            </w:r>
          </w:p>
        </w:tc>
        <w:tc>
          <w:tcPr>
            <w:tcW w:w="8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III–V</w:t>
            </w:r>
            <w:r>
              <w:rPr>
                <w:sz w:val="31"/>
                <w:vertAlign w:val="superscript"/>
              </w:rPr>
              <w:t>а</w:t>
            </w:r>
          </w:p>
        </w:tc>
        <w:tc>
          <w:tcPr>
            <w:tcW w:w="24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Тромболизис, эмболэктомия</w:t>
            </w:r>
          </w:p>
        </w:tc>
      </w:tr>
    </w:tbl>
    <w:p w:rsidR="008E3F15" w:rsidRDefault="005F449A">
      <w:pPr>
        <w:ind w:left="2" w:right="746"/>
      </w:pPr>
      <w:r>
        <w:rPr>
          <w:b/>
        </w:rPr>
        <w:t>Примечание.</w:t>
      </w:r>
      <w:r>
        <w:rPr>
          <w:sz w:val="31"/>
          <w:vertAlign w:val="superscript"/>
        </w:rPr>
        <w:t>а</w:t>
      </w:r>
      <w:r>
        <w:t xml:space="preserve"> — тест не является необходимым, </w:t>
      </w:r>
      <w:r>
        <w:rPr>
          <w:sz w:val="31"/>
          <w:vertAlign w:val="superscript"/>
        </w:rPr>
        <w:t>б</w:t>
      </w:r>
      <w:r>
        <w:t xml:space="preserve"> — ≤1 положительного теста. Существует классификация тяжести ЛЭ, включающая массивную, субмассивную и немассивную ЛЭ, критерии которой аналогичны критериям ЛЭ высокого, умеренного и низкого риска (AHA).</w:t>
      </w:r>
    </w:p>
    <w:p w:rsidR="008E3F15" w:rsidRDefault="005F449A">
      <w:pPr>
        <w:ind w:left="2" w:right="1202"/>
      </w:pPr>
      <w:r>
        <w:t>ЛЭ обычно рассматривают как осложнение основного забо</w:t>
      </w:r>
      <w:r>
        <w:t>левания, что приводит к отсутствию заболевания в статистических документах в качестве причины смерти.</w:t>
      </w:r>
    </w:p>
    <w:p w:rsidR="008E3F15" w:rsidRDefault="005F449A">
      <w:pPr>
        <w:ind w:left="2" w:right="15"/>
      </w:pPr>
      <w:r>
        <w:t>При отсутствии заболевания, предрасполагающего к ЛЭ, целесообразно указывать последнее в качестве основного как в клиническом, так и в посмертном диагнозе</w:t>
      </w:r>
      <w:r>
        <w:t xml:space="preserve"> (</w:t>
      </w:r>
      <w:r>
        <w:rPr>
          <w:b/>
        </w:rPr>
        <w:t>табл. 3.2</w:t>
      </w:r>
      <w:r>
        <w:t>).</w:t>
      </w:r>
    </w:p>
    <w:p w:rsidR="008E3F15" w:rsidRDefault="005F449A">
      <w:pPr>
        <w:spacing w:after="31"/>
        <w:ind w:left="2" w:right="15"/>
      </w:pPr>
      <w:r>
        <w:rPr>
          <w:b/>
        </w:rPr>
        <w:t xml:space="preserve">Таблица 3.2. </w:t>
      </w:r>
      <w:r>
        <w:t>Примеры оформления диагноза</w:t>
      </w:r>
    </w:p>
    <w:tbl>
      <w:tblPr>
        <w:tblStyle w:val="TableGrid"/>
        <w:tblW w:w="10485" w:type="dxa"/>
        <w:tblInd w:w="30" w:type="dxa"/>
        <w:tblCellMar>
          <w:top w:w="58" w:type="dxa"/>
          <w:left w:w="45" w:type="dxa"/>
          <w:bottom w:w="0" w:type="dxa"/>
          <w:right w:w="45" w:type="dxa"/>
        </w:tblCellMar>
        <w:tblLook w:val="04A0" w:firstRow="1" w:lastRow="0" w:firstColumn="1" w:lastColumn="0" w:noHBand="0" w:noVBand="1"/>
      </w:tblPr>
      <w:tblGrid>
        <w:gridCol w:w="9480"/>
        <w:gridCol w:w="1005"/>
      </w:tblGrid>
      <w:tr w:rsidR="008E3F15">
        <w:trPr>
          <w:trHeight w:val="330"/>
        </w:trPr>
        <w:tc>
          <w:tcPr>
            <w:tcW w:w="94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Диагноз</w:t>
            </w:r>
          </w:p>
        </w:tc>
        <w:tc>
          <w:tcPr>
            <w:tcW w:w="1005"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
                <w:bdr w:val="single" w:sz="12" w:space="0" w:color="000000"/>
              </w:rPr>
              <w:t>МКБ-10</w:t>
            </w:r>
          </w:p>
        </w:tc>
      </w:tr>
      <w:tr w:rsidR="008E3F15">
        <w:trPr>
          <w:trHeight w:val="330"/>
        </w:trPr>
        <w:tc>
          <w:tcPr>
            <w:tcW w:w="9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Легочная эмболия (21.05.2023, 17:50), шок</w:t>
            </w:r>
          </w:p>
        </w:tc>
        <w:tc>
          <w:tcPr>
            <w:tcW w:w="100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I26.0</w:t>
            </w:r>
          </w:p>
        </w:tc>
      </w:tr>
      <w:tr w:rsidR="008E3F15">
        <w:trPr>
          <w:trHeight w:val="330"/>
        </w:trPr>
        <w:tc>
          <w:tcPr>
            <w:tcW w:w="9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Легочная эмболия, средневысокий риск</w:t>
            </w:r>
          </w:p>
        </w:tc>
        <w:tc>
          <w:tcPr>
            <w:tcW w:w="10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I26.9</w:t>
            </w:r>
          </w:p>
        </w:tc>
      </w:tr>
      <w:tr w:rsidR="008E3F15">
        <w:trPr>
          <w:trHeight w:val="570"/>
        </w:trPr>
        <w:tc>
          <w:tcPr>
            <w:tcW w:w="9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Тромбоз бедренной вены справа, осложненный легочной эмболией с острым легочным сердцем</w:t>
            </w:r>
          </w:p>
        </w:tc>
        <w:tc>
          <w:tcPr>
            <w:tcW w:w="10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I26.0</w:t>
            </w:r>
          </w:p>
        </w:tc>
      </w:tr>
      <w:tr w:rsidR="008E3F15">
        <w:trPr>
          <w:trHeight w:val="570"/>
        </w:trPr>
        <w:tc>
          <w:tcPr>
            <w:tcW w:w="9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2008" w:firstLine="0"/>
            </w:pPr>
            <w:r>
              <w:t>Стабильная стенокардия III ФК, инфаркт миокарда (2019, 2020) ХСН NYHA IV. Легочная эмболия, шок</w:t>
            </w:r>
          </w:p>
        </w:tc>
        <w:tc>
          <w:tcPr>
            <w:tcW w:w="10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I20.8</w:t>
            </w:r>
          </w:p>
        </w:tc>
      </w:tr>
      <w:tr w:rsidR="008E3F15">
        <w:trPr>
          <w:trHeight w:val="548"/>
        </w:trPr>
        <w:tc>
          <w:tcPr>
            <w:tcW w:w="94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Тромбоз вен нижних конечностей. Легочная эмболия, рецидивирующая (2019,</w:t>
            </w:r>
          </w:p>
          <w:p w:rsidR="008E3F15" w:rsidRDefault="005F449A">
            <w:pPr>
              <w:spacing w:after="0" w:line="259" w:lineRule="auto"/>
              <w:ind w:left="0" w:right="0" w:firstLine="0"/>
            </w:pPr>
            <w:r>
              <w:t>10.2022, 12.2023), острое легочное сердце, средневысокий риск</w:t>
            </w:r>
          </w:p>
        </w:tc>
        <w:tc>
          <w:tcPr>
            <w:tcW w:w="100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2" w:right="0" w:firstLine="0"/>
            </w:pPr>
            <w:r>
              <w:t>I80</w:t>
            </w:r>
          </w:p>
        </w:tc>
      </w:tr>
      <w:tr w:rsidR="008E3F15">
        <w:trPr>
          <w:trHeight w:val="33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788"/>
        </w:trPr>
        <w:tc>
          <w:tcPr>
            <w:tcW w:w="94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Наследственная тромбофилия (дефицит протеина S), тромбоз почечной вены справа, тромбоз глубоких вен нижних конечностей, легочная эмболия (2021, 02.2023, 08.2023)</w:t>
            </w:r>
          </w:p>
        </w:tc>
        <w:tc>
          <w:tcPr>
            <w:tcW w:w="100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D68.59</w:t>
            </w:r>
          </w:p>
        </w:tc>
      </w:tr>
    </w:tbl>
    <w:p w:rsidR="008E3F15" w:rsidRDefault="005F449A">
      <w:pPr>
        <w:pStyle w:val="Heading1"/>
        <w:ind w:left="2"/>
      </w:pPr>
      <w:r>
        <w:t>Часть I. Сердечно-сосудистые болезни</w:t>
      </w:r>
    </w:p>
    <w:p w:rsidR="008E3F15" w:rsidRDefault="005F449A">
      <w:pPr>
        <w:spacing w:after="179"/>
        <w:ind w:left="2" w:right="6668"/>
      </w:pPr>
      <w:r>
        <w:t xml:space="preserve">Догоспитальный этап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11488"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69664" name="Group 269664"/>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5595" name="Shape 5595"/>
                        <wps:cNvSpPr/>
                        <wps:spPr>
                          <a:xfrm>
                            <a:off x="0" y="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95"/>
                                  <a:pt x="56425" y="36016"/>
                                  <a:pt x="54975" y="3953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6016"/>
                                  <a:pt x="0" y="3239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597" name="Shape 5597"/>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599" name="Shape 5599"/>
                        <wps:cNvSpPr/>
                        <wps:spPr>
                          <a:xfrm>
                            <a:off x="0" y="304800"/>
                            <a:ext cx="57150" cy="57150"/>
                          </a:xfrm>
                          <a:custGeom>
                            <a:avLst/>
                            <a:gdLst/>
                            <a:ahLst/>
                            <a:cxnLst/>
                            <a:rect l="0" t="0" r="0" b="0"/>
                            <a:pathLst>
                              <a:path w="57150" h="57150">
                                <a:moveTo>
                                  <a:pt x="28575" y="0"/>
                                </a:moveTo>
                                <a:cubicBezTo>
                                  <a:pt x="32364" y="0"/>
                                  <a:pt x="36009" y="695"/>
                                  <a:pt x="39510" y="2183"/>
                                </a:cubicBezTo>
                                <a:cubicBezTo>
                                  <a:pt x="43011" y="3621"/>
                                  <a:pt x="46101" y="5655"/>
                                  <a:pt x="48781" y="8285"/>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69" y="8285"/>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01" name="Shape 5601"/>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134"/>
                                  <a:pt x="57150" y="2480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805"/>
                                  <a:pt x="725" y="21134"/>
                                  <a:pt x="2175" y="17611"/>
                                </a:cubicBezTo>
                                <a:cubicBezTo>
                                  <a:pt x="3625" y="14089"/>
                                  <a:pt x="5690" y="11013"/>
                                  <a:pt x="8369" y="8334"/>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64" style="width:4.5pt;height:40.5pt;position:absolute;mso-position-horizontal-relative:text;mso-position-horizontal:absolute;margin-left:16.5pt;mso-position-vertical-relative:text;margin-top:2.74219pt;" coordsize="571,5143">
                <v:shape id="Shape 5595" style="position:absolute;width:571;height:571;left:0;top:0;" coordsize="57150,57150" path="m28575,0c32364,0,36009,695,39510,2183c43011,3621,46101,5655,48781,8334c51460,10964,53525,14089,54975,17611c56425,21084,57150,24755,57150,28575c57150,32395,56425,36016,54975,39539c53525,42962,51460,46087,48781,48766c46101,51445,43011,53479,39510,54967c36009,56406,32364,57100,28575,57150c24786,57100,21141,56406,17640,54967c14139,53479,11049,51445,8369,48766c5690,46087,3625,42962,2175,39489c725,36016,0,32395,0,28575c0,24755,725,21084,2175,17611c3625,14089,5690,10964,8369,8334c11049,5655,14139,3621,17640,2183c21141,695,24786,0,28575,0x">
                  <v:stroke weight="0pt" endcap="flat" joinstyle="miter" miterlimit="4" on="false" color="#000000" opacity="0"/>
                  <v:fill on="true" color="#333333"/>
                </v:shape>
                <v:shape id="Shape 5597" style="position:absolute;width:571;height:571;left:0;top:1524;" coordsize="57150,57150" path="m28575,0c32364,0,36009,695,39510,2183c43011,3572,46101,5606,48781,8285c51460,10964,53525,14039,54975,17512c56425,21084,57150,24755,57150,28575c57150,32345,56425,35967,54975,39539c53525,42962,51460,46087,48781,48766c46101,51445,43011,53479,39510,54967c36009,56406,32364,57100,28575,57150c24786,57100,21141,56406,17640,54967c14139,53479,11049,51445,8369,48766c5690,46087,3625,42962,2175,39489c725,35967,0,32345,0,28575c0,24755,725,21084,2175,17512c3625,14039,5690,10964,8369,8285c11049,5606,14139,3572,17640,2133c21141,695,24786,0,28575,0x">
                  <v:stroke weight="0pt" endcap="flat" joinstyle="miter" miterlimit="4" on="false" color="#000000" opacity="0"/>
                  <v:fill on="true" color="#333333"/>
                </v:shape>
                <v:shape id="Shape 5599" style="position:absolute;width:571;height:571;left:0;top:3048;" coordsize="57150,57150" path="m28575,0c32364,0,36009,695,39510,2183c43011,3621,46101,5655,48781,8285c51460,10964,53525,14039,54975,1756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62c3625,14039,5690,10964,8369,8285c11049,5655,14139,3621,17640,2183c21141,695,24786,0,28575,0x">
                  <v:stroke weight="0pt" endcap="flat" joinstyle="miter" miterlimit="4" on="false" color="#000000" opacity="0"/>
                  <v:fill on="true" color="#333333"/>
                </v:shape>
                <v:shape id="Shape 5601" style="position:absolute;width:571;height:571;left:0;top:4572;" coordsize="57150,57150" path="m28575,0c32364,0,36009,695,39510,2133c43011,3572,46101,5655,48781,8334c51460,11013,53525,14089,54975,17611c56425,21134,57150,24805,57150,28575c57150,32345,56425,35967,54975,39439c53525,42962,51460,46038,48781,48766c46101,51395,43011,53429,39510,54868c36009,56356,32364,57100,28575,57150c24786,57100,21141,56356,17640,54868c14139,53429,11049,51395,8369,48766c5690,46038,3625,42962,2175,39439c725,35967,0,32345,0,28575c0,24805,725,21134,2175,17611c3625,14089,5690,11013,8369,8334c11049,5655,14139,3572,17640,2133c21141,695,24786,0,28575,0x">
                  <v:stroke weight="0pt" endcap="flat" joinstyle="miter" miterlimit="4" on="false" color="#000000" opacity="0"/>
                  <v:fill on="true" color="#333333"/>
                </v:shape>
                <w10:wrap type="square"/>
              </v:group>
            </w:pict>
          </mc:Fallback>
        </mc:AlternateContent>
      </w:r>
      <w:r>
        <w:t>Острая одышка, тахипноэ.</w:t>
      </w:r>
    </w:p>
    <w:p w:rsidR="008E3F15" w:rsidRDefault="005F449A">
      <w:pPr>
        <w:spacing w:after="31"/>
        <w:ind w:left="340" w:right="15"/>
      </w:pPr>
      <w:r>
        <w:t>Артериальная гипотензия.</w:t>
      </w:r>
    </w:p>
    <w:p w:rsidR="008E3F15" w:rsidRDefault="005F449A">
      <w:pPr>
        <w:spacing w:after="31"/>
        <w:ind w:left="340" w:right="15"/>
      </w:pPr>
      <w:r>
        <w:t>Пульсоксиметрия.</w:t>
      </w:r>
    </w:p>
    <w:p w:rsidR="008E3F15" w:rsidRDefault="005F449A">
      <w:pPr>
        <w:spacing w:line="359" w:lineRule="auto"/>
        <w:ind w:left="-8" w:right="1182" w:firstLine="180"/>
      </w:pPr>
      <w:r>
        <w:t xml:space="preserve">ЭКГ — перегрузка правых отделов, блокада правой ножки пучка Гиса </w:t>
      </w:r>
      <w:r>
        <w:rPr>
          <w:b/>
        </w:rP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12512"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69666" name="Group 269666"/>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5604" name="Shape 5604"/>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06" name="Shape 5606"/>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16"/>
                                </a:cubicBezTo>
                                <a:cubicBezTo>
                                  <a:pt x="5690" y="45988"/>
                                  <a:pt x="3625" y="42912"/>
                                  <a:pt x="2175" y="39390"/>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08" name="Shape 5608"/>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10" name="Shape 5610"/>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66" style="width:4.5pt;height:40.5pt;position:absolute;mso-position-horizontal-relative:text;mso-position-horizontal:absolute;margin-left:16.5pt;mso-position-vertical-relative:text;margin-top:2.74219pt;" coordsize="571,5143">
                <v:shape id="Shape 5604" style="position:absolute;width:571;height:571;left:0;top:0;" coordsize="57150,57150" path="m28575,0c32364,0,36009,695,39510,2133c43011,3572,46101,5655,48781,8384c51460,11013,53525,14089,54975,17611c56425,21084,57150,24755,57150,28575c57150,32345,56425,35967,54975,39489c53525,42962,51460,46038,48781,48766c46101,51395,43011,53429,39510,54868c36009,56356,32364,57100,28575,57150c24786,57100,21141,56356,17640,54868c14139,53429,11049,51395,8369,48766c5690,46038,3625,42912,2175,39439c725,35967,0,32345,0,28575c0,24755,725,21084,2175,17611c3625,14089,5690,11013,8369,8384c11049,5655,14139,3621,17640,2183c21141,695,24786,0,28575,0x">
                  <v:stroke weight="0pt" endcap="flat" joinstyle="miter" miterlimit="4" on="false" color="#000000" opacity="0"/>
                  <v:fill on="true" color="#333333"/>
                </v:shape>
                <v:shape id="Shape 5606" style="position:absolute;width:571;height:571;left:0;top:1524;" coordsize="57150,57150" path="m28575,0c32364,0,36009,695,39510,2133c43011,3572,46101,5606,48781,8334c51460,10964,53525,14089,54975,17611c56425,21084,57150,24755,57150,28575c57150,32345,56425,35967,54975,39390c53525,42912,51460,45988,48781,48716c46101,51395,43011,53429,39510,54868c36009,56356,32364,57100,28575,57150c24786,57100,21141,56356,17640,54868c14139,53429,11049,51395,8369,48716c5690,45988,3625,42912,2175,39390c725,35967,0,32345,0,28575c0,24755,725,21084,2175,17611c3625,14089,5690,10964,8369,8334c11049,5606,14139,3572,17640,2133c21141,695,24786,0,28575,0x">
                  <v:stroke weight="0pt" endcap="flat" joinstyle="miter" miterlimit="4" on="false" color="#000000" opacity="0"/>
                  <v:fill on="true" color="#333333"/>
                </v:shape>
                <v:shape id="Shape 5608" style="position:absolute;width:571;height:571;left:0;top:3048;" coordsize="57150,57150" path="m28575,0c32364,0,36009,695,39510,2133c43011,3572,46101,5606,48781,8334c51460,10964,53525,14089,54975,17611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611c3625,14089,5690,10964,8369,8334c11049,5606,14139,3572,17640,2133c21141,695,24786,0,28575,0x">
                  <v:stroke weight="0pt" endcap="flat" joinstyle="miter" miterlimit="4" on="false" color="#000000" opacity="0"/>
                  <v:fill on="true" color="#333333"/>
                </v:shape>
                <v:shape id="Shape 5610" style="position:absolute;width:571;height:571;left:0;top:4572;" coordsize="57150,57150" path="m28575,0c32364,0,36009,695,39510,2133c43011,3572,46101,5606,48781,8334c51460,10964,53525,14089,54975,1756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89,5690,10964,8369,8334c11049,5606,14139,3572,17640,2133c21141,695,24786,0,28575,0x">
                  <v:stroke weight="0pt" endcap="flat" joinstyle="miter" miterlimit="4" on="false" color="#000000" opacity="0"/>
                  <v:fill on="true" color="#333333"/>
                </v:shape>
                <w10:wrap type="square"/>
              </v:group>
            </w:pict>
          </mc:Fallback>
        </mc:AlternateContent>
      </w:r>
      <w:r>
        <w:t>Быстрейшая доставка в отделение интенсивной терапии.</w:t>
      </w:r>
    </w:p>
    <w:p w:rsidR="008E3F15" w:rsidRDefault="005F449A">
      <w:pPr>
        <w:spacing w:after="31"/>
        <w:ind w:left="340" w:right="15"/>
      </w:pPr>
      <w:r>
        <w:t>Кислород.</w:t>
      </w:r>
    </w:p>
    <w:p w:rsidR="008E3F15" w:rsidRDefault="005F449A">
      <w:pPr>
        <w:spacing w:after="31"/>
        <w:ind w:left="340" w:right="15"/>
      </w:pPr>
      <w:r>
        <w:t>Гепарин.</w:t>
      </w:r>
    </w:p>
    <w:p w:rsidR="008E3F15" w:rsidRDefault="005F449A">
      <w:pPr>
        <w:spacing w:after="165"/>
        <w:ind w:left="340" w:right="15"/>
      </w:pPr>
      <w:r>
        <w:t>Поддержка приемлемого АД.</w:t>
      </w:r>
    </w:p>
    <w:p w:rsidR="008E3F15" w:rsidRDefault="005F449A">
      <w:pPr>
        <w:ind w:left="2" w:right="15"/>
      </w:pPr>
      <w:r>
        <w:t>Тяжелая ЛЭ является жизнеопасным состоянием и не требует наличия полиса и паспорта для госпитализации. Около 2–5% внегоспитальных остановок сердца связаны с ЛЭ.</w:t>
      </w:r>
    </w:p>
    <w:p w:rsidR="008E3F15" w:rsidRDefault="005F449A">
      <w:pPr>
        <w:ind w:left="2" w:right="15"/>
      </w:pPr>
      <w:r>
        <w:t>Треть пациентов умирают внезапно в первые часы, поэтому целесообразно осуществить быстрейшую до</w:t>
      </w:r>
      <w:r>
        <w:t>ставку пациента в специализированный блок интенсивной терапии (VITAE).</w:t>
      </w:r>
    </w:p>
    <w:p w:rsidR="008E3F15" w:rsidRDefault="005F449A">
      <w:pPr>
        <w:ind w:left="2" w:right="15"/>
      </w:pPr>
      <w:r>
        <w:t xml:space="preserve">Лечение пациентов с ЛЭ низкого риска можно проводить в амбулаторных условиях (ESC). </w:t>
      </w:r>
      <w:r>
        <w:rPr>
          <w:b/>
        </w:rPr>
        <w:t>Диагностика.</w:t>
      </w:r>
      <w:r>
        <w:t>Чаще всего ЛЭ проявляется острой одышкой, реже встречаются другие симптомы (</w:t>
      </w:r>
      <w:r>
        <w:rPr>
          <w:b/>
        </w:rPr>
        <w:t>табл. 3.3</w:t>
      </w:r>
      <w:r>
        <w:t>). Дефицит обеспечения кислородом обусловлен уменьшением объема сосудистого русла, вазоконстрикцией, дисфункцией правого желудочка, десинхронизацией желудочков, шунтированием крови справа налево через открытое овальное отверстие.</w:t>
      </w:r>
    </w:p>
    <w:p w:rsidR="008E3F15" w:rsidRDefault="005F449A">
      <w:pPr>
        <w:spacing w:after="31"/>
        <w:ind w:left="2" w:right="15"/>
      </w:pPr>
      <w:r>
        <w:rPr>
          <w:b/>
        </w:rPr>
        <w:t xml:space="preserve">Таблица 3.3. </w:t>
      </w:r>
      <w:r>
        <w:t>Частота клини</w:t>
      </w:r>
      <w:r>
        <w:t>ческих и физикальных проявлений легочной эмболии</w:t>
      </w:r>
    </w:p>
    <w:tbl>
      <w:tblPr>
        <w:tblStyle w:val="TableGrid"/>
        <w:tblW w:w="8415" w:type="dxa"/>
        <w:tblInd w:w="30" w:type="dxa"/>
        <w:tblCellMar>
          <w:top w:w="58" w:type="dxa"/>
          <w:left w:w="45" w:type="dxa"/>
          <w:bottom w:w="0" w:type="dxa"/>
          <w:right w:w="39" w:type="dxa"/>
        </w:tblCellMar>
        <w:tblLook w:val="04A0" w:firstRow="1" w:lastRow="0" w:firstColumn="1" w:lastColumn="0" w:noHBand="0" w:noVBand="1"/>
      </w:tblPr>
      <w:tblGrid>
        <w:gridCol w:w="2835"/>
        <w:gridCol w:w="1335"/>
        <w:gridCol w:w="2910"/>
        <w:gridCol w:w="1335"/>
      </w:tblGrid>
      <w:tr w:rsidR="008E3F15">
        <w:trPr>
          <w:trHeight w:val="375"/>
        </w:trPr>
        <w:tc>
          <w:tcPr>
            <w:tcW w:w="8415" w:type="dxa"/>
            <w:gridSpan w:val="4"/>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Клинические признаки Частота, % Физикальные признаки Частота, %</w:t>
            </w:r>
          </w:p>
        </w:tc>
      </w:tr>
      <w:tr w:rsidR="008E3F15">
        <w:trPr>
          <w:trHeight w:val="308"/>
        </w:trPr>
        <w:tc>
          <w:tcPr>
            <w:tcW w:w="28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Одышка</w:t>
            </w:r>
          </w:p>
        </w:tc>
        <w:tc>
          <w:tcPr>
            <w:tcW w:w="13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80</w:t>
            </w:r>
          </w:p>
        </w:tc>
        <w:tc>
          <w:tcPr>
            <w:tcW w:w="29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Тахипноэ</w:t>
            </w:r>
          </w:p>
        </w:tc>
        <w:tc>
          <w:tcPr>
            <w:tcW w:w="13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70</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Плевральные боли</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52</w:t>
            </w:r>
          </w:p>
        </w:tc>
        <w:tc>
          <w:tcPr>
            <w:tcW w:w="2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Хрипы</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51</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Кашель</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20</w:t>
            </w:r>
          </w:p>
        </w:tc>
        <w:tc>
          <w:tcPr>
            <w:tcW w:w="2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Тахикардия</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26</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Обморок</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19</w:t>
            </w:r>
          </w:p>
        </w:tc>
        <w:tc>
          <w:tcPr>
            <w:tcW w:w="2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Акцент II тона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23</w:t>
            </w:r>
          </w:p>
        </w:tc>
      </w:tr>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Загрудинные боли</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12</w:t>
            </w:r>
          </w:p>
        </w:tc>
        <w:tc>
          <w:tcPr>
            <w:tcW w:w="2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Цианоз</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11</w:t>
            </w:r>
          </w:p>
        </w:tc>
      </w:tr>
    </w:tbl>
    <w:p w:rsidR="008E3F15" w:rsidRDefault="005F449A">
      <w:pPr>
        <w:ind w:left="2" w:right="15"/>
      </w:pPr>
      <w:r>
        <w:t>При возникновении внезапной одышки, не зависящей от положения тела, с артериальной гипотензией в первую очередь следует подумать о ЛЭ, особенно у пациентов с повышенным риском тромбоэмболий в анамнезе.</w:t>
      </w:r>
    </w:p>
    <w:p w:rsidR="008E3F15" w:rsidRDefault="005F449A">
      <w:pPr>
        <w:spacing w:after="165"/>
        <w:ind w:left="2" w:right="15"/>
      </w:pPr>
      <w:r>
        <w:t>Одышка преобладает в клинической картине и характеризуется следующими признаками: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13536"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269667" name="Group 26966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5654" name="Shape 5654"/>
                        <wps:cNvSpPr/>
                        <wps:spPr>
                          <a:xfrm>
                            <a:off x="0" y="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56" name="Shape 5656"/>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58" name="Shape 5658"/>
                        <wps:cNvSpPr/>
                        <wps:spPr>
                          <a:xfrm>
                            <a:off x="0" y="3048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61" name="Shape 5661"/>
                        <wps:cNvSpPr/>
                        <wps:spPr>
                          <a:xfrm>
                            <a:off x="0" y="609600"/>
                            <a:ext cx="57150" cy="57150"/>
                          </a:xfrm>
                          <a:custGeom>
                            <a:avLst/>
                            <a:gdLst/>
                            <a:ahLst/>
                            <a:cxnLst/>
                            <a:rect l="0" t="0" r="0" b="0"/>
                            <a:pathLst>
                              <a:path w="57150" h="57150">
                                <a:moveTo>
                                  <a:pt x="28575" y="0"/>
                                </a:moveTo>
                                <a:cubicBezTo>
                                  <a:pt x="32364" y="0"/>
                                  <a:pt x="36009" y="695"/>
                                  <a:pt x="39510" y="2183"/>
                                </a:cubicBezTo>
                                <a:cubicBezTo>
                                  <a:pt x="43011" y="3621"/>
                                  <a:pt x="46101" y="5655"/>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87"/>
                                  <a:pt x="48781" y="48766"/>
                                </a:cubicBezTo>
                                <a:cubicBezTo>
                                  <a:pt x="46101" y="51445"/>
                                  <a:pt x="43011" y="53529"/>
                                  <a:pt x="39510" y="54967"/>
                                </a:cubicBezTo>
                                <a:cubicBezTo>
                                  <a:pt x="36009" y="56406"/>
                                  <a:pt x="32364" y="57150"/>
                                  <a:pt x="28575" y="57150"/>
                                </a:cubicBezTo>
                                <a:cubicBezTo>
                                  <a:pt x="24786" y="57150"/>
                                  <a:pt x="21141" y="56455"/>
                                  <a:pt x="17640" y="5501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285"/>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67" style="width:4.5pt;height:52.5pt;position:absolute;mso-position-horizontal-relative:text;mso-position-horizontal:absolute;margin-left:16.5pt;mso-position-vertical-relative:text;margin-top:2.74219pt;" coordsize="571,6667">
                <v:shape id="Shape 5654" style="position:absolute;width:571;height:571;left:0;top:0;" coordsize="57150,57150" path="m28575,0c32364,0,36009,695,39510,2183c43011,3621,46101,5655,48781,8334c51460,10964,53525,1403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39,5690,10964,8369,8334c11049,5655,14139,3621,17640,2183c21141,695,24786,0,28575,0x">
                  <v:stroke weight="0pt" endcap="flat" joinstyle="miter" miterlimit="4" on="false" color="#000000" opacity="0"/>
                  <v:fill on="true" color="#333333"/>
                </v:shape>
                <v:shape id="Shape 5656" style="position:absolute;width:571;height:571;left:0;top:1524;"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611c3625,14089,5690,10964,8369,8334c11049,5655,14139,3621,17640,2183c21141,695,24786,0,28575,0x">
                  <v:stroke weight="0pt" endcap="flat" joinstyle="miter" miterlimit="4" on="false" color="#000000" opacity="0"/>
                  <v:fill on="true" color="#333333"/>
                </v:shape>
                <v:shape id="Shape 5658" style="position:absolute;width:571;height:571;left:0;top:3048;" coordsize="57150,57150" path="m28575,0c32364,0,36009,695,39510,2183c43011,3621,46101,5655,48781,8334c51460,10964,53525,14089,54975,17611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611c3625,14089,5690,10964,8369,8334c11049,5655,14139,3621,17640,2183c21141,695,24786,0,28575,0x">
                  <v:stroke weight="0pt" endcap="flat" joinstyle="miter" miterlimit="4" on="false" color="#000000" opacity="0"/>
                  <v:fill on="true" color="#333333"/>
                </v:shape>
                <v:shape id="Shape 5661" style="position:absolute;width:571;height:571;left:0;top:6096;" coordsize="57150,57150" path="m28575,0c32364,0,36009,695,39510,2183c43011,3621,46101,5655,48781,8285c51460,10964,53525,14039,54975,17512c56425,21084,57150,24755,57150,28575c57150,32345,56425,35967,54975,39539c53525,42962,51460,46087,48781,48766c46101,51445,43011,53529,39510,54967c36009,56406,32364,57150,28575,57150c24786,57150,21141,56455,17640,55017c14139,53529,11049,51445,8369,48766c5690,46087,3625,42962,2175,39489c725,35967,0,32345,0,28575c0,24755,725,21084,2175,17512c3625,14039,5690,10964,8369,8285c11049,5655,14139,3621,17640,2183c21141,695,24786,0,28575,0x">
                  <v:stroke weight="0pt" endcap="flat" joinstyle="miter" miterlimit="4" on="false" color="#000000" opacity="0"/>
                  <v:fill on="true" color="#333333"/>
                </v:shape>
                <w10:wrap type="square"/>
              </v:group>
            </w:pict>
          </mc:Fallback>
        </mc:AlternateContent>
      </w:r>
      <w:r>
        <w:t>инспираторная;</w:t>
      </w:r>
    </w:p>
    <w:p w:rsidR="008E3F15" w:rsidRDefault="005F449A">
      <w:pPr>
        <w:spacing w:after="179"/>
        <w:ind w:left="340" w:right="1738"/>
      </w:pPr>
      <w:r>
        <w:t xml:space="preserve">не облегчается сидя, если нет сопутствующей левожелудочковой СН; нет дистанционных хрипов, если нет бронхообструктивного заболевания, аускультативно возможны </w:t>
      </w:r>
      <w:r>
        <w:t>сухие хрипы; не участвуют в дыхании вспомогательные мышцы.</w:t>
      </w:r>
    </w:p>
    <w:p w:rsidR="008E3F15" w:rsidRDefault="005F449A">
      <w:pPr>
        <w:ind w:left="2" w:right="15"/>
      </w:pPr>
      <w:r>
        <w:t>В то же время более 40% пациентов c ЛЭ имеют нормальную оксигенацию крови (Rodger M. et al., 2000).</w:t>
      </w:r>
    </w:p>
    <w:p w:rsidR="008E3F15" w:rsidRDefault="005F449A">
      <w:pPr>
        <w:spacing w:after="179"/>
        <w:ind w:left="2" w:right="15"/>
      </w:pPr>
      <w:r>
        <w:t>Артериальная гипотония развивается с первых минут массивной ЛЭ и сопровождается резким повышением</w:t>
      </w:r>
      <w:r>
        <w:t xml:space="preserve"> центрального венозного давления (набухание шейных вен, сильная струя крови при пункции вен, одутловатость лица, острая гепатомегалия). Массивная ЛЭ с высоким риском смерти характеризуется шоком или артериальной гипотензией, определяемой как АДс &lt;90 мм рт.</w:t>
      </w:r>
      <w:r>
        <w:t>ст. или снижение на ≥40 мм рт.ст. в течение 15 мин и более. Боль в грудной клетке может иметь различный характер, в том числе:</w:t>
      </w:r>
    </w:p>
    <w:p w:rsidR="008E3F15" w:rsidRDefault="005F449A">
      <w:pPr>
        <w:ind w:left="340" w:right="261"/>
      </w:pPr>
      <w:r>
        <w:rPr>
          <w:rFonts w:ascii="Calibri" w:eastAsia="Calibri" w:hAnsi="Calibri" w:cs="Calibri"/>
          <w:noProof/>
          <w:color w:val="000000"/>
          <w:sz w:val="22"/>
        </w:rPr>
        <mc:AlternateContent>
          <mc:Choice Requires="wpg">
            <w:drawing>
              <wp:anchor distT="0" distB="0" distL="114300" distR="114300" simplePos="0" relativeHeight="251714560"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269668" name="Group 269668"/>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5671" name="Shape 5671"/>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5674" name="Shape 5674"/>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68" style="width:4.5pt;height:28.5pt;position:absolute;mso-position-horizontal-relative:text;mso-position-horizontal:absolute;margin-left:16.5pt;mso-position-vertical-relative:text;margin-top:2.74219pt;" coordsize="571,3619">
                <v:shape id="Shape 5671" style="position:absolute;width:571;height:571;left:0;top:0;" coordsize="57150,57150" path="m28575,0c32364,0,36009,695,39510,2133c43011,3572,46101,5655,48781,8334c51460,10964,53525,14089,54975,17562c56425,21084,57150,24755,57150,28575c57150,32345,56425,35967,54975,39489c53525,42962,51460,46087,48781,48766c46101,51445,43011,53479,39510,54918c36009,56356,32364,57100,28575,57150c24786,57100,21141,56356,17640,54918c14139,53479,11049,51445,8369,48766c5690,46087,3625,42962,2175,39489c725,35967,0,32345,0,28575c0,24755,725,21084,2175,17562c3625,14089,5690,10964,8369,8334c11049,5655,14139,3572,17640,2133c21141,695,24786,0,28575,0x">
                  <v:stroke weight="0pt" endcap="flat" joinstyle="miter" miterlimit="4" on="false" color="#000000" opacity="0"/>
                  <v:fill on="true" color="#333333"/>
                </v:shape>
                <v:shape id="Shape 5674" style="position:absolute;width:571;height:571;left:0;top:3048;" coordsize="57150,57150" path="m28575,0c32364,0,36009,695,39510,2133c43011,3522,46101,5606,48781,8285c51460,10964,53525,14089,54975,17562c56425,21084,57150,24755,57150,28575c57150,32345,56425,35967,54975,39489c53525,42962,51460,46087,48781,48766c46101,51445,43011,53479,39510,54918c36009,56356,32364,57100,28575,57150c24786,57100,21141,56356,17640,54918c14139,53479,11049,51445,8369,48766c5690,46087,3625,42962,2175,39489c725,35967,0,32345,0,28575c0,24755,725,21084,2175,17562c3625,14089,5690,10964,8369,8285c11049,5606,14139,3522,17640,2133c21141,695,24786,0,28575,0x">
                  <v:stroke weight="0pt" endcap="flat" joinstyle="miter" miterlimit="4" on="false" color="#000000" opacity="0"/>
                  <v:fill on="true" color="#333333"/>
                </v:shape>
                <w10:wrap type="square"/>
              </v:group>
            </w:pict>
          </mc:Fallback>
        </mc:AlternateContent>
      </w:r>
      <w:r>
        <w:t>ангинозоподобная: имеет неопределенный характер, локализуется за верхней или средней третью грудины, нитроглицерин может ухудшит</w:t>
      </w:r>
      <w:r>
        <w:t xml:space="preserve">ь состояние; плевральная: колющая, появляется и усиливается при вдохе, кашле или перемене положения тела, может сопровождаться шумом трения плевры и болезненностью при пальпации межреберий. Возможен инфаркт легкого, который развивается чаще на 2–7-е сутки </w:t>
      </w:r>
      <w:r>
        <w:t>заболевания при эмболии дистальных ветвей легочной артерии.</w:t>
      </w:r>
    </w:p>
    <w:p w:rsidR="008E3F15" w:rsidRDefault="005F449A">
      <w:pPr>
        <w:ind w:left="2" w:right="15"/>
      </w:pPr>
      <w:r>
        <w:t>Кашель появляется в первые сутки заболевания; вначале сухой, а затем со скудной слизистой мокротой. У 10–30% больных обычно на 5–7-е сутки заболевания мокрота окрашивается кровью.</w:t>
      </w:r>
    </w:p>
    <w:p w:rsidR="008E3F15" w:rsidRDefault="005F449A">
      <w:pPr>
        <w:ind w:left="2" w:right="15"/>
      </w:pPr>
      <w:r>
        <w:t>Кровохаркание об</w:t>
      </w:r>
      <w:r>
        <w:t>ычно связано с малыми дистальными эмболиями и альвеолярными геморрагиями, не переходит в кровотечение и не является противопоказанием для противотромботической терапии.</w:t>
      </w:r>
    </w:p>
    <w:p w:rsidR="008E3F15" w:rsidRDefault="005F449A">
      <w:pPr>
        <w:ind w:left="2" w:right="15"/>
      </w:pPr>
      <w:r>
        <w:t xml:space="preserve">Цианоз лица, верхней половины туловища почти всегда указывает на массивную ЛЭ. В то же </w:t>
      </w:r>
      <w:r>
        <w:t>время острый распространенный цианоз может быть вызван ИМ с острой СН.</w:t>
      </w:r>
    </w:p>
    <w:p w:rsidR="008E3F15" w:rsidRDefault="005F449A">
      <w:pPr>
        <w:spacing w:after="179"/>
        <w:ind w:left="2" w:right="15"/>
      </w:pPr>
      <w:r>
        <w:t xml:space="preserve">Клиническая картина ЛЭ во многом определяется уровнем окклюзии легочной артерии. </w:t>
      </w:r>
      <w:r>
        <w:rPr>
          <w:i/>
        </w:rPr>
        <w:t>Поражение легочного ствола или главных ветвей легочной артерии: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15584"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269608" name="Group 269608"/>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5699" name="Shape 5699"/>
                        <wps:cNvSpPr/>
                        <wps:spPr>
                          <a:xfrm>
                            <a:off x="0" y="0"/>
                            <a:ext cx="57150" cy="57150"/>
                          </a:xfrm>
                          <a:custGeom>
                            <a:avLst/>
                            <a:gdLst/>
                            <a:ahLst/>
                            <a:cxnLst/>
                            <a:rect l="0" t="0" r="0" b="0"/>
                            <a:pathLst>
                              <a:path w="57150" h="57150">
                                <a:moveTo>
                                  <a:pt x="28575" y="0"/>
                                </a:moveTo>
                                <a:cubicBezTo>
                                  <a:pt x="32364" y="0"/>
                                  <a:pt x="36009" y="695"/>
                                  <a:pt x="39510" y="2133"/>
                                </a:cubicBezTo>
                                <a:cubicBezTo>
                                  <a:pt x="43011" y="3621"/>
                                  <a:pt x="46101" y="5705"/>
                                  <a:pt x="48781" y="8384"/>
                                </a:cubicBezTo>
                                <a:cubicBezTo>
                                  <a:pt x="51460" y="11063"/>
                                  <a:pt x="53525" y="1413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139"/>
                                  <a:pt x="5690" y="11063"/>
                                  <a:pt x="8369" y="8384"/>
                                </a:cubicBezTo>
                                <a:cubicBezTo>
                                  <a:pt x="11049" y="5705"/>
                                  <a:pt x="14139" y="3621"/>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01" name="Shape 5701"/>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390"/>
                                </a:cubicBezTo>
                                <a:cubicBezTo>
                                  <a:pt x="725" y="35967"/>
                                  <a:pt x="0" y="32345"/>
                                  <a:pt x="0" y="28575"/>
                                </a:cubicBezTo>
                                <a:cubicBezTo>
                                  <a:pt x="0" y="24755"/>
                                  <a:pt x="725" y="21084"/>
                                  <a:pt x="2175" y="17562"/>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03" name="Shape 5703"/>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05" name="Shape 5705"/>
                        <wps:cNvSpPr/>
                        <wps:spPr>
                          <a:xfrm>
                            <a:off x="0" y="4572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07" name="Shape 5707"/>
                        <wps:cNvSpPr/>
                        <wps:spPr>
                          <a:xfrm>
                            <a:off x="0" y="6096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08" style="width:4.5pt;height:52.5pt;position:absolute;mso-position-horizontal-relative:text;mso-position-horizontal:absolute;margin-left:16.5pt;mso-position-vertical-relative:text;margin-top:2.74219pt;" coordsize="571,6667">
                <v:shape id="Shape 5699" style="position:absolute;width:571;height:571;left:0;top:0;" coordsize="57150,57150" path="m28575,0c32364,0,36009,695,39510,2133c43011,3621,46101,5705,48781,8384c51460,11063,53525,14139,54975,17611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611c3625,14139,5690,11063,8369,8384c11049,5705,14139,3621,17640,2133c21141,695,24786,0,28575,0x">
                  <v:stroke weight="0pt" endcap="flat" joinstyle="miter" miterlimit="10" on="false" color="#000000" opacity="0"/>
                  <v:fill on="true" color="#333333"/>
                </v:shape>
                <v:shape id="Shape 5701" style="position:absolute;width:571;height:571;left:0;top:1524;" coordsize="57150,57150" path="m28575,0c32364,0,36009,695,39510,2133c43011,3572,46101,5655,48781,8384c51460,11013,53525,14089,54975,17611c56425,21084,57150,24755,57150,28575c57150,32345,56425,35967,54975,39390c53525,42912,51460,45988,48781,48716c46101,51346,43011,53429,39510,54868c36009,56356,32364,57100,28575,57150c24786,57100,21141,56356,17640,54868c14139,53429,11049,51346,8369,48716c5690,45988,3625,42912,2175,39390c725,35967,0,32345,0,28575c0,24755,725,21084,2175,17562c3625,14089,5690,11013,8369,8384c11049,5655,14139,3572,17640,2133c21141,695,24786,0,28575,0x">
                  <v:stroke weight="0pt" endcap="flat" joinstyle="miter" miterlimit="10" on="false" color="#000000" opacity="0"/>
                  <v:fill on="true" color="#333333"/>
                </v:shape>
                <v:shape id="Shape 5703" style="position:absolute;width:571;height:571;left:0;top:3048;" coordsize="57150,57150" path="m28575,0c32364,0,36009,695,39510,2133c43011,3572,46101,5606,48781,8334c51460,10964,53525,1403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39,5690,10964,8369,8334c11049,5606,14139,3572,17640,2133c21141,695,24786,0,28575,0x">
                  <v:stroke weight="0pt" endcap="flat" joinstyle="miter" miterlimit="10" on="false" color="#000000" opacity="0"/>
                  <v:fill on="true" color="#333333"/>
                </v:shape>
                <v:shape id="Shape 5705" style="position:absolute;width:571;height:571;left:0;top:4572;" coordsize="57150,57150" path="m28575,0c32364,0,36009,695,39510,2183c43011,3621,46101,5655,48781,8334c51460,10964,53525,1403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39,5690,10964,8369,8334c11049,5655,14139,3621,17640,2183c21141,695,24786,0,28575,0x">
                  <v:stroke weight="0pt" endcap="flat" joinstyle="miter" miterlimit="10" on="false" color="#000000" opacity="0"/>
                  <v:fill on="true" color="#333333"/>
                </v:shape>
                <v:shape id="Shape 5707" style="position:absolute;width:571;height:571;left:0;top:6096;"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611c3625,14089,5690,10964,8369,8334c11049,5655,14139,3621,17640,2183c21141,695,24786,0,28575,0x">
                  <v:stroke weight="0pt" endcap="flat" joinstyle="miter" miterlimit="10" on="false" color="#000000" opacity="0"/>
                  <v:fill on="true" color="#333333"/>
                </v:shape>
                <w10:wrap type="square"/>
              </v:group>
            </w:pict>
          </mc:Fallback>
        </mc:AlternateContent>
      </w:r>
      <w:r>
        <w:t>заболевание протекает молниеносно;</w:t>
      </w:r>
    </w:p>
    <w:p w:rsidR="008E3F15" w:rsidRDefault="005F449A">
      <w:pPr>
        <w:spacing w:after="179"/>
        <w:ind w:left="340" w:right="2637"/>
      </w:pPr>
      <w:r>
        <w:t>проявляется внезапной остановкой кровообращения или шоком; цианоз верхней половины туловища; выраженная легочная гипертензия; часто заканчивается быстрой, иногда мгновенной смертью.</w:t>
      </w:r>
    </w:p>
    <w:p w:rsidR="008E3F15" w:rsidRDefault="005F449A">
      <w:pPr>
        <w:spacing w:after="133" w:line="259" w:lineRule="auto"/>
        <w:ind w:right="0"/>
      </w:pPr>
      <w:r>
        <w:rPr>
          <w:i/>
        </w:rPr>
        <w:t>Поражение долевых и сегментарных артерий:</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16608"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269609" name="Group 269609"/>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5710" name="Shape 5710"/>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285"/>
                                </a:cubicBezTo>
                                <a:cubicBezTo>
                                  <a:pt x="51460" y="10964"/>
                                  <a:pt x="53525" y="14039"/>
                                  <a:pt x="54975" y="17562"/>
                                </a:cubicBezTo>
                                <a:cubicBezTo>
                                  <a:pt x="56425" y="21084"/>
                                  <a:pt x="57150" y="24755"/>
                                  <a:pt x="57150" y="28575"/>
                                </a:cubicBezTo>
                                <a:cubicBezTo>
                                  <a:pt x="57150" y="32345"/>
                                  <a:pt x="56425" y="35967"/>
                                  <a:pt x="54975" y="395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39"/>
                                  <a:pt x="5690" y="10964"/>
                                  <a:pt x="8369" y="8285"/>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12" name="Shape 5712"/>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134"/>
                                  <a:pt x="57150" y="2480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805"/>
                                  <a:pt x="725" y="21134"/>
                                  <a:pt x="2175" y="17611"/>
                                </a:cubicBezTo>
                                <a:cubicBezTo>
                                  <a:pt x="3625" y="14089"/>
                                  <a:pt x="5690" y="11013"/>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14" name="Shape 5714"/>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09" style="width:4.5pt;height:28.5pt;position:absolute;mso-position-horizontal-relative:text;mso-position-horizontal:absolute;margin-left:16.5pt;mso-position-vertical-relative:text;margin-top:2.74219pt;" coordsize="571,3619">
                <v:shape id="Shape 5710" style="position:absolute;width:571;height:571;left:0;top:0;" coordsize="57150,57150" path="m28575,0c32364,0,36009,695,39510,2133c43011,3572,46101,5655,48781,8285c51460,10964,53525,14039,54975,17562c56425,21084,57150,24755,57150,28575c57150,32345,56425,35967,54975,39539c53525,42962,51460,46038,48781,48766c46101,51395,43011,53429,39510,54868c36009,56356,32364,57100,28575,57150c24786,57100,21141,56356,17640,54868c14139,53429,11049,51395,8369,48766c5690,46038,3625,42962,2175,39489c725,35967,0,32345,0,28575c0,24755,725,21084,2175,17562c3625,14039,5690,10964,8369,8285c11049,5655,14139,3572,17640,2133c21141,695,24786,0,28575,0x">
                  <v:stroke weight="0pt" endcap="flat" joinstyle="miter" miterlimit="10" on="false" color="#000000" opacity="0"/>
                  <v:fill on="true" color="#333333"/>
                </v:shape>
                <v:shape id="Shape 5712" style="position:absolute;width:571;height:571;left:0;top:1524;" coordsize="57150,57150" path="m28575,0c32364,0,36009,695,39510,2133c43011,3572,46101,5655,48781,8334c51460,11013,53525,14089,54975,17611c56425,21134,57150,24805,57150,28575c57150,32345,56425,35967,54975,39390c53525,42962,51460,46038,48781,48766c46101,51395,43011,53429,39510,54868c36009,56356,32364,57100,28575,57150c24786,57100,21141,56356,17640,54868c14139,53429,11049,51395,8369,48766c5690,46038,3625,42962,2175,39390c725,35967,0,32345,0,28575c0,24805,725,21134,2175,17611c3625,14089,5690,11013,8369,8334c11049,5655,14139,3572,17640,2133c21141,695,24786,0,28575,0x">
                  <v:stroke weight="0pt" endcap="flat" joinstyle="miter" miterlimit="10" on="false" color="#000000" opacity="0"/>
                  <v:fill on="true" color="#333333"/>
                </v:shape>
                <v:shape id="Shape 5714" style="position:absolute;width:571;height:571;left:0;top:3048;"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w10:wrap type="square"/>
              </v:group>
            </w:pict>
          </mc:Fallback>
        </mc:AlternateContent>
      </w:r>
      <w:r>
        <w:t>острая одышка;</w:t>
      </w:r>
    </w:p>
    <w:p w:rsidR="008E3F15" w:rsidRDefault="005F449A">
      <w:pPr>
        <w:spacing w:after="179"/>
        <w:ind w:left="340" w:right="5439"/>
      </w:pPr>
      <w:r>
        <w:t>умеренная легочн</w:t>
      </w:r>
      <w:r>
        <w:t>ая гипертензия; острое легочное сердце.</w:t>
      </w:r>
    </w:p>
    <w:p w:rsidR="008E3F15" w:rsidRDefault="005F449A">
      <w:pPr>
        <w:spacing w:after="133" w:line="259" w:lineRule="auto"/>
        <w:ind w:right="0"/>
      </w:pPr>
      <w:r>
        <w:rPr>
          <w:i/>
        </w:rPr>
        <w:t>Поражение мелких ветвей легочной артерии:</w:t>
      </w:r>
    </w:p>
    <w:p w:rsidR="008E3F15" w:rsidRDefault="005F449A">
      <w:pPr>
        <w:spacing w:after="179"/>
        <w:ind w:left="340" w:right="6219"/>
      </w:pPr>
      <w:r>
        <w:rPr>
          <w:rFonts w:ascii="Calibri" w:eastAsia="Calibri" w:hAnsi="Calibri" w:cs="Calibri"/>
          <w:noProof/>
          <w:color w:val="000000"/>
          <w:sz w:val="22"/>
        </w:rPr>
        <mc:AlternateContent>
          <mc:Choice Requires="wpg">
            <w:drawing>
              <wp:anchor distT="0" distB="0" distL="114300" distR="114300" simplePos="0" relativeHeight="251717632"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69610" name="Group 269610"/>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5717" name="Shape 5717"/>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16"/>
                                </a:cubicBezTo>
                                <a:cubicBezTo>
                                  <a:pt x="5690" y="45988"/>
                                  <a:pt x="3625" y="42912"/>
                                  <a:pt x="2175" y="39390"/>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19" name="Shape 5719"/>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21" name="Shape 5721"/>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00"/>
                                  <a:pt x="28575" y="57150"/>
                                </a:cubicBezTo>
                                <a:cubicBezTo>
                                  <a:pt x="24786" y="5710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23" name="Shape 5723"/>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10" style="width:4.5pt;height:40.5pt;position:absolute;mso-position-horizontal-relative:text;mso-position-horizontal:absolute;margin-left:16.5pt;mso-position-vertical-relative:text;margin-top:2.74219pt;" coordsize="571,5143">
                <v:shape id="Shape 5717" style="position:absolute;width:571;height:571;left:0;top:0;" coordsize="57150,57150" path="m28575,0c32364,0,36009,695,39510,2133c43011,3572,46101,5606,48781,8334c51460,10964,53525,14089,54975,17611c56425,21084,57150,24755,57150,28575c57150,32345,56425,35967,54975,39390c53525,42912,51460,45988,48781,48716c46101,51395,43011,53429,39510,54868c36009,56356,32364,57100,28575,57150c24786,57100,21141,56356,17640,54868c14139,53429,11049,51395,8369,48716c5690,45988,3625,42912,2175,39390c725,35967,0,32345,0,28575c0,24755,725,21084,2175,17611c3625,14089,5690,10964,8369,8334c11049,5606,14139,3572,17640,2133c21141,695,24786,0,28575,0x">
                  <v:stroke weight="0pt" endcap="flat" joinstyle="miter" miterlimit="10" on="false" color="#000000" opacity="0"/>
                  <v:fill on="true" color="#333333"/>
                </v:shape>
                <v:shape id="Shape 5719" style="position:absolute;width:571;height:571;left:0;top:1524;" coordsize="57150,57150" path="m28575,0c32364,0,36009,695,39510,2133c43011,3572,46101,5606,48781,8334c51460,10964,53525,14089,54975,1756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89,5690,10964,8369,8334c11049,5606,14139,3572,17640,2133c21141,695,24786,0,28575,0x">
                  <v:stroke weight="0pt" endcap="flat" joinstyle="miter" miterlimit="10" on="false" color="#000000" opacity="0"/>
                  <v:fill on="true" color="#333333"/>
                </v:shape>
                <v:shape id="Shape 5721" style="position:absolute;width:571;height:571;left:0;top:3048;" coordsize="57150,57150" path="m28575,0c32364,0,36009,695,39510,2133c43011,3572,46101,5606,48781,8334c51460,10964,53525,14089,54975,17562c56425,21084,57150,24755,57150,28575c57150,32345,56425,35967,54975,39489c53525,42962,51460,46038,48781,48766c46101,51395,43011,53479,39510,54967c36009,56406,32364,57100,28575,57150c24786,57100,21141,56406,17640,54967c14139,53479,11049,51395,8369,48766c5690,46038,3625,42962,2175,39489c725,35967,0,32345,0,28575c0,24755,725,21084,2175,17562c3625,14089,5690,10964,8369,8334c11049,5606,14139,3572,17640,2133c21141,695,24786,0,28575,0x">
                  <v:stroke weight="0pt" endcap="flat" joinstyle="miter" miterlimit="10" on="false" color="#000000" opacity="0"/>
                  <v:fill on="true" color="#333333"/>
                </v:shape>
                <v:shape id="Shape 5723" style="position:absolute;width:571;height:571;left:0;top:4572;" coordsize="57150,57150" path="m28575,0c32364,0,36009,695,39510,2133c43011,3572,46101,5655,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55,14139,3572,17640,2133c21141,695,24786,0,28575,0x">
                  <v:stroke weight="0pt" endcap="flat" joinstyle="miter" miterlimit="10" on="false" color="#000000" opacity="0"/>
                  <v:fill on="true" color="#333333"/>
                </v:shape>
                <w10:wrap type="square"/>
              </v:group>
            </w:pict>
          </mc:Fallback>
        </mc:AlternateContent>
      </w:r>
      <w:r>
        <w:t>легкая, преходящая одышка; повреждение (инфаркт) легкого; склонность к рецидивам; сложная диагностика.</w:t>
      </w:r>
    </w:p>
    <w:p w:rsidR="008E3F15" w:rsidRDefault="005F449A">
      <w:pPr>
        <w:ind w:left="2" w:right="15"/>
      </w:pPr>
      <w:r>
        <w:rPr>
          <w:i/>
        </w:rPr>
        <w:t>Тромбоз глубоких вен</w:t>
      </w:r>
      <w:r>
        <w:t xml:space="preserve"> в большинстве случаев (85%) протекает без каких-либо клинических проявлений и обычно диагностируется при ультразвуковом исследовании.</w:t>
      </w:r>
    </w:p>
    <w:p w:rsidR="008E3F15" w:rsidRDefault="005F449A">
      <w:pPr>
        <w:ind w:left="2" w:right="15"/>
      </w:pPr>
      <w:r>
        <w:t xml:space="preserve">Важно отметить, что в 36% при подозрении на тромбоз глубоких вен сонография не выявляет имеющиеся тромбы дистальных вен, </w:t>
      </w:r>
      <w:r>
        <w:t>а у бессимптомных пациентов ложноотрицательные результаты достигают 50% (Goodacre S. et al., 2005; Zhang Y. et al., 2019). В трети случаев тромбоза у пациентов с ЛЭ не находят тромбоза глубоких вен.</w:t>
      </w:r>
    </w:p>
    <w:p w:rsidR="008E3F15" w:rsidRDefault="005F449A">
      <w:pPr>
        <w:spacing w:after="165"/>
        <w:ind w:left="2" w:right="15"/>
      </w:pPr>
      <w:r>
        <w:t>В случае появления симптомов определяются следующие призн</w:t>
      </w:r>
      <w:r>
        <w:t>аки:</w:t>
      </w:r>
    </w:p>
    <w:p w:rsidR="008E3F15" w:rsidRDefault="005F449A">
      <w:pPr>
        <w:ind w:left="340" w:right="207"/>
      </w:pPr>
      <w:r>
        <w:rPr>
          <w:rFonts w:ascii="Calibri" w:eastAsia="Calibri" w:hAnsi="Calibri" w:cs="Calibri"/>
          <w:noProof/>
          <w:color w:val="000000"/>
          <w:sz w:val="22"/>
        </w:rPr>
        <mc:AlternateContent>
          <mc:Choice Requires="wpg">
            <w:drawing>
              <wp:anchor distT="0" distB="0" distL="114300" distR="114300" simplePos="0" relativeHeight="251718656" behindDoc="0" locked="0" layoutInCell="1" allowOverlap="1">
                <wp:simplePos x="0" y="0"/>
                <wp:positionH relativeFrom="column">
                  <wp:posOffset>209550</wp:posOffset>
                </wp:positionH>
                <wp:positionV relativeFrom="paragraph">
                  <wp:posOffset>34826</wp:posOffset>
                </wp:positionV>
                <wp:extent cx="57150" cy="1276350"/>
                <wp:effectExtent l="0" t="0" r="0" b="0"/>
                <wp:wrapSquare wrapText="bothSides"/>
                <wp:docPr id="269612" name="Group 269612"/>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5733" name="Shape 5733"/>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134"/>
                                  <a:pt x="57150" y="24805"/>
                                  <a:pt x="57150" y="28575"/>
                                </a:cubicBezTo>
                                <a:cubicBezTo>
                                  <a:pt x="57150" y="32296"/>
                                  <a:pt x="56425" y="3591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380"/>
                                  <a:pt x="11049" y="51346"/>
                                  <a:pt x="8369" y="48716"/>
                                </a:cubicBezTo>
                                <a:cubicBezTo>
                                  <a:pt x="5690" y="45988"/>
                                  <a:pt x="3625" y="42912"/>
                                  <a:pt x="2175" y="39439"/>
                                </a:cubicBezTo>
                                <a:cubicBezTo>
                                  <a:pt x="725" y="35917"/>
                                  <a:pt x="0" y="32296"/>
                                  <a:pt x="0" y="28575"/>
                                </a:cubicBezTo>
                                <a:cubicBezTo>
                                  <a:pt x="0" y="24805"/>
                                  <a:pt x="725" y="21134"/>
                                  <a:pt x="2175" y="17611"/>
                                </a:cubicBezTo>
                                <a:cubicBezTo>
                                  <a:pt x="3625" y="14089"/>
                                  <a:pt x="5690" y="11013"/>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36" name="Shape 5736"/>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38" name="Shape 5738"/>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40" name="Shape 5740"/>
                        <wps:cNvSpPr/>
                        <wps:spPr>
                          <a:xfrm>
                            <a:off x="0" y="6096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3011"/>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3011"/>
                                  <a:pt x="2175" y="3948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42" name="Shape 5742"/>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44" name="Shape 5744"/>
                        <wps:cNvSpPr/>
                        <wps:spPr>
                          <a:xfrm>
                            <a:off x="0" y="9144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611"/>
                                </a:cubicBezTo>
                                <a:cubicBezTo>
                                  <a:pt x="3625" y="1408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46" name="Shape 5746"/>
                        <wps:cNvSpPr/>
                        <wps:spPr>
                          <a:xfrm>
                            <a:off x="0" y="10668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48" name="Shape 5748"/>
                        <wps:cNvSpPr/>
                        <wps:spPr>
                          <a:xfrm>
                            <a:off x="0" y="1219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67"/>
                                </a:cubicBezTo>
                                <a:cubicBezTo>
                                  <a:pt x="36009" y="56406"/>
                                  <a:pt x="32364" y="57100"/>
                                  <a:pt x="28575" y="57150"/>
                                </a:cubicBezTo>
                                <a:cubicBezTo>
                                  <a:pt x="24786" y="5710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12" style="width:4.5pt;height:100.5pt;position:absolute;mso-position-horizontal-relative:text;mso-position-horizontal:absolute;margin-left:16.5pt;mso-position-vertical-relative:text;margin-top:2.74219pt;" coordsize="571,12763">
                <v:shape id="Shape 5733" style="position:absolute;width:571;height:571;left:0;top:0;" coordsize="57150,57150" path="m28575,0c32364,0,36009,695,39510,2133c43011,3572,46101,5655,48781,8334c51460,11013,53525,14089,54975,17611c56425,21134,57150,24805,57150,28575c57150,32296,56425,35917,54975,39390c53525,42912,51460,45988,48781,48716c46101,51346,43011,53429,39510,54868c36009,56356,32364,57100,28575,57150c24786,57100,21141,56356,17640,54868c14139,53380,11049,51346,8369,48716c5690,45988,3625,42912,2175,39439c725,35917,0,32296,0,28575c0,24805,725,21134,2175,17611c3625,14089,5690,11013,8369,8334c11049,5655,14139,3572,17640,2133c21141,695,24786,0,28575,0x">
                  <v:stroke weight="0pt" endcap="flat" joinstyle="miter" miterlimit="10" on="false" color="#000000" opacity="0"/>
                  <v:fill on="true" color="#333333"/>
                </v:shape>
                <v:shape id="Shape 5736" style="position:absolute;width:571;height:571;left:0;top:3048;"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v:shape id="Shape 5738" style="position:absolute;width:571;height:571;left:0;top:4572;" coordsize="57150,57150" path="m28575,0c32364,0,36009,695,39510,2133c43011,3572,46101,5606,48781,8334c51460,11013,53525,14089,54975,17611c56425,21084,57150,24755,57150,28575c57150,32345,56425,35967,54975,39489c53525,42962,51460,46038,48781,48766c46101,51395,43011,53479,39510,54918c36009,56356,32364,57100,28575,57150c24786,57100,21141,56406,17640,54967c14139,5347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v:shape id="Shape 5740" style="position:absolute;width:571;height:571;left:0;top:6096;" coordsize="57150,57150" path="m28575,0c32364,0,36009,695,39510,2133c43011,3572,46101,5606,48781,8334c51460,10964,53525,14089,54975,17611c56425,21084,57150,24755,57150,28575c57150,32345,56425,35967,54975,39489c53525,43011,51460,46087,48781,48766c46101,51445,43011,53529,39510,54967c36009,56406,32364,57100,28575,57150c24786,57100,21141,56406,17640,54967c14139,53529,11049,51445,8369,48766c5690,46087,3625,43011,2175,39489c725,35967,0,32345,0,28575c0,24755,725,21084,2175,17611c3625,14089,5690,10964,8369,8334c11049,5606,14139,3572,17640,2133c21141,695,24786,0,28575,0x">
                  <v:stroke weight="0pt" endcap="flat" joinstyle="miter" miterlimit="10" on="false" color="#000000" opacity="0"/>
                  <v:fill on="true" color="#333333"/>
                </v:shape>
                <v:shape id="Shape 5742" style="position:absolute;width:571;height:571;left:0;top:7620;" coordsize="57150,57150" path="m28575,0c32364,0,36009,695,39510,2133c43011,3572,46101,5606,48781,8334c51460,10964,53525,14089,54975,17611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611c3625,14089,5690,10964,8369,8334c11049,5606,14139,3572,17640,2133c21141,695,24786,0,28575,0x">
                  <v:stroke weight="0pt" endcap="flat" joinstyle="miter" miterlimit="10" on="false" color="#000000" opacity="0"/>
                  <v:fill on="true" color="#333333"/>
                </v:shape>
                <v:shape id="Shape 5744" style="position:absolute;width:571;height:571;left:0;top:9144;" coordsize="57150,57150" path="m28575,0c32364,0,36009,695,39510,2133c43011,3572,46101,5606,48781,8285c51460,10964,53525,14039,54975,17562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611c3625,14089,5690,10964,8369,8285c11049,5606,14139,3572,17640,2133c21141,695,24786,0,28575,0x">
                  <v:stroke weight="0pt" endcap="flat" joinstyle="miter" miterlimit="10" on="false" color="#000000" opacity="0"/>
                  <v:fill on="true" color="#333333"/>
                </v:shape>
                <v:shape id="Shape 5746" style="position:absolute;width:571;height:571;left:0;top:10668;" coordsize="57150,57150" path="m28575,0c32364,0,36009,695,39510,2133c43011,3572,46101,5606,48781,8285c51460,10964,53525,14039,54975,1751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39,5690,10964,8369,8285c11049,5606,14139,3572,17640,2133c21141,695,24786,0,28575,0x">
                  <v:stroke weight="0pt" endcap="flat" joinstyle="miter" miterlimit="10" on="false" color="#000000" opacity="0"/>
                  <v:fill on="true" color="#333333"/>
                </v:shape>
                <v:shape id="Shape 5748" style="position:absolute;width:571;height:571;left:0;top:12192;" coordsize="57150,57150" path="m28575,0c32364,0,36009,695,39510,2133c43011,3572,46101,5606,48781,8334c51460,10964,53525,14089,54975,17562c56425,21084,57150,24755,57150,28575c57150,32345,56425,35967,54975,39489c53525,42962,51460,46038,48781,48766c46101,51395,43011,53479,39510,54967c36009,56406,32364,57100,28575,57150c24786,57100,21141,56406,17640,54967c14139,53479,11049,51395,8369,48766c5690,46038,3625,42962,2175,39489c725,35967,0,32345,0,28575c0,24755,725,21084,2175,17562c3625,14089,5690,10964,8369,8334c11049,5606,14139,3572,17640,2133c21141,695,24786,0,28575,0x">
                  <v:stroke weight="0pt" endcap="flat" joinstyle="miter" miterlimit="10" on="false" color="#000000" opacity="0"/>
                  <v:fill on="true" color="#333333"/>
                </v:shape>
                <w10:wrap type="square"/>
              </v:group>
            </w:pict>
          </mc:Fallback>
        </mc:AlternateContent>
      </w:r>
      <w:r>
        <w:t>одностороннее/асимметричное припухание голеней и стоп (разница в отеке икр &gt;3 см на уровне 10 см ниже tibial tuberosity); распирающая боль/напряжение в ногах; тепло в ногах;</w:t>
      </w:r>
    </w:p>
    <w:p w:rsidR="008E3F15" w:rsidRDefault="005F449A">
      <w:pPr>
        <w:ind w:left="340" w:right="5496"/>
      </w:pPr>
      <w:r>
        <w:t>синюшный или красноватый цвет кожи; усиление венозного рисунка; боль при пал</w:t>
      </w:r>
      <w:r>
        <w:t>ьпации по ходу вен;</w:t>
      </w:r>
    </w:p>
    <w:p w:rsidR="008E3F15" w:rsidRDefault="005F449A">
      <w:pPr>
        <w:spacing w:after="359"/>
        <w:ind w:left="340" w:right="1443"/>
      </w:pPr>
      <w:r>
        <w:t>боль в икроножных мышцах при сгибании стопы (симптом Хоманса); сжатие голени манжеткой болезненно при давлении ≤80 мм рт.ст. (симптом Левенберга).</w:t>
      </w:r>
    </w:p>
    <w:p w:rsidR="008E3F15" w:rsidRDefault="005F449A">
      <w:pPr>
        <w:pStyle w:val="Heading1"/>
        <w:ind w:left="2"/>
      </w:pPr>
      <w:r>
        <w:t>Часть I. Сердечно-сосудистые болезни</w:t>
      </w:r>
    </w:p>
    <w:p w:rsidR="008E3F15" w:rsidRDefault="005F449A">
      <w:pPr>
        <w:ind w:left="2" w:right="15"/>
      </w:pPr>
      <w:r>
        <w:t>Тромбоз глубоких вен может начаться с образования тр</w:t>
      </w:r>
      <w:r>
        <w:t>омба в подкожных венах с переходом через перфоранты в глубокую венозную систему нижних конечностей.</w:t>
      </w:r>
    </w:p>
    <w:p w:rsidR="008E3F15" w:rsidRDefault="005F449A">
      <w:pPr>
        <w:ind w:left="2" w:right="15"/>
      </w:pPr>
      <w:r>
        <w:t>Оценить наличие тромбоза глубоких вен, вероятность и прогноз ЛЭ можно с помощью специальных шкал.</w:t>
      </w:r>
    </w:p>
    <w:p w:rsidR="008E3F15" w:rsidRDefault="005F449A">
      <w:pPr>
        <w:spacing w:after="179"/>
        <w:ind w:left="2" w:right="1248"/>
      </w:pPr>
      <w:r>
        <w:rPr>
          <w:i/>
        </w:rPr>
        <w:t>ЭКГ.</w:t>
      </w:r>
      <w:r>
        <w:t xml:space="preserve"> На ЭКГ в 50% случаев выявляют признаки перегрузки пра</w:t>
      </w:r>
      <w:r>
        <w:t>вых отделов сердца и гипоксемии (</w:t>
      </w:r>
      <w:r>
        <w:rPr>
          <w:b/>
        </w:rPr>
        <w:t>рис. 3.1</w:t>
      </w:r>
      <w:r>
        <w:t>):</w:t>
      </w:r>
    </w:p>
    <w:p w:rsidR="008E3F15" w:rsidRDefault="005F449A">
      <w:pPr>
        <w:ind w:left="340" w:right="839"/>
      </w:pPr>
      <w:r>
        <w:rPr>
          <w:rFonts w:ascii="Calibri" w:eastAsia="Calibri" w:hAnsi="Calibri" w:cs="Calibri"/>
          <w:noProof/>
          <w:color w:val="000000"/>
          <w:sz w:val="22"/>
        </w:rPr>
        <mc:AlternateContent>
          <mc:Choice Requires="wpg">
            <w:drawing>
              <wp:anchor distT="0" distB="0" distL="114300" distR="114300" simplePos="0" relativeHeight="251719680" behindDoc="0" locked="0" layoutInCell="1" allowOverlap="1">
                <wp:simplePos x="0" y="0"/>
                <wp:positionH relativeFrom="column">
                  <wp:posOffset>209550</wp:posOffset>
                </wp:positionH>
                <wp:positionV relativeFrom="paragraph">
                  <wp:posOffset>34827</wp:posOffset>
                </wp:positionV>
                <wp:extent cx="57150" cy="542925"/>
                <wp:effectExtent l="0" t="0" r="0" b="0"/>
                <wp:wrapSquare wrapText="bothSides"/>
                <wp:docPr id="269618" name="Group 269618"/>
                <wp:cNvGraphicFramePr/>
                <a:graphic xmlns:a="http://schemas.openxmlformats.org/drawingml/2006/main">
                  <a:graphicData uri="http://schemas.microsoft.com/office/word/2010/wordprocessingGroup">
                    <wpg:wgp>
                      <wpg:cNvGrpSpPr/>
                      <wpg:grpSpPr>
                        <a:xfrm>
                          <a:off x="0" y="0"/>
                          <a:ext cx="57150" cy="542925"/>
                          <a:chOff x="0" y="0"/>
                          <a:chExt cx="57150" cy="542925"/>
                        </a:xfrm>
                      </wpg:grpSpPr>
                      <wps:wsp>
                        <wps:cNvPr id="5761" name="Shape 5761"/>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73" name="Shape 5773"/>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77" name="Shape 5777"/>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787" name="Shape 5787"/>
                        <wps:cNvSpPr/>
                        <wps:spPr>
                          <a:xfrm>
                            <a:off x="0" y="485775"/>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9618" style="width:4.5pt;height:42.75pt;position:absolute;mso-position-horizontal-relative:text;mso-position-horizontal:absolute;margin-left:16.5pt;mso-position-vertical-relative:text;margin-top:2.74225pt;" coordsize="571,5429">
                <v:shape id="Shape 5761" style="position:absolute;width:571;height:571;left:0;top:0;"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v:shape id="Shape 5773" style="position:absolute;width:571;height:571;left:0;top:1524;" coordsize="57150,57150" path="m28575,0c32364,0,36009,695,39510,2133c43011,3572,46101,5606,48781,8334c51460,11013,53525,14089,54975,17611c56425,21084,57150,24755,57150,28575c57150,32345,56425,35967,54975,39489c53525,42962,51460,46038,48781,48766c46101,51395,43011,53479,39510,54918c36009,56356,32364,57100,28575,57150c24786,57100,21141,56406,17640,54967c14139,5347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v:shape id="Shape 5777" style="position:absolute;width:571;height:571;left:0;top:3048;" coordsize="57150,57150" path="m28575,0c32364,0,36009,695,39510,2133c43011,3572,46101,5606,48781,8334c51460,10964,53525,14089,54975,17611c56425,21084,57150,24755,57150,28575c57150,32345,56425,35967,54975,39489c53525,42962,51460,46038,48781,48766c46101,51395,43011,53479,39510,54918c36009,56356,32364,57100,28575,57150c24786,57100,21141,56406,17640,54967c14139,53479,11049,51395,8369,48766c5690,46038,3625,42912,2175,39439c725,35967,0,32345,0,28575c0,24755,725,21084,2175,17611c3625,14089,5690,10964,8369,8334c11049,5606,14139,3572,17640,2133c21141,695,24786,0,28575,0x">
                  <v:stroke weight="0pt" endcap="flat" joinstyle="miter" miterlimit="10" on="false" color="#000000" opacity="0"/>
                  <v:fill on="true" color="#333333"/>
                </v:shape>
                <v:shape id="Shape 5787" style="position:absolute;width:571;height:571;left:0;top:4857;" coordsize="57150,57150" path="m28575,0c32364,0,36009,695,39510,2133c43011,3572,46101,5606,48781,8334c51460,10964,53525,14089,54975,17562c56425,21084,57150,24755,57150,28575c57150,32345,56425,35967,54975,39439c53525,42962,51460,46087,48781,48766c46101,51395,43011,53479,39510,54918c36009,56356,32364,57100,28575,57150c24786,57100,21141,56356,17640,54918c14139,53479,11049,51395,8369,48766c5690,46087,3625,42962,2175,39439c725,35967,0,32345,0,28575c0,24755,725,21084,2175,17562c3625,14089,5690,10964,8369,8334c11049,5606,14139,3572,17640,2133c21141,695,24786,0,28575,0x">
                  <v:stroke weight="0pt" endcap="flat" joinstyle="miter" miterlimit="10" on="false" color="#000000" opacity="0"/>
                  <v:fill on="true" color="#333333"/>
                </v:shape>
                <w10:wrap type="square"/>
              </v:group>
            </w:pict>
          </mc:Fallback>
        </mc:AlternateContent>
      </w:r>
      <w:r>
        <w:t xml:space="preserve">зубец </w:t>
      </w:r>
      <w:r>
        <w:rPr>
          <w:i/>
        </w:rPr>
        <w:t>Q</w:t>
      </w:r>
      <w:r>
        <w:t xml:space="preserve">III при сохранении или увеличении </w:t>
      </w:r>
      <w:r>
        <w:rPr>
          <w:i/>
        </w:rPr>
        <w:t>R</w:t>
      </w:r>
      <w:r>
        <w:t xml:space="preserve">III, глубокий зубец </w:t>
      </w:r>
      <w:r>
        <w:rPr>
          <w:i/>
        </w:rPr>
        <w:t>S</w:t>
      </w:r>
      <w:r>
        <w:t xml:space="preserve">I (синдром </w:t>
      </w:r>
      <w:r>
        <w:rPr>
          <w:i/>
        </w:rPr>
        <w:t>Q</w:t>
      </w:r>
      <w:r>
        <w:t>III</w:t>
      </w:r>
      <w:r>
        <w:rPr>
          <w:i/>
        </w:rPr>
        <w:t>S</w:t>
      </w:r>
      <w:r>
        <w:t xml:space="preserve">I); высокий заостренный зубец </w:t>
      </w:r>
      <w:r>
        <w:rPr>
          <w:i/>
        </w:rPr>
        <w:t>Р</w:t>
      </w:r>
      <w:r>
        <w:t xml:space="preserve">II; высокие зубцы </w:t>
      </w:r>
      <w:r>
        <w:rPr>
          <w:i/>
        </w:rPr>
        <w:t>R</w:t>
      </w:r>
      <w:r>
        <w:t xml:space="preserve"> в V</w:t>
      </w:r>
      <w:r>
        <w:rPr>
          <w:sz w:val="31"/>
          <w:vertAlign w:val="subscript"/>
        </w:rPr>
        <w:t>1</w:t>
      </w:r>
      <w:r>
        <w:rPr>
          <w:sz w:val="20"/>
        </w:rPr>
        <w:t xml:space="preserve">–2 </w:t>
      </w:r>
      <w:r>
        <w:t xml:space="preserve">и глубокие </w:t>
      </w:r>
      <w:r>
        <w:rPr>
          <w:i/>
        </w:rPr>
        <w:t>S</w:t>
      </w:r>
      <w:r>
        <w:t xml:space="preserve"> в V</w:t>
      </w:r>
      <w:r>
        <w:rPr>
          <w:sz w:val="31"/>
          <w:vertAlign w:val="subscript"/>
        </w:rPr>
        <w:t>5</w:t>
      </w:r>
      <w:r>
        <w:rPr>
          <w:sz w:val="20"/>
        </w:rPr>
        <w:t>–6</w:t>
      </w:r>
      <w:r>
        <w:t xml:space="preserve">; </w:t>
      </w:r>
      <w:r>
        <w:rPr>
          <w:i/>
        </w:rPr>
        <w:t>QR</w:t>
      </w:r>
      <w:r>
        <w:t xml:space="preserve"> или </w:t>
      </w:r>
      <w:r>
        <w:rPr>
          <w:i/>
        </w:rPr>
        <w:t>qR</w:t>
      </w:r>
      <w:r>
        <w:t xml:space="preserve"> в V</w:t>
      </w:r>
      <w:r>
        <w:rPr>
          <w:sz w:val="31"/>
          <w:vertAlign w:val="subscript"/>
        </w:rPr>
        <w:t>1</w:t>
      </w:r>
      <w:r>
        <w:t>;</w:t>
      </w:r>
    </w:p>
    <w:p w:rsidR="008E3F15" w:rsidRDefault="005F449A">
      <w:pPr>
        <w:spacing w:after="65" w:line="259" w:lineRule="auto"/>
        <w:ind w:left="0" w:right="0" w:firstLine="0"/>
      </w:pPr>
      <w:r>
        <w:rPr>
          <w:rFonts w:ascii="Calibri" w:eastAsia="Calibri" w:hAnsi="Calibri" w:cs="Calibri"/>
          <w:noProof/>
          <w:color w:val="000000"/>
          <w:sz w:val="22"/>
        </w:rPr>
        <mc:AlternateContent>
          <mc:Choice Requires="wpg">
            <w:drawing>
              <wp:inline distT="0" distB="0" distL="0" distR="0">
                <wp:extent cx="5057775" cy="2997100"/>
                <wp:effectExtent l="0" t="0" r="0" b="0"/>
                <wp:docPr id="267857" name="Group 267857"/>
                <wp:cNvGraphicFramePr/>
                <a:graphic xmlns:a="http://schemas.openxmlformats.org/drawingml/2006/main">
                  <a:graphicData uri="http://schemas.microsoft.com/office/word/2010/wordprocessingGroup">
                    <wpg:wgp>
                      <wpg:cNvGrpSpPr/>
                      <wpg:grpSpPr>
                        <a:xfrm>
                          <a:off x="0" y="0"/>
                          <a:ext cx="5057775" cy="2997100"/>
                          <a:chOff x="0" y="0"/>
                          <a:chExt cx="5057775" cy="2997100"/>
                        </a:xfrm>
                      </wpg:grpSpPr>
                      <wps:wsp>
                        <wps:cNvPr id="5807" name="Shape 5807"/>
                        <wps:cNvSpPr/>
                        <wps:spPr>
                          <a:xfrm>
                            <a:off x="209550" y="34826"/>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39"/>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439"/>
                                </a:cubicBezTo>
                                <a:cubicBezTo>
                                  <a:pt x="725" y="35967"/>
                                  <a:pt x="0" y="32345"/>
                                  <a:pt x="0" y="28575"/>
                                </a:cubicBezTo>
                                <a:cubicBezTo>
                                  <a:pt x="0" y="24755"/>
                                  <a:pt x="725" y="21084"/>
                                  <a:pt x="2175" y="1761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08" name="Rectangle 5808"/>
                        <wps:cNvSpPr/>
                        <wps:spPr>
                          <a:xfrm>
                            <a:off x="381000" y="0"/>
                            <a:ext cx="770190" cy="198469"/>
                          </a:xfrm>
                          <a:prstGeom prst="rect">
                            <a:avLst/>
                          </a:prstGeom>
                          <a:ln>
                            <a:noFill/>
                          </a:ln>
                        </wps:spPr>
                        <wps:txbx>
                          <w:txbxContent>
                            <w:p w:rsidR="008E3F15" w:rsidRDefault="005F449A">
                              <w:pPr>
                                <w:spacing w:after="160" w:line="259" w:lineRule="auto"/>
                                <w:ind w:left="0" w:right="0" w:firstLine="0"/>
                              </w:pPr>
                              <w:r>
                                <w:t xml:space="preserve">подъем </w:t>
                              </w:r>
                            </w:p>
                          </w:txbxContent>
                        </wps:txbx>
                        <wps:bodyPr horzOverflow="overflow" vert="horz" lIns="0" tIns="0" rIns="0" bIns="0" rtlCol="0">
                          <a:noAutofit/>
                        </wps:bodyPr>
                      </wps:wsp>
                      <wps:wsp>
                        <wps:cNvPr id="5809" name="Rectangle 5809"/>
                        <wps:cNvSpPr/>
                        <wps:spPr>
                          <a:xfrm>
                            <a:off x="960090" y="0"/>
                            <a:ext cx="207344" cy="198469"/>
                          </a:xfrm>
                          <a:prstGeom prst="rect">
                            <a:avLst/>
                          </a:prstGeom>
                          <a:ln>
                            <a:noFill/>
                          </a:ln>
                        </wps:spPr>
                        <wps:txbx>
                          <w:txbxContent>
                            <w:p w:rsidR="008E3F15" w:rsidRDefault="005F449A">
                              <w:pPr>
                                <w:spacing w:after="160" w:line="259" w:lineRule="auto"/>
                                <w:ind w:left="0" w:right="0" w:firstLine="0"/>
                              </w:pPr>
                              <w:r>
                                <w:rPr>
                                  <w:i/>
                                </w:rPr>
                                <w:t>ST</w:t>
                              </w:r>
                            </w:p>
                          </w:txbxContent>
                        </wps:txbx>
                        <wps:bodyPr horzOverflow="overflow" vert="horz" lIns="0" tIns="0" rIns="0" bIns="0" rtlCol="0">
                          <a:noAutofit/>
                        </wps:bodyPr>
                      </wps:wsp>
                      <wps:wsp>
                        <wps:cNvPr id="5810" name="Rectangle 5810"/>
                        <wps:cNvSpPr/>
                        <wps:spPr>
                          <a:xfrm>
                            <a:off x="1116062" y="0"/>
                            <a:ext cx="1033056" cy="198469"/>
                          </a:xfrm>
                          <a:prstGeom prst="rect">
                            <a:avLst/>
                          </a:prstGeom>
                          <a:ln>
                            <a:noFill/>
                          </a:ln>
                        </wps:spPr>
                        <wps:txbx>
                          <w:txbxContent>
                            <w:p w:rsidR="008E3F15" w:rsidRDefault="005F449A">
                              <w:pPr>
                                <w:spacing w:after="160" w:line="259" w:lineRule="auto"/>
                                <w:ind w:left="0" w:right="0" w:firstLine="0"/>
                              </w:pPr>
                              <w:r>
                                <w:t xml:space="preserve"> в III, aVF, V</w:t>
                              </w:r>
                            </w:p>
                          </w:txbxContent>
                        </wps:txbx>
                        <wps:bodyPr horzOverflow="overflow" vert="horz" lIns="0" tIns="0" rIns="0" bIns="0" rtlCol="0">
                          <a:noAutofit/>
                        </wps:bodyPr>
                      </wps:wsp>
                      <wps:wsp>
                        <wps:cNvPr id="267585" name="Rectangle 267585"/>
                        <wps:cNvSpPr/>
                        <wps:spPr>
                          <a:xfrm>
                            <a:off x="1892796" y="58451"/>
                            <a:ext cx="91030" cy="165322"/>
                          </a:xfrm>
                          <a:prstGeom prst="rect">
                            <a:avLst/>
                          </a:prstGeom>
                          <a:ln>
                            <a:noFill/>
                          </a:ln>
                        </wps:spPr>
                        <wps:txbx>
                          <w:txbxContent>
                            <w:p w:rsidR="008E3F15" w:rsidRDefault="005F449A">
                              <w:pPr>
                                <w:spacing w:after="160" w:line="259" w:lineRule="auto"/>
                                <w:ind w:left="0" w:right="0" w:firstLine="0"/>
                              </w:pPr>
                              <w:r>
                                <w:rPr>
                                  <w:sz w:val="20"/>
                                </w:rPr>
                                <w:t>1</w:t>
                              </w:r>
                            </w:p>
                          </w:txbxContent>
                        </wps:txbx>
                        <wps:bodyPr horzOverflow="overflow" vert="horz" lIns="0" tIns="0" rIns="0" bIns="0" rtlCol="0">
                          <a:noAutofit/>
                        </wps:bodyPr>
                      </wps:wsp>
                      <wps:wsp>
                        <wps:cNvPr id="267587" name="Rectangle 267587"/>
                        <wps:cNvSpPr/>
                        <wps:spPr>
                          <a:xfrm>
                            <a:off x="1961240" y="58451"/>
                            <a:ext cx="84434" cy="165322"/>
                          </a:xfrm>
                          <a:prstGeom prst="rect">
                            <a:avLst/>
                          </a:prstGeom>
                          <a:ln>
                            <a:noFill/>
                          </a:ln>
                        </wps:spPr>
                        <wps:txbx>
                          <w:txbxContent>
                            <w:p w:rsidR="008E3F15" w:rsidRDefault="005F449A">
                              <w:pPr>
                                <w:spacing w:after="160" w:line="259" w:lineRule="auto"/>
                                <w:ind w:left="0" w:right="0" w:firstLine="0"/>
                              </w:pPr>
                              <w:r>
                                <w:rPr>
                                  <w:sz w:val="20"/>
                                </w:rPr>
                                <w:t>–</w:t>
                              </w:r>
                            </w:p>
                          </w:txbxContent>
                        </wps:txbx>
                        <wps:bodyPr horzOverflow="overflow" vert="horz" lIns="0" tIns="0" rIns="0" bIns="0" rtlCol="0">
                          <a:noAutofit/>
                        </wps:bodyPr>
                      </wps:wsp>
                      <wps:wsp>
                        <wps:cNvPr id="267586" name="Rectangle 267586"/>
                        <wps:cNvSpPr/>
                        <wps:spPr>
                          <a:xfrm>
                            <a:off x="2024724" y="58451"/>
                            <a:ext cx="91030" cy="165322"/>
                          </a:xfrm>
                          <a:prstGeom prst="rect">
                            <a:avLst/>
                          </a:prstGeom>
                          <a:ln>
                            <a:noFill/>
                          </a:ln>
                        </wps:spPr>
                        <wps:txbx>
                          <w:txbxContent>
                            <w:p w:rsidR="008E3F15" w:rsidRDefault="005F449A">
                              <w:pPr>
                                <w:spacing w:after="160" w:line="259" w:lineRule="auto"/>
                                <w:ind w:left="0" w:right="0" w:firstLine="0"/>
                              </w:pPr>
                              <w:r>
                                <w:rPr>
                                  <w:sz w:val="20"/>
                                </w:rPr>
                                <w:t>3</w:t>
                              </w:r>
                            </w:p>
                          </w:txbxContent>
                        </wps:txbx>
                        <wps:bodyPr horzOverflow="overflow" vert="horz" lIns="0" tIns="0" rIns="0" bIns="0" rtlCol="0">
                          <a:noAutofit/>
                        </wps:bodyPr>
                      </wps:wsp>
                      <wps:wsp>
                        <wps:cNvPr id="5812" name="Rectangle 5812"/>
                        <wps:cNvSpPr/>
                        <wps:spPr>
                          <a:xfrm>
                            <a:off x="2093267" y="0"/>
                            <a:ext cx="43943" cy="198469"/>
                          </a:xfrm>
                          <a:prstGeom prst="rect">
                            <a:avLst/>
                          </a:prstGeom>
                          <a:ln>
                            <a:noFill/>
                          </a:ln>
                        </wps:spPr>
                        <wps:txbx>
                          <w:txbxContent>
                            <w:p w:rsidR="008E3F15" w:rsidRDefault="005F449A">
                              <w:pPr>
                                <w:spacing w:after="160" w:line="259" w:lineRule="auto"/>
                                <w:ind w:left="0" w:right="0" w:firstLine="0"/>
                              </w:pPr>
                              <w:r>
                                <w:t>;</w:t>
                              </w:r>
                            </w:p>
                          </w:txbxContent>
                        </wps:txbx>
                        <wps:bodyPr horzOverflow="overflow" vert="horz" lIns="0" tIns="0" rIns="0" bIns="0" rtlCol="0">
                          <a:noAutofit/>
                        </wps:bodyPr>
                      </wps:wsp>
                      <wps:wsp>
                        <wps:cNvPr id="5813" name="Shape 5813"/>
                        <wps:cNvSpPr/>
                        <wps:spPr>
                          <a:xfrm>
                            <a:off x="209550" y="225326"/>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14" name="Rectangle 5814"/>
                        <wps:cNvSpPr/>
                        <wps:spPr>
                          <a:xfrm>
                            <a:off x="381000" y="190500"/>
                            <a:ext cx="1021477" cy="198469"/>
                          </a:xfrm>
                          <a:prstGeom prst="rect">
                            <a:avLst/>
                          </a:prstGeom>
                          <a:ln>
                            <a:noFill/>
                          </a:ln>
                        </wps:spPr>
                        <wps:txbx>
                          <w:txbxContent>
                            <w:p w:rsidR="008E3F15" w:rsidRDefault="005F449A">
                              <w:pPr>
                                <w:spacing w:after="160" w:line="259" w:lineRule="auto"/>
                                <w:ind w:left="0" w:right="0" w:firstLine="0"/>
                              </w:pPr>
                              <w:r>
                                <w:t xml:space="preserve">депрессия </w:t>
                              </w:r>
                            </w:p>
                          </w:txbxContent>
                        </wps:txbx>
                        <wps:bodyPr horzOverflow="overflow" vert="horz" lIns="0" tIns="0" rIns="0" bIns="0" rtlCol="0">
                          <a:noAutofit/>
                        </wps:bodyPr>
                      </wps:wsp>
                      <wps:wsp>
                        <wps:cNvPr id="5815" name="Rectangle 5815"/>
                        <wps:cNvSpPr/>
                        <wps:spPr>
                          <a:xfrm>
                            <a:off x="1149102" y="190500"/>
                            <a:ext cx="207344" cy="198469"/>
                          </a:xfrm>
                          <a:prstGeom prst="rect">
                            <a:avLst/>
                          </a:prstGeom>
                          <a:ln>
                            <a:noFill/>
                          </a:ln>
                        </wps:spPr>
                        <wps:txbx>
                          <w:txbxContent>
                            <w:p w:rsidR="008E3F15" w:rsidRDefault="005F449A">
                              <w:pPr>
                                <w:spacing w:after="160" w:line="259" w:lineRule="auto"/>
                                <w:ind w:left="0" w:right="0" w:firstLine="0"/>
                              </w:pPr>
                              <w:r>
                                <w:rPr>
                                  <w:i/>
                                </w:rPr>
                                <w:t>ST</w:t>
                              </w:r>
                            </w:p>
                          </w:txbxContent>
                        </wps:txbx>
                        <wps:bodyPr horzOverflow="overflow" vert="horz" lIns="0" tIns="0" rIns="0" bIns="0" rtlCol="0">
                          <a:noAutofit/>
                        </wps:bodyPr>
                      </wps:wsp>
                      <wps:wsp>
                        <wps:cNvPr id="5816" name="Rectangle 5816"/>
                        <wps:cNvSpPr/>
                        <wps:spPr>
                          <a:xfrm>
                            <a:off x="1305074" y="190500"/>
                            <a:ext cx="344319" cy="198469"/>
                          </a:xfrm>
                          <a:prstGeom prst="rect">
                            <a:avLst/>
                          </a:prstGeom>
                          <a:ln>
                            <a:noFill/>
                          </a:ln>
                        </wps:spPr>
                        <wps:txbx>
                          <w:txbxContent>
                            <w:p w:rsidR="008E3F15" w:rsidRDefault="005F449A">
                              <w:pPr>
                                <w:spacing w:after="160" w:line="259" w:lineRule="auto"/>
                                <w:ind w:left="0" w:right="0" w:firstLine="0"/>
                              </w:pPr>
                              <w:r>
                                <w:t xml:space="preserve"> в V</w:t>
                              </w:r>
                            </w:p>
                          </w:txbxContent>
                        </wps:txbx>
                        <wps:bodyPr horzOverflow="overflow" vert="horz" lIns="0" tIns="0" rIns="0" bIns="0" rtlCol="0">
                          <a:noAutofit/>
                        </wps:bodyPr>
                      </wps:wsp>
                      <wps:wsp>
                        <wps:cNvPr id="267588" name="Rectangle 267588"/>
                        <wps:cNvSpPr/>
                        <wps:spPr>
                          <a:xfrm>
                            <a:off x="1564035" y="248951"/>
                            <a:ext cx="91030" cy="165322"/>
                          </a:xfrm>
                          <a:prstGeom prst="rect">
                            <a:avLst/>
                          </a:prstGeom>
                          <a:ln>
                            <a:noFill/>
                          </a:ln>
                        </wps:spPr>
                        <wps:txbx>
                          <w:txbxContent>
                            <w:p w:rsidR="008E3F15" w:rsidRDefault="005F449A">
                              <w:pPr>
                                <w:spacing w:after="160" w:line="259" w:lineRule="auto"/>
                                <w:ind w:left="0" w:right="0" w:firstLine="0"/>
                              </w:pPr>
                              <w:r>
                                <w:rPr>
                                  <w:sz w:val="20"/>
                                </w:rPr>
                                <w:t>1</w:t>
                              </w:r>
                            </w:p>
                          </w:txbxContent>
                        </wps:txbx>
                        <wps:bodyPr horzOverflow="overflow" vert="horz" lIns="0" tIns="0" rIns="0" bIns="0" rtlCol="0">
                          <a:noAutofit/>
                        </wps:bodyPr>
                      </wps:wsp>
                      <wps:wsp>
                        <wps:cNvPr id="267591" name="Rectangle 267591"/>
                        <wps:cNvSpPr/>
                        <wps:spPr>
                          <a:xfrm>
                            <a:off x="1632478" y="248951"/>
                            <a:ext cx="84434" cy="165322"/>
                          </a:xfrm>
                          <a:prstGeom prst="rect">
                            <a:avLst/>
                          </a:prstGeom>
                          <a:ln>
                            <a:noFill/>
                          </a:ln>
                        </wps:spPr>
                        <wps:txbx>
                          <w:txbxContent>
                            <w:p w:rsidR="008E3F15" w:rsidRDefault="005F449A">
                              <w:pPr>
                                <w:spacing w:after="160" w:line="259" w:lineRule="auto"/>
                                <w:ind w:left="0" w:right="0" w:firstLine="0"/>
                              </w:pPr>
                              <w:r>
                                <w:rPr>
                                  <w:sz w:val="20"/>
                                </w:rPr>
                                <w:t>–</w:t>
                              </w:r>
                            </w:p>
                          </w:txbxContent>
                        </wps:txbx>
                        <wps:bodyPr horzOverflow="overflow" vert="horz" lIns="0" tIns="0" rIns="0" bIns="0" rtlCol="0">
                          <a:noAutofit/>
                        </wps:bodyPr>
                      </wps:wsp>
                      <wps:wsp>
                        <wps:cNvPr id="267589" name="Rectangle 267589"/>
                        <wps:cNvSpPr/>
                        <wps:spPr>
                          <a:xfrm>
                            <a:off x="1695962" y="248951"/>
                            <a:ext cx="91030" cy="165322"/>
                          </a:xfrm>
                          <a:prstGeom prst="rect">
                            <a:avLst/>
                          </a:prstGeom>
                          <a:ln>
                            <a:noFill/>
                          </a:ln>
                        </wps:spPr>
                        <wps:txbx>
                          <w:txbxContent>
                            <w:p w:rsidR="008E3F15" w:rsidRDefault="005F449A">
                              <w:pPr>
                                <w:spacing w:after="160" w:line="259" w:lineRule="auto"/>
                                <w:ind w:left="0" w:right="0" w:firstLine="0"/>
                              </w:pPr>
                              <w:r>
                                <w:rPr>
                                  <w:sz w:val="20"/>
                                </w:rPr>
                                <w:t>4</w:t>
                              </w:r>
                            </w:p>
                          </w:txbxContent>
                        </wps:txbx>
                        <wps:bodyPr horzOverflow="overflow" vert="horz" lIns="0" tIns="0" rIns="0" bIns="0" rtlCol="0">
                          <a:noAutofit/>
                        </wps:bodyPr>
                      </wps:wsp>
                      <wps:wsp>
                        <wps:cNvPr id="5818" name="Rectangle 5818"/>
                        <wps:cNvSpPr/>
                        <wps:spPr>
                          <a:xfrm>
                            <a:off x="1764506" y="190500"/>
                            <a:ext cx="43943" cy="198469"/>
                          </a:xfrm>
                          <a:prstGeom prst="rect">
                            <a:avLst/>
                          </a:prstGeom>
                          <a:ln>
                            <a:noFill/>
                          </a:ln>
                        </wps:spPr>
                        <wps:txbx>
                          <w:txbxContent>
                            <w:p w:rsidR="008E3F15" w:rsidRDefault="005F449A">
                              <w:pPr>
                                <w:spacing w:after="160" w:line="259" w:lineRule="auto"/>
                                <w:ind w:left="0" w:right="0" w:firstLine="0"/>
                              </w:pPr>
                              <w:r>
                                <w:t>;</w:t>
                              </w:r>
                            </w:p>
                          </w:txbxContent>
                        </wps:txbx>
                        <wps:bodyPr horzOverflow="overflow" vert="horz" lIns="0" tIns="0" rIns="0" bIns="0" rtlCol="0">
                          <a:noAutofit/>
                        </wps:bodyPr>
                      </wps:wsp>
                      <wps:wsp>
                        <wps:cNvPr id="5819" name="Shape 5819"/>
                        <wps:cNvSpPr/>
                        <wps:spPr>
                          <a:xfrm>
                            <a:off x="209550" y="406301"/>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6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61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20" name="Rectangle 5820"/>
                        <wps:cNvSpPr/>
                        <wps:spPr>
                          <a:xfrm>
                            <a:off x="381000" y="371475"/>
                            <a:ext cx="2110748" cy="198469"/>
                          </a:xfrm>
                          <a:prstGeom prst="rect">
                            <a:avLst/>
                          </a:prstGeom>
                          <a:ln>
                            <a:noFill/>
                          </a:ln>
                        </wps:spPr>
                        <wps:txbx>
                          <w:txbxContent>
                            <w:p w:rsidR="008E3F15" w:rsidRDefault="005F449A">
                              <w:pPr>
                                <w:spacing w:after="160" w:line="259" w:lineRule="auto"/>
                                <w:ind w:left="0" w:right="0" w:firstLine="0"/>
                              </w:pPr>
                              <w:r>
                                <w:t xml:space="preserve">отрицательные зубцы </w:t>
                              </w:r>
                            </w:p>
                          </w:txbxContent>
                        </wps:txbx>
                        <wps:bodyPr horzOverflow="overflow" vert="horz" lIns="0" tIns="0" rIns="0" bIns="0" rtlCol="0">
                          <a:noAutofit/>
                        </wps:bodyPr>
                      </wps:wsp>
                      <wps:wsp>
                        <wps:cNvPr id="5821" name="Rectangle 5821"/>
                        <wps:cNvSpPr/>
                        <wps:spPr>
                          <a:xfrm>
                            <a:off x="1968103" y="371475"/>
                            <a:ext cx="106591" cy="198469"/>
                          </a:xfrm>
                          <a:prstGeom prst="rect">
                            <a:avLst/>
                          </a:prstGeom>
                          <a:ln>
                            <a:noFill/>
                          </a:ln>
                        </wps:spPr>
                        <wps:txbx>
                          <w:txbxContent>
                            <w:p w:rsidR="008E3F15" w:rsidRDefault="005F449A">
                              <w:pPr>
                                <w:spacing w:after="160" w:line="259" w:lineRule="auto"/>
                                <w:ind w:left="0" w:right="0" w:firstLine="0"/>
                              </w:pPr>
                              <w:r>
                                <w:rPr>
                                  <w:i/>
                                </w:rPr>
                                <w:t>T</w:t>
                              </w:r>
                            </w:p>
                          </w:txbxContent>
                        </wps:txbx>
                        <wps:bodyPr horzOverflow="overflow" vert="horz" lIns="0" tIns="0" rIns="0" bIns="0" rtlCol="0">
                          <a:noAutofit/>
                        </wps:bodyPr>
                      </wps:wsp>
                      <wps:wsp>
                        <wps:cNvPr id="5822" name="Rectangle 5822"/>
                        <wps:cNvSpPr/>
                        <wps:spPr>
                          <a:xfrm>
                            <a:off x="2048321" y="371475"/>
                            <a:ext cx="344319" cy="198469"/>
                          </a:xfrm>
                          <a:prstGeom prst="rect">
                            <a:avLst/>
                          </a:prstGeom>
                          <a:ln>
                            <a:noFill/>
                          </a:ln>
                        </wps:spPr>
                        <wps:txbx>
                          <w:txbxContent>
                            <w:p w:rsidR="008E3F15" w:rsidRDefault="005F449A">
                              <w:pPr>
                                <w:spacing w:after="160" w:line="259" w:lineRule="auto"/>
                                <w:ind w:left="0" w:right="0" w:firstLine="0"/>
                              </w:pPr>
                              <w:r>
                                <w:t xml:space="preserve"> в V</w:t>
                              </w:r>
                            </w:p>
                          </w:txbxContent>
                        </wps:txbx>
                        <wps:bodyPr horzOverflow="overflow" vert="horz" lIns="0" tIns="0" rIns="0" bIns="0" rtlCol="0">
                          <a:noAutofit/>
                        </wps:bodyPr>
                      </wps:wsp>
                      <wps:wsp>
                        <wps:cNvPr id="267593" name="Rectangle 267593"/>
                        <wps:cNvSpPr/>
                        <wps:spPr>
                          <a:xfrm>
                            <a:off x="2307282" y="429926"/>
                            <a:ext cx="91030" cy="165322"/>
                          </a:xfrm>
                          <a:prstGeom prst="rect">
                            <a:avLst/>
                          </a:prstGeom>
                          <a:ln>
                            <a:noFill/>
                          </a:ln>
                        </wps:spPr>
                        <wps:txbx>
                          <w:txbxContent>
                            <w:p w:rsidR="008E3F15" w:rsidRDefault="005F449A">
                              <w:pPr>
                                <w:spacing w:after="160" w:line="259" w:lineRule="auto"/>
                                <w:ind w:left="0" w:right="0" w:firstLine="0"/>
                              </w:pPr>
                              <w:r>
                                <w:rPr>
                                  <w:sz w:val="20"/>
                                </w:rPr>
                                <w:t>1</w:t>
                              </w:r>
                            </w:p>
                          </w:txbxContent>
                        </wps:txbx>
                        <wps:bodyPr horzOverflow="overflow" vert="horz" lIns="0" tIns="0" rIns="0" bIns="0" rtlCol="0">
                          <a:noAutofit/>
                        </wps:bodyPr>
                      </wps:wsp>
                      <wps:wsp>
                        <wps:cNvPr id="267595" name="Rectangle 267595"/>
                        <wps:cNvSpPr/>
                        <wps:spPr>
                          <a:xfrm>
                            <a:off x="2375726" y="429926"/>
                            <a:ext cx="84434" cy="165322"/>
                          </a:xfrm>
                          <a:prstGeom prst="rect">
                            <a:avLst/>
                          </a:prstGeom>
                          <a:ln>
                            <a:noFill/>
                          </a:ln>
                        </wps:spPr>
                        <wps:txbx>
                          <w:txbxContent>
                            <w:p w:rsidR="008E3F15" w:rsidRDefault="005F449A">
                              <w:pPr>
                                <w:spacing w:after="160" w:line="259" w:lineRule="auto"/>
                                <w:ind w:left="0" w:right="0" w:firstLine="0"/>
                              </w:pPr>
                              <w:r>
                                <w:rPr>
                                  <w:sz w:val="20"/>
                                </w:rPr>
                                <w:t>–</w:t>
                              </w:r>
                            </w:p>
                          </w:txbxContent>
                        </wps:txbx>
                        <wps:bodyPr horzOverflow="overflow" vert="horz" lIns="0" tIns="0" rIns="0" bIns="0" rtlCol="0">
                          <a:noAutofit/>
                        </wps:bodyPr>
                      </wps:wsp>
                      <wps:wsp>
                        <wps:cNvPr id="267594" name="Rectangle 267594"/>
                        <wps:cNvSpPr/>
                        <wps:spPr>
                          <a:xfrm>
                            <a:off x="2439210" y="429926"/>
                            <a:ext cx="91030" cy="165322"/>
                          </a:xfrm>
                          <a:prstGeom prst="rect">
                            <a:avLst/>
                          </a:prstGeom>
                          <a:ln>
                            <a:noFill/>
                          </a:ln>
                        </wps:spPr>
                        <wps:txbx>
                          <w:txbxContent>
                            <w:p w:rsidR="008E3F15" w:rsidRDefault="005F449A">
                              <w:pPr>
                                <w:spacing w:after="160" w:line="259" w:lineRule="auto"/>
                                <w:ind w:left="0" w:right="0" w:firstLine="0"/>
                              </w:pPr>
                              <w:r>
                                <w:rPr>
                                  <w:sz w:val="20"/>
                                </w:rPr>
                                <w:t>4</w:t>
                              </w:r>
                            </w:p>
                          </w:txbxContent>
                        </wps:txbx>
                        <wps:bodyPr horzOverflow="overflow" vert="horz" lIns="0" tIns="0" rIns="0" bIns="0" rtlCol="0">
                          <a:noAutofit/>
                        </wps:bodyPr>
                      </wps:wsp>
                      <wps:wsp>
                        <wps:cNvPr id="5824" name="Rectangle 5824"/>
                        <wps:cNvSpPr/>
                        <wps:spPr>
                          <a:xfrm>
                            <a:off x="2507754" y="371475"/>
                            <a:ext cx="43943" cy="198469"/>
                          </a:xfrm>
                          <a:prstGeom prst="rect">
                            <a:avLst/>
                          </a:prstGeom>
                          <a:ln>
                            <a:noFill/>
                          </a:ln>
                        </wps:spPr>
                        <wps:txbx>
                          <w:txbxContent>
                            <w:p w:rsidR="008E3F15" w:rsidRDefault="005F449A">
                              <w:pPr>
                                <w:spacing w:after="160" w:line="259" w:lineRule="auto"/>
                                <w:ind w:left="0" w:right="0" w:firstLine="0"/>
                              </w:pPr>
                              <w:r>
                                <w:t>;</w:t>
                              </w:r>
                            </w:p>
                          </w:txbxContent>
                        </wps:txbx>
                        <wps:bodyPr horzOverflow="overflow" vert="horz" lIns="0" tIns="0" rIns="0" bIns="0" rtlCol="0">
                          <a:noAutofit/>
                        </wps:bodyPr>
                      </wps:wsp>
                      <wps:wsp>
                        <wps:cNvPr id="5825" name="Shape 5825"/>
                        <wps:cNvSpPr/>
                        <wps:spPr>
                          <a:xfrm>
                            <a:off x="209550" y="596801"/>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296"/>
                                  <a:pt x="56425" y="35917"/>
                                  <a:pt x="54975" y="39390"/>
                                </a:cubicBezTo>
                                <a:cubicBezTo>
                                  <a:pt x="53525" y="42912"/>
                                  <a:pt x="51460" y="45988"/>
                                  <a:pt x="48781" y="48716"/>
                                </a:cubicBezTo>
                                <a:cubicBezTo>
                                  <a:pt x="46101" y="51346"/>
                                  <a:pt x="43011" y="53429"/>
                                  <a:pt x="39510" y="5491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439"/>
                                </a:cubicBezTo>
                                <a:cubicBezTo>
                                  <a:pt x="725" y="35917"/>
                                  <a:pt x="0" y="32296"/>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26" name="Rectangle 5826"/>
                        <wps:cNvSpPr/>
                        <wps:spPr>
                          <a:xfrm>
                            <a:off x="381000" y="561975"/>
                            <a:ext cx="3259105" cy="198469"/>
                          </a:xfrm>
                          <a:prstGeom prst="rect">
                            <a:avLst/>
                          </a:prstGeom>
                          <a:ln>
                            <a:noFill/>
                          </a:ln>
                        </wps:spPr>
                        <wps:txbx>
                          <w:txbxContent>
                            <w:p w:rsidR="008E3F15" w:rsidRDefault="005F449A">
                              <w:pPr>
                                <w:spacing w:after="160" w:line="259" w:lineRule="auto"/>
                                <w:ind w:left="0" w:right="0" w:firstLine="0"/>
                              </w:pPr>
                              <w:r>
                                <w:t>блокада правой ножки пучка Гиса;</w:t>
                              </w:r>
                            </w:p>
                          </w:txbxContent>
                        </wps:txbx>
                        <wps:bodyPr horzOverflow="overflow" vert="horz" lIns="0" tIns="0" rIns="0" bIns="0" rtlCol="0">
                          <a:noAutofit/>
                        </wps:bodyPr>
                      </wps:wsp>
                      <wps:wsp>
                        <wps:cNvPr id="5827" name="Shape 5827"/>
                        <wps:cNvSpPr/>
                        <wps:spPr>
                          <a:xfrm>
                            <a:off x="209550" y="749201"/>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28" name="Rectangle 5828"/>
                        <wps:cNvSpPr/>
                        <wps:spPr>
                          <a:xfrm>
                            <a:off x="381000" y="714375"/>
                            <a:ext cx="2101445" cy="198469"/>
                          </a:xfrm>
                          <a:prstGeom prst="rect">
                            <a:avLst/>
                          </a:prstGeom>
                          <a:ln>
                            <a:noFill/>
                          </a:ln>
                        </wps:spPr>
                        <wps:txbx>
                          <w:txbxContent>
                            <w:p w:rsidR="008E3F15" w:rsidRDefault="005F449A">
                              <w:pPr>
                                <w:spacing w:after="160" w:line="259" w:lineRule="auto"/>
                                <w:ind w:left="0" w:right="0" w:firstLine="0"/>
                              </w:pPr>
                              <w:r>
                                <w:t>синусовая тахикардия.</w:t>
                              </w:r>
                            </w:p>
                          </w:txbxContent>
                        </wps:txbx>
                        <wps:bodyPr horzOverflow="overflow" vert="horz" lIns="0" tIns="0" rIns="0" bIns="0" rtlCol="0">
                          <a:noAutofit/>
                        </wps:bodyPr>
                      </wps:wsp>
                      <pic:pic xmlns:pic="http://schemas.openxmlformats.org/drawingml/2006/picture">
                        <pic:nvPicPr>
                          <pic:cNvPr id="5830" name="Picture 5830"/>
                          <pic:cNvPicPr/>
                        </pic:nvPicPr>
                        <pic:blipFill>
                          <a:blip r:embed="rId26"/>
                          <a:stretch>
                            <a:fillRect/>
                          </a:stretch>
                        </pic:blipFill>
                        <pic:spPr>
                          <a:xfrm>
                            <a:off x="0" y="844450"/>
                            <a:ext cx="5057775" cy="2152650"/>
                          </a:xfrm>
                          <a:prstGeom prst="rect">
                            <a:avLst/>
                          </a:prstGeom>
                        </pic:spPr>
                      </pic:pic>
                    </wpg:wgp>
                  </a:graphicData>
                </a:graphic>
              </wp:inline>
            </w:drawing>
          </mc:Choice>
          <mc:Fallback xmlns:a="http://schemas.openxmlformats.org/drawingml/2006/main">
            <w:pict>
              <v:group id="Group 267857" style="width:398.25pt;height:235.992pt;mso-position-horizontal-relative:char;mso-position-vertical-relative:line" coordsize="50577,29971">
                <v:shape id="Shape 5807" style="position:absolute;width:571;height:571;left:2095;top:348;" coordsize="57150,57150" path="m28575,0c32364,0,36009,695,39510,2133c43011,3572,46101,5655,48781,8384c51460,11013,53525,14089,54975,17611c56425,21084,57150,24755,57150,28575c57150,32345,56425,35967,54975,39439c53525,42912,51460,45988,48781,48716c46101,51346,43011,53429,39510,54868c36009,56356,32364,57100,28575,57150c24786,57100,21141,56356,17640,54868c14139,53429,11049,51346,8369,48716c5690,45988,3625,42912,2175,39439c725,35967,0,32345,0,28575c0,24755,725,21084,2175,17611c3625,14089,5690,11013,8369,8384c11049,5655,14139,3621,17640,2183c21141,695,24786,0,28575,0x">
                  <v:stroke weight="0pt" endcap="flat" joinstyle="miter" miterlimit="10" on="false" color="#000000" opacity="0"/>
                  <v:fill on="true" color="#333333"/>
                </v:shape>
                <v:rect id="Rectangle 5808" style="position:absolute;width:7701;height:1984;left:3810;top:0;" filled="f" stroked="f">
                  <v:textbox inset="0,0,0,0">
                    <w:txbxContent>
                      <w:p>
                        <w:pPr>
                          <w:spacing w:before="0" w:after="160" w:line="259" w:lineRule="auto"/>
                          <w:ind w:left="0" w:right="0" w:firstLine="0"/>
                        </w:pPr>
                        <w:r>
                          <w:rPr/>
                          <w:t xml:space="preserve">подъем </w:t>
                        </w:r>
                      </w:p>
                    </w:txbxContent>
                  </v:textbox>
                </v:rect>
                <v:rect id="Rectangle 5809" style="position:absolute;width:2073;height:1984;left:9600;top:0;" filled="f" stroked="f">
                  <v:textbox inset="0,0,0,0">
                    <w:txbxContent>
                      <w:p>
                        <w:pPr>
                          <w:spacing w:before="0" w:after="160" w:line="259" w:lineRule="auto"/>
                          <w:ind w:left="0" w:right="0" w:firstLine="0"/>
                        </w:pPr>
                        <w:r>
                          <w:rPr>
                            <w:rFonts w:cs="Segoe UI" w:hAnsi="Segoe UI" w:eastAsia="Segoe UI" w:ascii="Segoe UI"/>
                            <w:i w:val="1"/>
                          </w:rPr>
                          <w:t xml:space="preserve">ST</w:t>
                        </w:r>
                      </w:p>
                    </w:txbxContent>
                  </v:textbox>
                </v:rect>
                <v:rect id="Rectangle 5810" style="position:absolute;width:10330;height:1984;left:11160;top:0;" filled="f" stroked="f">
                  <v:textbox inset="0,0,0,0">
                    <w:txbxContent>
                      <w:p>
                        <w:pPr>
                          <w:spacing w:before="0" w:after="160" w:line="259" w:lineRule="auto"/>
                          <w:ind w:left="0" w:right="0" w:firstLine="0"/>
                        </w:pPr>
                        <w:r>
                          <w:rPr/>
                          <w:t xml:space="preserve"> в III, aVF, V</w:t>
                        </w:r>
                      </w:p>
                    </w:txbxContent>
                  </v:textbox>
                </v:rect>
                <v:rect id="Rectangle 267585" style="position:absolute;width:910;height:1653;left:18927;top:584;" filled="f" stroked="f">
                  <v:textbox inset="0,0,0,0">
                    <w:txbxContent>
                      <w:p>
                        <w:pPr>
                          <w:spacing w:before="0" w:after="160" w:line="259" w:lineRule="auto"/>
                          <w:ind w:left="0" w:right="0" w:firstLine="0"/>
                        </w:pPr>
                        <w:r>
                          <w:rPr>
                            <w:sz w:val="20"/>
                          </w:rPr>
                          <w:t xml:space="preserve">1</w:t>
                        </w:r>
                      </w:p>
                    </w:txbxContent>
                  </v:textbox>
                </v:rect>
                <v:rect id="Rectangle 267587" style="position:absolute;width:844;height:1653;left:19612;top:584;" filled="f" stroked="f">
                  <v:textbox inset="0,0,0,0">
                    <w:txbxContent>
                      <w:p>
                        <w:pPr>
                          <w:spacing w:before="0" w:after="160" w:line="259" w:lineRule="auto"/>
                          <w:ind w:left="0" w:right="0" w:firstLine="0"/>
                        </w:pPr>
                        <w:r>
                          <w:rPr>
                            <w:sz w:val="20"/>
                          </w:rPr>
                          <w:t xml:space="preserve">–</w:t>
                        </w:r>
                      </w:p>
                    </w:txbxContent>
                  </v:textbox>
                </v:rect>
                <v:rect id="Rectangle 267586" style="position:absolute;width:910;height:1653;left:20247;top:584;" filled="f" stroked="f">
                  <v:textbox inset="0,0,0,0">
                    <w:txbxContent>
                      <w:p>
                        <w:pPr>
                          <w:spacing w:before="0" w:after="160" w:line="259" w:lineRule="auto"/>
                          <w:ind w:left="0" w:right="0" w:firstLine="0"/>
                        </w:pPr>
                        <w:r>
                          <w:rPr>
                            <w:sz w:val="20"/>
                          </w:rPr>
                          <w:t xml:space="preserve">3</w:t>
                        </w:r>
                      </w:p>
                    </w:txbxContent>
                  </v:textbox>
                </v:rect>
                <v:rect id="Rectangle 5812" style="position:absolute;width:439;height:1984;left:20932;top:0;" filled="f" stroked="f">
                  <v:textbox inset="0,0,0,0">
                    <w:txbxContent>
                      <w:p>
                        <w:pPr>
                          <w:spacing w:before="0" w:after="160" w:line="259" w:lineRule="auto"/>
                          <w:ind w:left="0" w:right="0" w:firstLine="0"/>
                        </w:pPr>
                        <w:r>
                          <w:rPr/>
                          <w:t xml:space="preserve">;</w:t>
                        </w:r>
                      </w:p>
                    </w:txbxContent>
                  </v:textbox>
                </v:rect>
                <v:shape id="Shape 5813" style="position:absolute;width:571;height:571;left:2095;top:2253;" coordsize="57150,57150" path="m28575,0c32364,0,36009,695,39510,2183c43011,3621,46101,5655,48781,8334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334c11049,5655,14139,3621,17640,2183c21141,695,24786,0,28575,0x">
                  <v:stroke weight="0pt" endcap="flat" joinstyle="miter" miterlimit="10" on="false" color="#000000" opacity="0"/>
                  <v:fill on="true" color="#333333"/>
                </v:shape>
                <v:rect id="Rectangle 5814" style="position:absolute;width:10214;height:1984;left:3810;top:1905;" filled="f" stroked="f">
                  <v:textbox inset="0,0,0,0">
                    <w:txbxContent>
                      <w:p>
                        <w:pPr>
                          <w:spacing w:before="0" w:after="160" w:line="259" w:lineRule="auto"/>
                          <w:ind w:left="0" w:right="0" w:firstLine="0"/>
                        </w:pPr>
                        <w:r>
                          <w:rPr/>
                          <w:t xml:space="preserve">депрессия </w:t>
                        </w:r>
                      </w:p>
                    </w:txbxContent>
                  </v:textbox>
                </v:rect>
                <v:rect id="Rectangle 5815" style="position:absolute;width:2073;height:1984;left:11491;top:1905;" filled="f" stroked="f">
                  <v:textbox inset="0,0,0,0">
                    <w:txbxContent>
                      <w:p>
                        <w:pPr>
                          <w:spacing w:before="0" w:after="160" w:line="259" w:lineRule="auto"/>
                          <w:ind w:left="0" w:right="0" w:firstLine="0"/>
                        </w:pPr>
                        <w:r>
                          <w:rPr>
                            <w:rFonts w:cs="Segoe UI" w:hAnsi="Segoe UI" w:eastAsia="Segoe UI" w:ascii="Segoe UI"/>
                            <w:i w:val="1"/>
                          </w:rPr>
                          <w:t xml:space="preserve">ST</w:t>
                        </w:r>
                      </w:p>
                    </w:txbxContent>
                  </v:textbox>
                </v:rect>
                <v:rect id="Rectangle 5816" style="position:absolute;width:3443;height:1984;left:13050;top:1905;" filled="f" stroked="f">
                  <v:textbox inset="0,0,0,0">
                    <w:txbxContent>
                      <w:p>
                        <w:pPr>
                          <w:spacing w:before="0" w:after="160" w:line="259" w:lineRule="auto"/>
                          <w:ind w:left="0" w:right="0" w:firstLine="0"/>
                        </w:pPr>
                        <w:r>
                          <w:rPr/>
                          <w:t xml:space="preserve"> в V</w:t>
                        </w:r>
                      </w:p>
                    </w:txbxContent>
                  </v:textbox>
                </v:rect>
                <v:rect id="Rectangle 267588" style="position:absolute;width:910;height:1653;left:15640;top:2489;" filled="f" stroked="f">
                  <v:textbox inset="0,0,0,0">
                    <w:txbxContent>
                      <w:p>
                        <w:pPr>
                          <w:spacing w:before="0" w:after="160" w:line="259" w:lineRule="auto"/>
                          <w:ind w:left="0" w:right="0" w:firstLine="0"/>
                        </w:pPr>
                        <w:r>
                          <w:rPr>
                            <w:sz w:val="20"/>
                          </w:rPr>
                          <w:t xml:space="preserve">1</w:t>
                        </w:r>
                      </w:p>
                    </w:txbxContent>
                  </v:textbox>
                </v:rect>
                <v:rect id="Rectangle 267591" style="position:absolute;width:844;height:1653;left:16324;top:2489;" filled="f" stroked="f">
                  <v:textbox inset="0,0,0,0">
                    <w:txbxContent>
                      <w:p>
                        <w:pPr>
                          <w:spacing w:before="0" w:after="160" w:line="259" w:lineRule="auto"/>
                          <w:ind w:left="0" w:right="0" w:firstLine="0"/>
                        </w:pPr>
                        <w:r>
                          <w:rPr>
                            <w:sz w:val="20"/>
                          </w:rPr>
                          <w:t xml:space="preserve">–</w:t>
                        </w:r>
                      </w:p>
                    </w:txbxContent>
                  </v:textbox>
                </v:rect>
                <v:rect id="Rectangle 267589" style="position:absolute;width:910;height:1653;left:16959;top:2489;" filled="f" stroked="f">
                  <v:textbox inset="0,0,0,0">
                    <w:txbxContent>
                      <w:p>
                        <w:pPr>
                          <w:spacing w:before="0" w:after="160" w:line="259" w:lineRule="auto"/>
                          <w:ind w:left="0" w:right="0" w:firstLine="0"/>
                        </w:pPr>
                        <w:r>
                          <w:rPr>
                            <w:sz w:val="20"/>
                          </w:rPr>
                          <w:t xml:space="preserve">4</w:t>
                        </w:r>
                      </w:p>
                    </w:txbxContent>
                  </v:textbox>
                </v:rect>
                <v:rect id="Rectangle 5818" style="position:absolute;width:439;height:1984;left:17645;top:1905;" filled="f" stroked="f">
                  <v:textbox inset="0,0,0,0">
                    <w:txbxContent>
                      <w:p>
                        <w:pPr>
                          <w:spacing w:before="0" w:after="160" w:line="259" w:lineRule="auto"/>
                          <w:ind w:left="0" w:right="0" w:firstLine="0"/>
                        </w:pPr>
                        <w:r>
                          <w:rPr/>
                          <w:t xml:space="preserve">;</w:t>
                        </w:r>
                      </w:p>
                    </w:txbxContent>
                  </v:textbox>
                </v:rect>
                <v:shape id="Shape 5819" style="position:absolute;width:571;height:571;left:2095;top:4063;" coordsize="57150,57150" path="m28575,0c32364,0,36009,695,39510,2133c43011,3572,46101,5655,48781,8384c51460,11013,53525,14089,54975,17661c56425,21084,57150,24755,57150,28575c57150,32345,56425,35967,54975,39489c53525,42962,51460,46038,48781,48766c46101,51395,43011,53429,39510,54868c36009,56356,32364,57100,28575,57150c24786,57100,21141,56356,17640,54868c14139,53429,11049,51395,8369,48766c5690,46038,3625,42962,2175,39489c725,35967,0,32345,0,28575c0,24755,725,21084,2175,17611c3625,14089,5690,11013,8369,8384c11049,5655,14139,3621,17640,2183c21141,695,24786,0,28575,0x">
                  <v:stroke weight="0pt" endcap="flat" joinstyle="miter" miterlimit="10" on="false" color="#000000" opacity="0"/>
                  <v:fill on="true" color="#333333"/>
                </v:shape>
                <v:rect id="Rectangle 5820" style="position:absolute;width:21107;height:1984;left:3810;top:3714;" filled="f" stroked="f">
                  <v:textbox inset="0,0,0,0">
                    <w:txbxContent>
                      <w:p>
                        <w:pPr>
                          <w:spacing w:before="0" w:after="160" w:line="259" w:lineRule="auto"/>
                          <w:ind w:left="0" w:right="0" w:firstLine="0"/>
                        </w:pPr>
                        <w:r>
                          <w:rPr/>
                          <w:t xml:space="preserve">отрицательные зубцы </w:t>
                        </w:r>
                      </w:p>
                    </w:txbxContent>
                  </v:textbox>
                </v:rect>
                <v:rect id="Rectangle 5821" style="position:absolute;width:1065;height:1984;left:19681;top:3714;" filled="f" stroked="f">
                  <v:textbox inset="0,0,0,0">
                    <w:txbxContent>
                      <w:p>
                        <w:pPr>
                          <w:spacing w:before="0" w:after="160" w:line="259" w:lineRule="auto"/>
                          <w:ind w:left="0" w:right="0" w:firstLine="0"/>
                        </w:pPr>
                        <w:r>
                          <w:rPr>
                            <w:rFonts w:cs="Segoe UI" w:hAnsi="Segoe UI" w:eastAsia="Segoe UI" w:ascii="Segoe UI"/>
                            <w:i w:val="1"/>
                          </w:rPr>
                          <w:t xml:space="preserve">T</w:t>
                        </w:r>
                      </w:p>
                    </w:txbxContent>
                  </v:textbox>
                </v:rect>
                <v:rect id="Rectangle 5822" style="position:absolute;width:3443;height:1984;left:20483;top:3714;" filled="f" stroked="f">
                  <v:textbox inset="0,0,0,0">
                    <w:txbxContent>
                      <w:p>
                        <w:pPr>
                          <w:spacing w:before="0" w:after="160" w:line="259" w:lineRule="auto"/>
                          <w:ind w:left="0" w:right="0" w:firstLine="0"/>
                        </w:pPr>
                        <w:r>
                          <w:rPr/>
                          <w:t xml:space="preserve"> в V</w:t>
                        </w:r>
                      </w:p>
                    </w:txbxContent>
                  </v:textbox>
                </v:rect>
                <v:rect id="Rectangle 267593" style="position:absolute;width:910;height:1653;left:23072;top:4299;" filled="f" stroked="f">
                  <v:textbox inset="0,0,0,0">
                    <w:txbxContent>
                      <w:p>
                        <w:pPr>
                          <w:spacing w:before="0" w:after="160" w:line="259" w:lineRule="auto"/>
                          <w:ind w:left="0" w:right="0" w:firstLine="0"/>
                        </w:pPr>
                        <w:r>
                          <w:rPr>
                            <w:sz w:val="20"/>
                          </w:rPr>
                          <w:t xml:space="preserve">1</w:t>
                        </w:r>
                      </w:p>
                    </w:txbxContent>
                  </v:textbox>
                </v:rect>
                <v:rect id="Rectangle 267595" style="position:absolute;width:844;height:1653;left:23757;top:4299;" filled="f" stroked="f">
                  <v:textbox inset="0,0,0,0">
                    <w:txbxContent>
                      <w:p>
                        <w:pPr>
                          <w:spacing w:before="0" w:after="160" w:line="259" w:lineRule="auto"/>
                          <w:ind w:left="0" w:right="0" w:firstLine="0"/>
                        </w:pPr>
                        <w:r>
                          <w:rPr>
                            <w:sz w:val="20"/>
                          </w:rPr>
                          <w:t xml:space="preserve">–</w:t>
                        </w:r>
                      </w:p>
                    </w:txbxContent>
                  </v:textbox>
                </v:rect>
                <v:rect id="Rectangle 267594" style="position:absolute;width:910;height:1653;left:24392;top:4299;" filled="f" stroked="f">
                  <v:textbox inset="0,0,0,0">
                    <w:txbxContent>
                      <w:p>
                        <w:pPr>
                          <w:spacing w:before="0" w:after="160" w:line="259" w:lineRule="auto"/>
                          <w:ind w:left="0" w:right="0" w:firstLine="0"/>
                        </w:pPr>
                        <w:r>
                          <w:rPr>
                            <w:sz w:val="20"/>
                          </w:rPr>
                          <w:t xml:space="preserve">4</w:t>
                        </w:r>
                      </w:p>
                    </w:txbxContent>
                  </v:textbox>
                </v:rect>
                <v:rect id="Rectangle 5824" style="position:absolute;width:439;height:1984;left:25077;top:3714;" filled="f" stroked="f">
                  <v:textbox inset="0,0,0,0">
                    <w:txbxContent>
                      <w:p>
                        <w:pPr>
                          <w:spacing w:before="0" w:after="160" w:line="259" w:lineRule="auto"/>
                          <w:ind w:left="0" w:right="0" w:firstLine="0"/>
                        </w:pPr>
                        <w:r>
                          <w:rPr/>
                          <w:t xml:space="preserve">;</w:t>
                        </w:r>
                      </w:p>
                    </w:txbxContent>
                  </v:textbox>
                </v:rect>
                <v:shape id="Shape 5825" style="position:absolute;width:571;height:571;left:2095;top:5968;" coordsize="57150,57150" path="m28575,0c32364,0,36009,695,39510,2183c43011,3621,46101,5655,48781,8334c51460,10964,53525,14089,54975,17562c56425,21084,57150,24755,57150,28575c57150,32296,56425,35917,54975,39390c53525,42912,51460,45988,48781,48716c46101,51346,43011,53429,39510,54918c36009,56356,32364,57100,28575,57150c24786,57100,21141,56356,17640,54868c14139,53429,11049,51346,8369,48716c5690,45988,3625,42912,2175,39439c725,35917,0,32296,0,28575c0,24755,725,21084,2175,17562c3625,14089,5690,10964,8369,8334c11049,5655,14139,3621,17640,2183c21141,695,24786,0,28575,0x">
                  <v:stroke weight="0pt" endcap="flat" joinstyle="miter" miterlimit="10" on="false" color="#000000" opacity="0"/>
                  <v:fill on="true" color="#333333"/>
                </v:shape>
                <v:rect id="Rectangle 5826" style="position:absolute;width:32591;height:1984;left:3810;top:5619;" filled="f" stroked="f">
                  <v:textbox inset="0,0,0,0">
                    <w:txbxContent>
                      <w:p>
                        <w:pPr>
                          <w:spacing w:before="0" w:after="160" w:line="259" w:lineRule="auto"/>
                          <w:ind w:left="0" w:right="0" w:firstLine="0"/>
                        </w:pPr>
                        <w:r>
                          <w:rPr/>
                          <w:t xml:space="preserve">блокада правой ножки пучка Гиса;</w:t>
                        </w:r>
                      </w:p>
                    </w:txbxContent>
                  </v:textbox>
                </v:rect>
                <v:shape id="Shape 5827" style="position:absolute;width:571;height:571;left:2095;top:7492;" coordsize="57150,57150" path="m28575,0c32364,0,36009,695,39510,2133c43011,3572,46101,5655,48781,8334c51460,10964,53525,14089,54975,1756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62c3625,14089,5690,10964,8369,8334c11049,5655,14139,3572,17640,2133c21141,695,24786,0,28575,0x">
                  <v:stroke weight="0pt" endcap="flat" joinstyle="miter" miterlimit="10" on="false" color="#000000" opacity="0"/>
                  <v:fill on="true" color="#333333"/>
                </v:shape>
                <v:rect id="Rectangle 5828" style="position:absolute;width:21014;height:1984;left:3810;top:7143;" filled="f" stroked="f">
                  <v:textbox inset="0,0,0,0">
                    <w:txbxContent>
                      <w:p>
                        <w:pPr>
                          <w:spacing w:before="0" w:after="160" w:line="259" w:lineRule="auto"/>
                          <w:ind w:left="0" w:right="0" w:firstLine="0"/>
                        </w:pPr>
                        <w:r>
                          <w:rPr/>
                          <w:t xml:space="preserve">синусовая тахикардия.</w:t>
                        </w:r>
                      </w:p>
                    </w:txbxContent>
                  </v:textbox>
                </v:rect>
                <v:shape id="Picture 5830" style="position:absolute;width:50577;height:21526;left:0;top:8444;" filled="f">
                  <v:imagedata r:id="rId71"/>
                </v:shape>
              </v:group>
            </w:pict>
          </mc:Fallback>
        </mc:AlternateContent>
      </w:r>
    </w:p>
    <w:p w:rsidR="008E3F15" w:rsidRDefault="005F449A">
      <w:pPr>
        <w:spacing w:after="31"/>
        <w:ind w:left="2" w:right="15"/>
      </w:pPr>
      <w:r>
        <w:rPr>
          <w:b/>
        </w:rPr>
        <w:t xml:space="preserve">Рис. 3.1. </w:t>
      </w:r>
      <w:r>
        <w:t>Электрокардиограмма при легочной эмболии</w:t>
      </w:r>
    </w:p>
    <w:p w:rsidR="008E3F15" w:rsidRDefault="005F449A">
      <w:pPr>
        <w:spacing w:after="210"/>
        <w:ind w:left="2" w:right="15"/>
      </w:pPr>
      <w:r>
        <w:rPr>
          <w:b/>
        </w:rPr>
        <w:t>Лечение.</w:t>
      </w:r>
      <w:r>
        <w:t xml:space="preserve"> При ЛЭ высокого риска показана экстренная госпитализация в кардиологический блок реанимации и интенсивной терапии, где проводятся следующие мероприятия.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0704" behindDoc="0" locked="0" layoutInCell="1" allowOverlap="1">
                <wp:simplePos x="0" y="0"/>
                <wp:positionH relativeFrom="column">
                  <wp:posOffset>209550</wp:posOffset>
                </wp:positionH>
                <wp:positionV relativeFrom="paragraph">
                  <wp:posOffset>31318</wp:posOffset>
                </wp:positionV>
                <wp:extent cx="57150" cy="238125"/>
                <wp:effectExtent l="0" t="0" r="0" b="0"/>
                <wp:wrapSquare wrapText="bothSides"/>
                <wp:docPr id="267858" name="Group 267858"/>
                <wp:cNvGraphicFramePr/>
                <a:graphic xmlns:a="http://schemas.openxmlformats.org/drawingml/2006/main">
                  <a:graphicData uri="http://schemas.microsoft.com/office/word/2010/wordprocessingGroup">
                    <wpg:wgp>
                      <wpg:cNvGrpSpPr/>
                      <wpg:grpSpPr>
                        <a:xfrm>
                          <a:off x="0" y="0"/>
                          <a:ext cx="57150" cy="238125"/>
                          <a:chOff x="0" y="0"/>
                          <a:chExt cx="57150" cy="238125"/>
                        </a:xfrm>
                      </wpg:grpSpPr>
                      <wps:wsp>
                        <wps:cNvPr id="5836" name="Shape 5836"/>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42" name="Shape 5842"/>
                        <wps:cNvSpPr/>
                        <wps:spPr>
                          <a:xfrm>
                            <a:off x="0" y="180975"/>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7858" style="width:4.5pt;height:18.75pt;position:absolute;mso-position-horizontal-relative:text;mso-position-horizontal:absolute;margin-left:16.5pt;mso-position-vertical-relative:text;margin-top:2.466pt;" coordsize="571,2381">
                <v:shape id="Shape 5836" style="position:absolute;width:571;height:571;left:0;top:0;" coordsize="57150,57150" path="m28575,0c32364,0,36009,695,39510,2133c43011,3572,46101,5655,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55,14139,3572,17640,2133c21141,695,24786,0,28575,0x">
                  <v:stroke weight="0pt" endcap="flat" joinstyle="miter" miterlimit="10" on="false" color="#000000" opacity="0"/>
                  <v:fill on="true" color="#333333"/>
                </v:shape>
                <v:shape id="Shape 5842" style="position:absolute;width:571;height:571;left:0;top:1809;" coordsize="57150,57150" path="m28575,0c32364,0,36009,695,39510,2183c43011,3572,46101,5606,48781,8285c51460,10964,53525,14039,54975,17512c56425,21084,57150,24755,57150,28575c57150,32345,56425,35967,54975,39539c53525,42962,51460,46087,48781,48766c46101,51445,43011,53479,39510,54967c36009,56406,32364,57100,28575,57150c24786,57100,21141,56406,17640,54967c14139,53479,11049,51445,8369,48766c5690,46087,3625,42962,2175,39489c725,35967,0,32345,0,28575c0,24755,725,21084,2175,17512c3625,14039,5690,10964,8369,8285c11049,5606,14139,3572,17640,2133c21141,695,24786,0,28575,0x">
                  <v:stroke weight="0pt" endcap="flat" joinstyle="miter" miterlimit="10" on="false" color="#000000" opacity="0"/>
                  <v:fill on="true" color="#333333"/>
                </v:shape>
                <w10:wrap type="square"/>
              </v:group>
            </w:pict>
          </mc:Fallback>
        </mc:AlternateContent>
      </w:r>
      <w:r>
        <w:t>Оксигенотерапия при S</w:t>
      </w:r>
      <w:r>
        <w:rPr>
          <w:sz w:val="31"/>
          <w:vertAlign w:val="subscript"/>
        </w:rPr>
        <w:t>p</w:t>
      </w:r>
      <w:r>
        <w:t>O</w:t>
      </w:r>
      <w:r>
        <w:rPr>
          <w:sz w:val="31"/>
          <w:vertAlign w:val="subscript"/>
        </w:rPr>
        <w:t>2</w:t>
      </w:r>
      <w:r>
        <w:t xml:space="preserve"> &lt;90%.</w:t>
      </w:r>
    </w:p>
    <w:p w:rsidR="008E3F15" w:rsidRDefault="005F449A">
      <w:pPr>
        <w:ind w:left="340" w:right="15"/>
      </w:pPr>
      <w:r>
        <w:t>Антикоагулянт целесообразно назначить при высокой вероятности ЛЭ до ве</w:t>
      </w:r>
      <w:r>
        <w:t>рификации диагноза:</w:t>
      </w:r>
    </w:p>
    <w:p w:rsidR="008E3F15" w:rsidRDefault="005F449A">
      <w:pPr>
        <w:ind w:left="1210" w:right="4078"/>
      </w:pPr>
      <w:r>
        <w:t>эноксапарин натрия 1 мг/кг п/к; фондапаринукс натрия 5–10 мг п/к;</w:t>
      </w:r>
    </w:p>
    <w:p w:rsidR="008E3F15" w:rsidRDefault="005F449A">
      <w:pPr>
        <w:ind w:left="1210" w:right="15"/>
      </w:pPr>
      <w:r>
        <w:t>НФГ 80 ед/кг (или 5000 ед) в/в болюсом, далее инфузия 18 ед/кг × ч (~1300 ед/ч при массе тела 70 кг). Обязателен при массивной ЛЭ с высоким риском смерти; НФГ 333 ед/кг (</w:t>
      </w:r>
      <w:r>
        <w:t>или ~20000–25000 ед) п/к — при невозможности инфузии.</w:t>
      </w:r>
    </w:p>
    <w:p w:rsidR="008E3F15" w:rsidRDefault="005F449A">
      <w:pPr>
        <w:spacing w:after="31"/>
        <w:ind w:left="610" w:right="15"/>
      </w:pPr>
      <w:r>
        <w:t>Коррекция выраженной гипотензии допамином, норэпинефрином.</w:t>
      </w:r>
    </w:p>
    <w:p w:rsidR="008E3F15" w:rsidRDefault="005F449A">
      <w:pPr>
        <w:spacing w:after="31"/>
        <w:ind w:left="610" w:right="15"/>
      </w:pPr>
      <w:r>
        <w:t>Контроль ЧСС β-адреноблокаторами или верапамилом при ФП.</w:t>
      </w:r>
    </w:p>
    <w:p w:rsidR="008E3F15" w:rsidRDefault="005F449A">
      <w:pPr>
        <w:ind w:left="610" w:right="893"/>
      </w:pPr>
      <w:r>
        <w:rPr>
          <w:rFonts w:ascii="Calibri" w:eastAsia="Calibri" w:hAnsi="Calibri" w:cs="Calibri"/>
          <w:noProof/>
          <w:color w:val="000000"/>
          <w:sz w:val="22"/>
        </w:rPr>
        <mc:AlternateContent>
          <mc:Choice Requires="wpg">
            <w:drawing>
              <wp:anchor distT="0" distB="0" distL="114300" distR="114300" simplePos="0" relativeHeight="251721728" behindDoc="1" locked="0" layoutInCell="1" allowOverlap="1">
                <wp:simplePos x="0" y="0"/>
                <wp:positionH relativeFrom="column">
                  <wp:posOffset>209550</wp:posOffset>
                </wp:positionH>
                <wp:positionV relativeFrom="paragraph">
                  <wp:posOffset>-1031973</wp:posOffset>
                </wp:positionV>
                <wp:extent cx="438150" cy="1428750"/>
                <wp:effectExtent l="0" t="0" r="0" b="0"/>
                <wp:wrapNone/>
                <wp:docPr id="267862" name="Group 267862"/>
                <wp:cNvGraphicFramePr/>
                <a:graphic xmlns:a="http://schemas.openxmlformats.org/drawingml/2006/main">
                  <a:graphicData uri="http://schemas.microsoft.com/office/word/2010/wordprocessingGroup">
                    <wpg:wgp>
                      <wpg:cNvGrpSpPr/>
                      <wpg:grpSpPr>
                        <a:xfrm>
                          <a:off x="0" y="0"/>
                          <a:ext cx="438150" cy="1428750"/>
                          <a:chOff x="0" y="0"/>
                          <a:chExt cx="438150" cy="1428750"/>
                        </a:xfrm>
                      </wpg:grpSpPr>
                      <wps:wsp>
                        <wps:cNvPr id="5845" name="Shape 5845"/>
                        <wps:cNvSpPr/>
                        <wps:spPr>
                          <a:xfrm>
                            <a:off x="38100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134"/>
                                  <a:pt x="57150" y="2480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39"/>
                                </a:cubicBezTo>
                                <a:cubicBezTo>
                                  <a:pt x="725" y="35967"/>
                                  <a:pt x="0" y="32345"/>
                                  <a:pt x="0" y="28575"/>
                                </a:cubicBezTo>
                                <a:cubicBezTo>
                                  <a:pt x="0" y="24805"/>
                                  <a:pt x="725" y="21134"/>
                                  <a:pt x="2175" y="17611"/>
                                </a:cubicBezTo>
                                <a:cubicBezTo>
                                  <a:pt x="3625" y="14089"/>
                                  <a:pt x="5690" y="11013"/>
                                  <a:pt x="8370"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47" name="Shape 5847"/>
                        <wps:cNvSpPr/>
                        <wps:spPr>
                          <a:xfrm>
                            <a:off x="38100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70"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49" name="Shape 5849"/>
                        <wps:cNvSpPr/>
                        <wps:spPr>
                          <a:xfrm>
                            <a:off x="38100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70"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52" name="Shape 5852"/>
                        <wps:cNvSpPr/>
                        <wps:spPr>
                          <a:xfrm>
                            <a:off x="381000" y="6096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70" y="48766"/>
                                </a:cubicBezTo>
                                <a:cubicBezTo>
                                  <a:pt x="5690" y="46038"/>
                                  <a:pt x="3625" y="42912"/>
                                  <a:pt x="2175" y="39439"/>
                                </a:cubicBezTo>
                                <a:cubicBezTo>
                                  <a:pt x="725" y="35967"/>
                                  <a:pt x="0" y="32345"/>
                                  <a:pt x="0" y="28575"/>
                                </a:cubicBezTo>
                                <a:cubicBezTo>
                                  <a:pt x="0" y="24755"/>
                                  <a:pt x="725" y="21084"/>
                                  <a:pt x="2175" y="17611"/>
                                </a:cubicBezTo>
                                <a:cubicBezTo>
                                  <a:pt x="3625" y="14089"/>
                                  <a:pt x="5690" y="11013"/>
                                  <a:pt x="8370"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54" name="Shape 5854"/>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16"/>
                                </a:cubicBezTo>
                                <a:cubicBezTo>
                                  <a:pt x="5690" y="45988"/>
                                  <a:pt x="3625" y="42912"/>
                                  <a:pt x="2175" y="39390"/>
                                </a:cubicBezTo>
                                <a:cubicBezTo>
                                  <a:pt x="725" y="35967"/>
                                  <a:pt x="0" y="32345"/>
                                  <a:pt x="0" y="28575"/>
                                </a:cubicBezTo>
                                <a:cubicBezTo>
                                  <a:pt x="0" y="24755"/>
                                  <a:pt x="725" y="21084"/>
                                  <a:pt x="2175" y="1761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56" name="Shape 5856"/>
                        <wps:cNvSpPr/>
                        <wps:spPr>
                          <a:xfrm>
                            <a:off x="0" y="914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58" name="Shape 5858"/>
                        <wps:cNvSpPr/>
                        <wps:spPr>
                          <a:xfrm>
                            <a:off x="0" y="1066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61" name="Shape 5861"/>
                        <wps:cNvSpPr/>
                        <wps:spPr>
                          <a:xfrm>
                            <a:off x="0" y="13716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7862" style="width:34.5pt;height:112.5pt;position:absolute;z-index:-2147483603;mso-position-horizontal-relative:text;mso-position-horizontal:absolute;margin-left:16.5pt;mso-position-vertical-relative:text;margin-top:-81.2578pt;" coordsize="4381,14287">
                <v:shape id="Shape 5845" style="position:absolute;width:571;height:571;left:3810;top:0;" coordsize="57150,57150" path="m28575,0c32364,0,36009,695,39510,2133c43011,3572,46101,5655,48781,8334c51460,11013,53525,14089,54975,17611c56425,21134,57150,24805,57150,28575c57150,32345,56425,35967,54975,39439c53525,42962,51460,46038,48781,48766c46101,51395,43011,53429,39510,54868c36009,56356,32364,57100,28575,57150c24786,57100,21141,56356,17640,54868c14139,53429,11049,51395,8370,48766c5690,46038,3625,42962,2175,39439c725,35967,0,32345,0,28575c0,24805,725,21134,2175,17611c3625,14089,5690,11013,8370,8334c11049,5655,14139,3572,17640,2133c21141,695,24786,0,28575,0x">
                  <v:stroke weight="0pt" endcap="flat" joinstyle="miter" miterlimit="10" on="false" color="#000000" opacity="0"/>
                  <v:fill on="true" color="#333333"/>
                </v:shape>
                <v:shape id="Shape 5847" style="position:absolute;width:571;height:571;left:3810;top:1524;"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70,48766c5690,46038,3625,42962,2175,39390c725,35967,0,32345,0,28575c0,24755,725,21084,2175,17611c3625,14089,5690,11013,8370,8334c11049,5606,14139,3572,17640,2133c21141,695,24786,0,28575,0x">
                  <v:stroke weight="0pt" endcap="flat" joinstyle="miter" miterlimit="10" on="false" color="#000000" opacity="0"/>
                  <v:fill on="true" color="#333333"/>
                </v:shape>
                <v:shape id="Shape 5849" style="position:absolute;width:571;height:571;left:3810;top:3048;"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70,48766c5690,46038,3625,42962,2175,39439c725,35967,0,32345,0,28575c0,24755,725,21084,2175,17611c3625,14089,5690,11013,8370,8334c11049,5606,14139,3572,17640,2133c21141,695,24786,0,28575,0x">
                  <v:stroke weight="0pt" endcap="flat" joinstyle="miter" miterlimit="10" on="false" color="#000000" opacity="0"/>
                  <v:fill on="true" color="#333333"/>
                </v:shape>
                <v:shape id="Shape 5852" style="position:absolute;width:571;height:571;left:3810;top:6096;" coordsize="57150,57150" path="m28575,0c32364,0,36009,695,39510,2133c43011,3572,46101,5655,48781,8384c51460,11013,53525,14089,54975,17611c56425,21084,57150,24755,57150,28575c57150,32345,56425,35967,54975,39489c53525,42962,51460,46038,48781,48766c46101,51395,43011,53479,39510,54918c36009,56356,32364,57100,28575,57150c24786,57100,21141,56406,17640,54967c14139,53479,11049,51395,8370,48766c5690,46038,3625,42912,2175,39439c725,35967,0,32345,0,28575c0,24755,725,21084,2175,17611c3625,14089,5690,11013,8370,8384c11049,5655,14139,3621,17640,2183c21141,695,24786,0,28575,0x">
                  <v:stroke weight="0pt" endcap="flat" joinstyle="miter" miterlimit="10" on="false" color="#000000" opacity="0"/>
                  <v:fill on="true" color="#333333"/>
                </v:shape>
                <v:shape id="Shape 5854" style="position:absolute;width:571;height:571;left:0;top:7620;" coordsize="57150,57150" path="m28575,0c32364,0,36009,695,39510,2133c43011,3572,46101,5655,48781,8384c51460,11013,53525,14089,54975,17611c56425,21084,57150,24755,57150,28575c57150,32345,56425,35967,54975,39390c53525,42912,51460,45988,48781,48716c46101,51395,43011,53429,39510,54868c36009,56356,32364,57100,28575,57150c24786,57100,21141,56356,17640,54868c14139,53429,11049,51395,8369,48716c5690,45988,3625,42912,2175,39390c725,35967,0,32345,0,28575c0,24755,725,21084,2175,17611c3625,14089,5690,11013,8369,8384c11049,5655,14139,3621,17640,2183c21141,695,24786,0,28575,0x">
                  <v:stroke weight="0pt" endcap="flat" joinstyle="miter" miterlimit="10" on="false" color="#000000" opacity="0"/>
                  <v:fill on="true" color="#333333"/>
                </v:shape>
                <v:shape id="Shape 5856" style="position:absolute;width:571;height:571;left:0;top:9144;" coordsize="57150,57150" path="m28575,0c32364,0,36009,695,39510,2133c43011,3572,46101,5606,48781,8334c51460,10964,53525,14089,54975,17611c56425,21084,57150,24755,57150,28575c57150,32345,56425,35967,54975,39489c53525,42962,51460,46038,48781,48766c46101,51395,43011,53429,39510,54918c36009,56356,32364,57100,28575,57150c24786,57100,21141,56406,17640,54967c14139,53429,11049,51395,8369,48766c5690,46038,3625,42912,2175,39439c725,35967,0,32345,0,28575c0,24755,725,21084,2175,17611c3625,14089,5690,10964,8369,8334c11049,5606,14139,3572,17640,2133c21141,695,24786,0,28575,0x">
                  <v:stroke weight="0pt" endcap="flat" joinstyle="miter" miterlimit="10" on="false" color="#000000" opacity="0"/>
                  <v:fill on="true" color="#333333"/>
                </v:shape>
                <v:shape id="Shape 5858" style="position:absolute;width:571;height:571;left:0;top:10668;" coordsize="57150,57150" path="m28575,0c32364,0,36009,695,39510,2133c43011,3572,46101,5606,48781,8334c51460,10964,53525,14089,54975,1756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89,5690,10964,8369,8334c11049,5606,14139,3572,17640,2133c21141,695,24786,0,28575,0x">
                  <v:stroke weight="0pt" endcap="flat" joinstyle="miter" miterlimit="10" on="false" color="#000000" opacity="0"/>
                  <v:fill on="true" color="#333333"/>
                </v:shape>
                <v:shape id="Shape 5861" style="position:absolute;width:571;height:571;left:0;top:13716;" coordsize="57150,57150" path="m28575,0c32364,0,36009,695,39510,2133c43011,3572,46101,5655,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55,14139,3572,17640,2133c21141,695,24786,0,28575,0x">
                  <v:stroke weight="0pt" endcap="flat" joinstyle="miter" miterlimit="10" on="false" color="#000000" opacity="0"/>
                  <v:fill on="true" color="#333333"/>
                </v:shape>
              </v:group>
            </w:pict>
          </mc:Fallback>
        </mc:AlternateContent>
      </w:r>
      <w:r>
        <w:t>Введение диуретиков и вазодилататоров нежелательно, так как может привести к выраженной гипотензии.</w:t>
      </w:r>
    </w:p>
    <w:p w:rsidR="008E3F15" w:rsidRDefault="005F449A">
      <w:pPr>
        <w:spacing w:after="179"/>
        <w:ind w:left="610" w:right="15"/>
      </w:pPr>
      <w:r>
        <w:t>Обезболить — внутрь ибупрофен 800–1200 мг, диклофенак 50–100 мг, кетопрофен 100– 150 мг.</w:t>
      </w:r>
    </w:p>
    <w:p w:rsidR="008E3F15" w:rsidRDefault="005F449A">
      <w:pPr>
        <w:spacing w:after="359"/>
        <w:ind w:left="2" w:right="163"/>
      </w:pPr>
      <w:r>
        <w:t xml:space="preserve">При остановке сердца, вызванной ЛЭ, возможен эффект тромболизиса и </w:t>
      </w:r>
      <w:r>
        <w:t>длительной (60– 100 мин) сердечно-легочной реанимации (СЛР) (Javaudin F. et al., 2019; Perrott J. et al., 2010; TROICA).</w:t>
      </w:r>
    </w:p>
    <w:p w:rsidR="008E3F15" w:rsidRDefault="005F449A">
      <w:pPr>
        <w:pStyle w:val="Heading1"/>
        <w:ind w:left="2"/>
      </w:pPr>
      <w:r>
        <w:t>Часть I. Сердечно-сосудистые болезни</w:t>
      </w:r>
    </w:p>
    <w:p w:rsidR="008E3F15" w:rsidRDefault="005F449A">
      <w:pPr>
        <w:spacing w:after="179"/>
        <w:ind w:left="2" w:right="5432"/>
      </w:pPr>
      <w:r>
        <w:t xml:space="preserve">Отделение неотложной помощи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2752"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67872" name="Group 267872"/>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5870" name="Shape 5870"/>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72" name="Shape 5872"/>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3011"/>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3011"/>
                                  <a:pt x="2175" y="3948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74" name="Shape 5874"/>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611"/>
                                </a:cubicBezTo>
                                <a:cubicBezTo>
                                  <a:pt x="3625" y="1408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876" name="Shape 5876"/>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611"/>
                                </a:cubicBezTo>
                                <a:cubicBezTo>
                                  <a:pt x="3625" y="1408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67872" style="width:4.5pt;height:40.5pt;position:absolute;mso-position-horizontal-relative:text;mso-position-horizontal:absolute;margin-left:16.5pt;mso-position-vertical-relative:text;margin-top:2.74219pt;" coordsize="571,5143">
                <v:shape id="Shape 5870" style="position:absolute;width:571;height:571;left:0;top:0;" coordsize="57150,57150" path="m28575,0c32364,0,36009,695,39510,2133c43011,3572,46101,5606,48781,8334c51460,10964,53525,14089,54975,17611c56425,21084,57150,24755,57150,28575c57150,32345,56425,35967,54975,39489c53525,42962,51460,46038,48781,48766c46101,51395,43011,53479,39510,54918c36009,56356,32364,57100,28575,57150c24786,57100,21141,56406,17640,54967c14139,53479,11049,51395,8369,48766c5690,46038,3625,42962,2175,39439c725,35967,0,32345,0,28575c0,24755,725,21084,2175,17611c3625,14089,5690,10964,8369,8334c11049,5606,14139,3572,17640,2133c21141,695,24786,0,28575,0x">
                  <v:stroke weight="0pt" endcap="flat" joinstyle="miter" miterlimit="10" on="false" color="#000000" opacity="0"/>
                  <v:fill on="true" color="#333333"/>
                </v:shape>
                <v:shape id="Shape 5872" style="position:absolute;width:571;height:571;left:0;top:1524;" coordsize="57150,57150" path="m28575,0c32364,0,36009,695,39510,2133c43011,3572,46101,5606,48781,8334c51460,10964,53525,14089,54975,17611c56425,21084,57150,24755,57150,28575c57150,32345,56425,35967,54975,39489c53525,43011,51460,46087,48781,48766c46101,51445,43011,53529,39510,54967c36009,56406,32364,57100,28575,57150c24786,57100,21141,56406,17640,54967c14139,53529,11049,51445,8369,48766c5690,46087,3625,43011,2175,39489c725,35967,0,32345,0,28575c0,24755,725,21084,2175,17611c3625,14089,5690,10964,8369,8334c11049,5606,14139,3572,17640,2133c21141,695,24786,0,28575,0x">
                  <v:stroke weight="0pt" endcap="flat" joinstyle="miter" miterlimit="10" on="false" color="#000000" opacity="0"/>
                  <v:fill on="true" color="#333333"/>
                </v:shape>
                <v:shape id="Shape 5874" style="position:absolute;width:571;height:571;left:0;top:3048;" coordsize="57150,57150" path="m28575,0c32364,0,36009,695,39510,2133c43011,3572,46101,5606,48781,8285c51460,10964,53525,14039,54975,17562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611c3625,14089,5690,10964,8369,8285c11049,5606,14139,3572,17640,2133c21141,695,24786,0,28575,0x">
                  <v:stroke weight="0pt" endcap="flat" joinstyle="miter" miterlimit="10" on="false" color="#000000" opacity="0"/>
                  <v:fill on="true" color="#333333"/>
                </v:shape>
                <v:shape id="Shape 5876" style="position:absolute;width:571;height:571;left:0;top:4572;" coordsize="57150,57150" path="m28575,0c32364,0,36009,695,39510,2133c43011,3572,46101,5606,48781,8285c51460,10964,53525,14039,54975,1751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611c3625,14089,5690,10964,8369,8285c11049,5606,14139,3572,17640,2133c21141,695,24786,0,28575,0x">
                  <v:stroke weight="0pt" endcap="flat" joinstyle="miter" miterlimit="10" on="false" color="#000000" opacity="0"/>
                  <v:fill on="true" color="#333333"/>
                </v:shape>
                <w10:wrap type="square"/>
              </v:group>
            </w:pict>
          </mc:Fallback>
        </mc:AlternateContent>
      </w:r>
      <w:r>
        <w:t>Пульсоксиметрия.</w:t>
      </w:r>
    </w:p>
    <w:p w:rsidR="008E3F15" w:rsidRDefault="005F449A">
      <w:pPr>
        <w:spacing w:after="31"/>
        <w:ind w:left="340" w:right="15"/>
      </w:pPr>
      <w:r>
        <w:t>ЭКГ, АД, ЧСС.</w:t>
      </w:r>
    </w:p>
    <w:p w:rsidR="008E3F15" w:rsidRDefault="005F449A">
      <w:pPr>
        <w:spacing w:after="31"/>
        <w:ind w:left="340" w:right="15"/>
      </w:pPr>
      <w:r>
        <w:t>D-димер.</w:t>
      </w:r>
    </w:p>
    <w:p w:rsidR="008E3F15" w:rsidRDefault="005F449A">
      <w:pPr>
        <w:spacing w:after="165"/>
        <w:ind w:left="340" w:right="15"/>
      </w:pPr>
      <w:r>
        <w:t>Шкалы Wells/rGene</w:t>
      </w:r>
      <w:r>
        <w:t>va, критерии PERC</w:t>
      </w:r>
    </w:p>
    <w:p w:rsidR="008E3F15" w:rsidRDefault="005F449A">
      <w:pPr>
        <w:pStyle w:val="Heading2"/>
        <w:ind w:left="2"/>
      </w:pPr>
      <w:r>
        <w:t>Лечение</w:t>
      </w:r>
    </w:p>
    <w:p w:rsidR="008E3F15" w:rsidRDefault="005F449A">
      <w:pPr>
        <w:spacing w:after="165"/>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267874" name="Group 26787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5879" name="Shape 5879"/>
                        <wps:cNvSpPr/>
                        <wps:spPr>
                          <a:xfrm>
                            <a:off x="0" y="0"/>
                            <a:ext cx="57150" cy="57150"/>
                          </a:xfrm>
                          <a:custGeom>
                            <a:avLst/>
                            <a:gdLst/>
                            <a:ahLst/>
                            <a:cxnLst/>
                            <a:rect l="0" t="0" r="0" b="0"/>
                            <a:pathLst>
                              <a:path w="57150" h="57150">
                                <a:moveTo>
                                  <a:pt x="28575" y="0"/>
                                </a:moveTo>
                                <a:cubicBezTo>
                                  <a:pt x="32364" y="0"/>
                                  <a:pt x="36009" y="695"/>
                                  <a:pt x="39510" y="2133"/>
                                </a:cubicBezTo>
                                <a:cubicBezTo>
                                  <a:pt x="43011" y="3621"/>
                                  <a:pt x="46101" y="5705"/>
                                  <a:pt x="48781" y="8384"/>
                                </a:cubicBezTo>
                                <a:cubicBezTo>
                                  <a:pt x="51460" y="11063"/>
                                  <a:pt x="53525" y="14139"/>
                                  <a:pt x="54975" y="17611"/>
                                </a:cubicBezTo>
                                <a:cubicBezTo>
                                  <a:pt x="56425" y="21134"/>
                                  <a:pt x="57150" y="2480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805"/>
                                  <a:pt x="725" y="21134"/>
                                  <a:pt x="2175" y="17611"/>
                                </a:cubicBezTo>
                                <a:cubicBezTo>
                                  <a:pt x="3625" y="14139"/>
                                  <a:pt x="5690" y="11063"/>
                                  <a:pt x="8369" y="8384"/>
                                </a:cubicBezTo>
                                <a:cubicBezTo>
                                  <a:pt x="11049" y="5705"/>
                                  <a:pt x="14139" y="3621"/>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67874" style="width:4.5pt;height:4.5pt;mso-position-horizontal-relative:char;mso-position-vertical-relative:line" coordsize="571,571">
                <v:shape id="Shape 5879" style="position:absolute;width:571;height:571;left:0;top:0;" coordsize="57150,57150" path="m28575,0c32364,0,36009,695,39510,2133c43011,3621,46101,5705,48781,8384c51460,11063,53525,14139,54975,17611c56425,21134,57150,24805,57150,28575c57150,32345,56425,35967,54975,39439c53525,42962,51460,46038,48781,48766c46101,51395,43011,53479,39510,54918c36009,56356,32364,57100,28575,57150c24786,57100,21141,56356,17640,54918c14139,53479,11049,51395,8369,48766c5690,46038,3625,42962,2175,39439c725,35967,0,32345,0,28575c0,24805,725,21134,2175,17611c3625,14139,5690,11063,8369,8384c11049,5705,14139,3621,17640,2133c21141,695,24786,0,28575,0x">
                  <v:stroke weight="0pt" endcap="flat" joinstyle="miter" miterlimit="10" on="false" color="#000000" opacity="0"/>
                  <v:fill on="true" color="#333333"/>
                </v:shape>
              </v:group>
            </w:pict>
          </mc:Fallback>
        </mc:AlternateContent>
      </w:r>
      <w:r>
        <w:t xml:space="preserve"> Антикоагулянты.</w:t>
      </w:r>
    </w:p>
    <w:p w:rsidR="008E3F15" w:rsidRDefault="005F449A">
      <w:pPr>
        <w:ind w:left="2" w:right="155"/>
      </w:pPr>
      <w:r>
        <w:t>В отделении неотложной помощи (приемное отделение) выполняется уточнение диагноза и решается вопрос о госпитализации пациентов, не требующих перевода в реанимационное отделение.</w:t>
      </w:r>
    </w:p>
    <w:p w:rsidR="008E3F15" w:rsidRDefault="005F449A">
      <w:pPr>
        <w:ind w:left="2" w:right="124"/>
      </w:pPr>
      <w:r>
        <w:t>Учитывая неспецифические клиническ</w:t>
      </w:r>
      <w:r>
        <w:t>ие признаки ЛЭ, важно определиться с вероятностью и риском заболевания, чтобы госпитализировать пациента или выписать, избегая облучения (более 90% ангиографий не выявляют ЛЭ), контраст-индуцированной нефропатии и больших затрат.</w:t>
      </w:r>
    </w:p>
    <w:p w:rsidR="008E3F15" w:rsidRDefault="005F449A">
      <w:pPr>
        <w:ind w:left="2" w:right="15"/>
      </w:pPr>
      <w:r>
        <w:t>С целью оценки претестовой вероятности ЛЭ используют шкалу Wells или rGeneva. Если вероятность ЛЭ оказывается низкой, необходимо оценить D-димер (</w:t>
      </w:r>
      <w:r>
        <w:rPr>
          <w:b/>
        </w:rPr>
        <w:t>рис. 3.2</w:t>
      </w:r>
      <w:r>
        <w:t>).</w:t>
      </w:r>
    </w:p>
    <w:p w:rsidR="008E3F15" w:rsidRDefault="005F449A">
      <w:pPr>
        <w:spacing w:after="65" w:line="259" w:lineRule="auto"/>
        <w:ind w:left="0" w:right="0" w:firstLine="0"/>
      </w:pPr>
      <w:r>
        <w:rPr>
          <w:noProof/>
        </w:rPr>
        <w:drawing>
          <wp:inline distT="0" distB="0" distL="0" distR="0">
            <wp:extent cx="5057775" cy="3314700"/>
            <wp:effectExtent l="0" t="0" r="0" b="0"/>
            <wp:docPr id="5916" name="Picture 5916"/>
            <wp:cNvGraphicFramePr/>
            <a:graphic xmlns:a="http://schemas.openxmlformats.org/drawingml/2006/main">
              <a:graphicData uri="http://schemas.openxmlformats.org/drawingml/2006/picture">
                <pic:pic xmlns:pic="http://schemas.openxmlformats.org/drawingml/2006/picture">
                  <pic:nvPicPr>
                    <pic:cNvPr id="5916" name="Picture 5916"/>
                    <pic:cNvPicPr/>
                  </pic:nvPicPr>
                  <pic:blipFill>
                    <a:blip r:embed="rId72"/>
                    <a:stretch>
                      <a:fillRect/>
                    </a:stretch>
                  </pic:blipFill>
                  <pic:spPr>
                    <a:xfrm>
                      <a:off x="0" y="0"/>
                      <a:ext cx="5057775" cy="3314700"/>
                    </a:xfrm>
                    <a:prstGeom prst="rect">
                      <a:avLst/>
                    </a:prstGeom>
                  </pic:spPr>
                </pic:pic>
              </a:graphicData>
            </a:graphic>
          </wp:inline>
        </w:drawing>
      </w:r>
    </w:p>
    <w:p w:rsidR="008E3F15" w:rsidRDefault="005F449A">
      <w:pPr>
        <w:ind w:left="2" w:right="476"/>
      </w:pPr>
      <w:r>
        <w:rPr>
          <w:b/>
        </w:rPr>
        <w:t xml:space="preserve">Рис. 3.2. </w:t>
      </w:r>
      <w:r>
        <w:t>Алгоритм PEGeD ведения пациентов с подозрением на легочную эмболию с определением прете</w:t>
      </w:r>
      <w:r>
        <w:t>стовой вероятности заболевания (Kearon C. et al., 2019) Если уровень D-димера ниже порогового у пациентов с невысокой вероятностью ЛЭ, то диагноз ЛЭ можно исключить и рассмотреть возможность другой причины симптомов.</w:t>
      </w:r>
    </w:p>
    <w:p w:rsidR="008E3F15" w:rsidRDefault="005F449A">
      <w:pPr>
        <w:spacing w:after="31"/>
        <w:ind w:left="2" w:right="15"/>
      </w:pPr>
      <w:r>
        <w:t>Удобно использовать экспресс-тесты с D-</w:t>
      </w:r>
      <w:r>
        <w:t>димером.</w:t>
      </w:r>
    </w:p>
    <w:p w:rsidR="008E3F15" w:rsidRDefault="005F449A">
      <w:pPr>
        <w:ind w:left="2" w:right="15"/>
      </w:pPr>
      <w:r>
        <w:t>Наряду с D-димером предложены критерии исключения PERC. Если отсутствуют все критерии: возраст ≥50 лет, ЧСС ≥100 в мин, S</w:t>
      </w:r>
      <w:r>
        <w:rPr>
          <w:sz w:val="31"/>
          <w:vertAlign w:val="subscript"/>
        </w:rPr>
        <w:t>p</w:t>
      </w:r>
      <w:r>
        <w:t>O</w:t>
      </w:r>
      <w:r>
        <w:rPr>
          <w:sz w:val="31"/>
          <w:vertAlign w:val="subscript"/>
        </w:rPr>
        <w:t>2</w:t>
      </w:r>
      <w:r>
        <w:t xml:space="preserve"> &lt;95%, анамнез ЛЭ/тромбоза глубоких вен, травма/ хирургия последние 4 нед, кровохаркание, прием эстрогенов и односторонний </w:t>
      </w:r>
      <w:r>
        <w:t>отек ноги, то диагноз ЛЭ можно исключить.</w:t>
      </w:r>
    </w:p>
    <w:p w:rsidR="008E3F15" w:rsidRDefault="005F449A">
      <w:pPr>
        <w:ind w:left="2" w:right="15"/>
      </w:pPr>
      <w:r>
        <w:t>Оценка претестовой вероятности позволяет существенно снизить частоту неоправданной КТангиографии. Так, в большом госпитале среди пациентов с низкой вероятностью ЛЭ (шкала Wells ≤4) положительная ангиография состави</w:t>
      </w:r>
      <w:r>
        <w:t>ла 4%, а при повышенной вероятности — 30%</w:t>
      </w:r>
    </w:p>
    <w:p w:rsidR="008E3F15" w:rsidRDefault="005F449A">
      <w:pPr>
        <w:spacing w:after="330"/>
        <w:ind w:left="2" w:right="15"/>
      </w:pPr>
      <w:r>
        <w:t>(Alhassan S. et al., 2016).</w:t>
      </w:r>
    </w:p>
    <w:p w:rsidR="008E3F15" w:rsidRDefault="005F449A">
      <w:pPr>
        <w:pStyle w:val="Heading1"/>
        <w:ind w:left="2"/>
      </w:pPr>
      <w:r>
        <w:t>Часть I. Сердечно-сосудистые болезни</w:t>
      </w:r>
    </w:p>
    <w:p w:rsidR="008E3F15" w:rsidRDefault="005F449A">
      <w:pPr>
        <w:spacing w:after="179"/>
        <w:ind w:left="2" w:right="5384"/>
      </w:pPr>
      <w:r>
        <w:t xml:space="preserve">Отделение интенсивной терапии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3776" behindDoc="0" locked="0" layoutInCell="1" allowOverlap="1">
                <wp:simplePos x="0" y="0"/>
                <wp:positionH relativeFrom="column">
                  <wp:posOffset>209550</wp:posOffset>
                </wp:positionH>
                <wp:positionV relativeFrom="paragraph">
                  <wp:posOffset>34826</wp:posOffset>
                </wp:positionV>
                <wp:extent cx="57150" cy="1428750"/>
                <wp:effectExtent l="0" t="0" r="0" b="0"/>
                <wp:wrapSquare wrapText="bothSides"/>
                <wp:docPr id="274410" name="Group 274410"/>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5938" name="Shape 5938"/>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40" name="Shape 5940"/>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42" name="Shape 5942"/>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6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44" name="Shape 5944"/>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39"/>
                                </a:cubicBezTo>
                                <a:cubicBezTo>
                                  <a:pt x="53525" y="42912"/>
                                  <a:pt x="51460" y="45988"/>
                                  <a:pt x="48781" y="48716"/>
                                </a:cubicBezTo>
                                <a:cubicBezTo>
                                  <a:pt x="46101" y="51346"/>
                                  <a:pt x="43011" y="53429"/>
                                  <a:pt x="39510" y="54918"/>
                                </a:cubicBezTo>
                                <a:cubicBezTo>
                                  <a:pt x="36009" y="56356"/>
                                  <a:pt x="32364" y="57100"/>
                                  <a:pt x="28575" y="57150"/>
                                </a:cubicBezTo>
                                <a:cubicBezTo>
                                  <a:pt x="24786" y="57100"/>
                                  <a:pt x="21141" y="56356"/>
                                  <a:pt x="17640" y="54918"/>
                                </a:cubicBezTo>
                                <a:cubicBezTo>
                                  <a:pt x="14139" y="53429"/>
                                  <a:pt x="11049" y="51346"/>
                                  <a:pt x="8369" y="48716"/>
                                </a:cubicBezTo>
                                <a:cubicBezTo>
                                  <a:pt x="5690" y="45988"/>
                                  <a:pt x="3625" y="42912"/>
                                  <a:pt x="2175" y="39439"/>
                                </a:cubicBezTo>
                                <a:cubicBezTo>
                                  <a:pt x="725" y="35967"/>
                                  <a:pt x="0" y="32345"/>
                                  <a:pt x="0" y="28575"/>
                                </a:cubicBezTo>
                                <a:cubicBezTo>
                                  <a:pt x="0" y="24755"/>
                                  <a:pt x="725" y="21084"/>
                                  <a:pt x="2175" y="17562"/>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46" name="Shape 5946"/>
                        <wps:cNvSpPr/>
                        <wps:spPr>
                          <a:xfrm>
                            <a:off x="0" y="6096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48" name="Shape 5948"/>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50" name="Shape 5950"/>
                        <wps:cNvSpPr/>
                        <wps:spPr>
                          <a:xfrm>
                            <a:off x="0" y="914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52" name="Shape 5952"/>
                        <wps:cNvSpPr/>
                        <wps:spPr>
                          <a:xfrm>
                            <a:off x="0" y="1066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55" name="Shape 5955"/>
                        <wps:cNvSpPr/>
                        <wps:spPr>
                          <a:xfrm>
                            <a:off x="0" y="13716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410" style="width:4.5pt;height:112.5pt;position:absolute;mso-position-horizontal-relative:text;mso-position-horizontal:absolute;margin-left:16.5pt;mso-position-vertical-relative:text;margin-top:2.74219pt;" coordsize="571,14287">
                <v:shape id="Shape 5938" style="position:absolute;width:571;height:571;left:0;top:0;" coordsize="57150,57150" path="m28575,0c32364,0,36009,695,39510,2133c43011,3572,46101,5606,48781,8334c51460,10964,53525,14089,54975,17611c56425,21084,57150,24755,57150,28575c57150,32345,56425,35967,54975,39489c53525,42962,51460,46038,48781,48766c46101,51395,43011,53479,39510,54918c36009,56356,32364,57100,28575,57150c24786,57100,21141,56406,17640,54967c14139,53479,11049,51395,8369,48766c5690,46038,3625,42912,2175,39439c725,35967,0,32345,0,28575c0,24755,725,21084,2175,17611c3625,14089,5690,10964,8369,8334c11049,5606,14139,3572,17640,2133c21141,695,24786,0,28575,0x">
                  <v:stroke weight="0pt" endcap="flat" joinstyle="miter" miterlimit="10" on="false" color="#000000" opacity="0"/>
                  <v:fill on="true" color="#333333"/>
                </v:shape>
                <v:shape id="Shape 5940" style="position:absolute;width:571;height:571;left:0;top:1524;" coordsize="57150,57150" path="m28575,0c32364,0,36009,695,39510,2133c43011,3572,46101,5606,48781,8334c51460,10964,53525,14089,54975,17611c56425,21084,57150,24755,57150,28575c57150,32345,56425,35967,54975,39489c53525,42962,51460,46038,48781,48766c46101,51395,43011,53479,39510,54918c36009,56356,32364,57100,28575,57150c24786,57100,21141,56406,17640,54967c14139,53479,11049,51395,8369,48766c5690,46038,3625,42912,2175,39439c725,35967,0,32345,0,28575c0,24755,725,21084,2175,17611c3625,14089,5690,10964,8369,8334c11049,5606,14139,3572,17640,2133c21141,695,24786,0,28575,0x">
                  <v:stroke weight="0pt" endcap="flat" joinstyle="miter" miterlimit="10" on="false" color="#000000" opacity="0"/>
                  <v:fill on="true" color="#333333"/>
                </v:shape>
                <v:shape id="Shape 5942" style="position:absolute;width:571;height:571;left:0;top:3048;" coordsize="57150,57150" path="m28575,0c32364,0,36009,695,39510,2133c43011,3572,46101,5655,48781,8384c51460,11013,53525,14089,54975,17661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89,5690,11013,8369,8384c11049,5655,14139,3621,17640,2183c21141,695,24786,0,28575,0x">
                  <v:stroke weight="0pt" endcap="flat" joinstyle="miter" miterlimit="10" on="false" color="#000000" opacity="0"/>
                  <v:fill on="true" color="#333333"/>
                </v:shape>
                <v:shape id="Shape 5944" style="position:absolute;width:571;height:571;left:0;top:4572;" coordsize="57150,57150" path="m28575,0c32364,0,36009,695,39510,2133c43011,3572,46101,5655,48781,8384c51460,11013,53525,14089,54975,17611c56425,21084,57150,24755,57150,28575c57150,32345,56425,35967,54975,39439c53525,42912,51460,45988,48781,48716c46101,51346,43011,53429,39510,54918c36009,56356,32364,57100,28575,57150c24786,57100,21141,56356,17640,54918c14139,53429,11049,51346,8369,48716c5690,45988,3625,42912,2175,39439c725,35967,0,32345,0,28575c0,24755,725,21084,2175,17562c3625,14089,5690,11013,8369,8384c11049,5655,14139,3621,17640,2183c21141,695,24786,0,28575,0x">
                  <v:stroke weight="0pt" endcap="flat" joinstyle="miter" miterlimit="10" on="false" color="#000000" opacity="0"/>
                  <v:fill on="true" color="#333333"/>
                </v:shape>
                <v:shape id="Shape 5946" style="position:absolute;width:571;height:571;left:0;top:6096;" coordsize="57150,57150" path="m28575,0c32364,0,36009,695,39510,2133c43011,3572,46101,5655,48781,8334c51460,10964,53525,14089,54975,17562c56425,21084,57150,24755,57150,28575c57150,32345,56425,35967,54975,39439c53525,42912,51460,45988,48781,48716c46101,51346,43011,53429,39510,54868c36009,56356,32364,57100,28575,57150c24786,57100,21141,56356,17640,54868c14139,53429,11049,51346,8369,48716c5690,45988,3625,42912,2175,39439c725,35967,0,32345,0,28575c0,24755,725,21084,2175,17562c3625,14089,5690,10964,8369,8334c11049,5655,14139,3572,17640,2133c21141,695,24786,0,28575,0x">
                  <v:stroke weight="0pt" endcap="flat" joinstyle="miter" miterlimit="10" on="false" color="#000000" opacity="0"/>
                  <v:fill on="true" color="#333333"/>
                </v:shape>
                <v:shape id="Shape 5948" style="position:absolute;width:571;height:571;left:0;top:7620;" coordsize="57150,57150" path="m28575,0c32364,0,36009,695,39510,2133c43011,3572,46101,5655,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55,14139,3572,17640,2133c21141,695,24786,0,28575,0x">
                  <v:stroke weight="0pt" endcap="flat" joinstyle="miter" miterlimit="10" on="false" color="#000000" opacity="0"/>
                  <v:fill on="true" color="#333333"/>
                </v:shape>
                <v:shape id="Shape 5950" style="position:absolute;width:571;height:571;left:0;top:9144;" coordsize="57150,57150" path="m28575,0c32364,0,36009,695,39510,2133c43011,3572,46101,5606,48781,8334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334c11049,5606,14139,3572,17640,2133c21141,695,24786,0,28575,0x">
                  <v:stroke weight="0pt" endcap="flat" joinstyle="miter" miterlimit="10" on="false" color="#000000" opacity="0"/>
                  <v:fill on="true" color="#333333"/>
                </v:shape>
                <v:shape id="Shape 5952" style="position:absolute;width:571;height:571;left:0;top:10668;" coordsize="57150,57150" path="m28575,0c32364,0,36009,695,39510,2133c43011,3572,46101,5606,48781,8334c51460,10964,53525,14089,54975,17562c56425,21084,57150,24755,57150,28575c57150,32345,56425,35967,54975,39439c53525,42962,51460,46087,48781,48766c46101,51395,43011,53479,39510,54918c36009,56356,32364,57100,28575,57150c24786,57100,21141,56356,17640,54918c14139,53479,11049,51395,8369,48766c5690,46087,3625,42962,2175,39439c725,35967,0,32345,0,28575c0,24755,725,21084,2175,17562c3625,14089,5690,10964,8369,8334c11049,5606,14139,3572,17640,2133c21141,695,24786,0,28575,0x">
                  <v:stroke weight="0pt" endcap="flat" joinstyle="miter" miterlimit="10" on="false" color="#000000" opacity="0"/>
                  <v:fill on="true" color="#333333"/>
                </v:shape>
                <v:shape id="Shape 5955" style="position:absolute;width:571;height:571;left:0;top:13716;" coordsize="57150,57150" path="m28575,0c32364,0,36009,695,39510,2183c43011,3621,46101,5655,48781,8334c51460,10964,53525,14039,54975,17562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562c3625,14039,5690,10964,8369,8334c11049,5655,14139,3621,17640,2183c21141,695,24786,0,28575,0x">
                  <v:stroke weight="0pt" endcap="flat" joinstyle="miter" miterlimit="10" on="false" color="#000000" opacity="0"/>
                  <v:fill on="true" color="#333333"/>
                </v:shape>
                <w10:wrap type="square"/>
              </v:group>
            </w:pict>
          </mc:Fallback>
        </mc:AlternateContent>
      </w:r>
      <w:r>
        <w:t>Оксигенация — газы крови, пульсоксиметрия.</w:t>
      </w:r>
    </w:p>
    <w:p w:rsidR="008E3F15" w:rsidRDefault="005F449A">
      <w:pPr>
        <w:spacing w:after="31"/>
        <w:ind w:left="340" w:right="15"/>
      </w:pPr>
      <w:r>
        <w:t>ЭКГ.</w:t>
      </w:r>
    </w:p>
    <w:p w:rsidR="008E3F15" w:rsidRDefault="005F449A">
      <w:pPr>
        <w:spacing w:after="31"/>
        <w:ind w:left="340" w:right="15"/>
      </w:pPr>
      <w:r>
        <w:t>Мониторинг ЭКГ и АД.</w:t>
      </w:r>
    </w:p>
    <w:p w:rsidR="008E3F15" w:rsidRDefault="005F449A">
      <w:pPr>
        <w:spacing w:after="31"/>
        <w:ind w:left="340" w:right="15"/>
      </w:pPr>
      <w:r>
        <w:t>Сердечные биомаркеры (тропонин, D-дим</w:t>
      </w:r>
      <w:r>
        <w:t>ер).</w:t>
      </w:r>
    </w:p>
    <w:p w:rsidR="008E3F15" w:rsidRDefault="005F449A">
      <w:pPr>
        <w:spacing w:after="31"/>
        <w:ind w:left="340" w:right="15"/>
      </w:pPr>
      <w:r>
        <w:t>Эхокардиография.</w:t>
      </w:r>
    </w:p>
    <w:p w:rsidR="008E3F15" w:rsidRDefault="005F449A">
      <w:pPr>
        <w:spacing w:after="31"/>
        <w:ind w:left="340" w:right="15"/>
      </w:pPr>
      <w:r>
        <w:t>КТ-ангиография легочной артерии — ведущий метод.</w:t>
      </w:r>
    </w:p>
    <w:p w:rsidR="008E3F15" w:rsidRDefault="005F449A">
      <w:pPr>
        <w:spacing w:after="31"/>
        <w:ind w:left="340" w:right="15"/>
      </w:pPr>
      <w:r>
        <w:t>Шкала PESI, критерии Hestia.</w:t>
      </w:r>
    </w:p>
    <w:p w:rsidR="008E3F15" w:rsidRDefault="005F449A">
      <w:pPr>
        <w:spacing w:after="179"/>
        <w:ind w:left="340" w:right="15"/>
      </w:pPr>
      <w:r>
        <w:t>Контроль активированного частичного тромбопластинового времени при инфузии гепарина, международного нормализованного отношения (МНО), тромбоцитов. Исключени</w:t>
      </w:r>
      <w:r>
        <w:t>е ИМ.</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4800"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74411" name="Group 274411"/>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5958" name="Shape 5958"/>
                        <wps:cNvSpPr/>
                        <wps:spPr>
                          <a:xfrm>
                            <a:off x="0" y="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60" name="Shape 5960"/>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62" name="Shape 5962"/>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134"/>
                                  <a:pt x="57150" y="2480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805"/>
                                  <a:pt x="725" y="21134"/>
                                  <a:pt x="2175" y="17611"/>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5964" name="Shape 5964"/>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16"/>
                                </a:cubicBezTo>
                                <a:cubicBezTo>
                                  <a:pt x="46101" y="51346"/>
                                  <a:pt x="43011" y="53429"/>
                                  <a:pt x="39510" y="54868"/>
                                </a:cubicBezTo>
                                <a:cubicBezTo>
                                  <a:pt x="36009" y="56356"/>
                                  <a:pt x="32364" y="57100"/>
                                  <a:pt x="28575" y="57150"/>
                                </a:cubicBezTo>
                                <a:cubicBezTo>
                                  <a:pt x="24786" y="57100"/>
                                  <a:pt x="21141" y="56307"/>
                                  <a:pt x="17640" y="54868"/>
                                </a:cubicBezTo>
                                <a:cubicBezTo>
                                  <a:pt x="14139" y="53380"/>
                                  <a:pt x="11049" y="51346"/>
                                  <a:pt x="8369" y="4871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411" style="width:4.5pt;height:40.5pt;position:absolute;mso-position-horizontal-relative:text;mso-position-horizontal:absolute;margin-left:16.5pt;mso-position-vertical-relative:text;margin-top:2.74219pt;" coordsize="571,5143">
                <v:shape id="Shape 5958" style="position:absolute;width:571;height:571;left:0;top:0;" coordsize="57150,57150" path="m28575,0c32364,0,36009,695,39510,2183c43011,3621,46101,5655,48781,8334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334c11049,5655,14139,3621,17640,2183c21141,695,24786,0,28575,0x">
                  <v:stroke weight="0pt" endcap="flat" joinstyle="miter" miterlimit="10" on="false" color="#000000" opacity="0"/>
                  <v:fill on="true" color="#333333"/>
                </v:shape>
                <v:shape id="Shape 5960" style="position:absolute;width:571;height:571;left:0;top:1524;" coordsize="57150,57150" path="m28575,0c32364,0,36009,695,39510,2133c43011,3572,46101,5655,48781,8334c51460,10964,53525,14089,54975,1756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62c3625,14089,5690,10964,8369,8334c11049,5655,14139,3572,17640,2133c21141,695,24786,0,28575,0x">
                  <v:stroke weight="0pt" endcap="flat" joinstyle="miter" miterlimit="10" on="false" color="#000000" opacity="0"/>
                  <v:fill on="true" color="#333333"/>
                </v:shape>
                <v:shape id="Shape 5962" style="position:absolute;width:571;height:571;left:0;top:3048;" coordsize="57150,57150" path="m28575,0c32364,0,36009,695,39510,2133c43011,3572,46101,5655,48781,8384c51460,11013,53525,14089,54975,17611c56425,21134,57150,24805,57150,28575c57150,32345,56425,35967,54975,39390c53525,42962,51460,46038,48781,48766c46101,51395,43011,53429,39510,54868c36009,56356,32364,57100,28575,57150c24786,57100,21141,56356,17640,54868c14139,53429,11049,51395,8369,48766c5690,46038,3625,42962,2175,39390c725,35967,0,32345,0,28575c0,24805,725,21134,2175,17611c3625,14089,5690,11013,8369,8384c11049,5655,14139,3572,17640,2133c21141,695,24786,0,28575,0x">
                  <v:stroke weight="0pt" endcap="flat" joinstyle="miter" miterlimit="10" on="false" color="#000000" opacity="0"/>
                  <v:fill on="true" color="#333333"/>
                </v:shape>
                <v:shape id="Shape 5964" style="position:absolute;width:571;height:571;left:0;top:4572;" coordsize="57150,57150" path="m28575,0c32364,0,36009,695,39510,2133c43011,3572,46101,5655,48781,8384c51460,11013,53525,14089,54975,17611c56425,21084,57150,24755,57150,28575c57150,32345,56425,35967,54975,39390c53525,42962,51460,46038,48781,48716c46101,51346,43011,53429,39510,54868c36009,56356,32364,57100,28575,57150c24786,57100,21141,56307,17640,54868c14139,53380,11049,51346,8369,48716c5690,46038,3625,42962,2175,39390c725,35967,0,32345,0,28575c0,24755,725,21084,2175,17611c3625,14089,5690,11013,8369,8384c11049,5655,14139,3572,17640,2133c21141,695,24786,0,28575,0x">
                  <v:stroke weight="0pt" endcap="flat" joinstyle="miter" miterlimit="10" on="false" color="#000000" opacity="0"/>
                  <v:fill on="true" color="#333333"/>
                </v:shape>
                <w10:wrap type="square"/>
              </v:group>
            </w:pict>
          </mc:Fallback>
        </mc:AlternateContent>
      </w:r>
      <w:r>
        <w:t>Оксигенотерапия.</w:t>
      </w:r>
    </w:p>
    <w:p w:rsidR="008E3F15" w:rsidRDefault="005F449A">
      <w:pPr>
        <w:spacing w:after="179"/>
        <w:ind w:left="340" w:right="1067"/>
      </w:pPr>
      <w:r>
        <w:t>Тромболизис — при артериальной гипотензии и отсутствии противопоказаний. Катетерная эмболэктомия и фрагментация тромба. Антикоагулянты.</w:t>
      </w:r>
    </w:p>
    <w:p w:rsidR="008E3F15" w:rsidRDefault="005F449A">
      <w:pPr>
        <w:ind w:left="2" w:right="15"/>
      </w:pPr>
      <w:r>
        <w:rPr>
          <w:b/>
        </w:rPr>
        <w:t>Диагностика.</w:t>
      </w:r>
      <w:r>
        <w:t xml:space="preserve"> Выявление ЛЭ и оценку тяжести целесообразно проводить в отделении неотложной помощи по разработанному алгоритму (</w:t>
      </w:r>
      <w:r>
        <w:rPr>
          <w:b/>
        </w:rPr>
        <w:t>рис. 3.3</w:t>
      </w:r>
      <w:r>
        <w:t>). Важно учитывать не только признаки, включенные в алгоритм, но и общую клиническую картину, включая выраженность коморбидных болезне</w:t>
      </w:r>
      <w:r>
        <w:t>й.</w:t>
      </w:r>
    </w:p>
    <w:p w:rsidR="008E3F15" w:rsidRDefault="005F449A">
      <w:pPr>
        <w:spacing w:after="65" w:line="259" w:lineRule="auto"/>
        <w:ind w:left="0" w:right="0" w:firstLine="0"/>
      </w:pPr>
      <w:r>
        <w:rPr>
          <w:noProof/>
        </w:rPr>
        <w:drawing>
          <wp:inline distT="0" distB="0" distL="0" distR="0">
            <wp:extent cx="6191249" cy="4324350"/>
            <wp:effectExtent l="0" t="0" r="0" b="0"/>
            <wp:docPr id="5987" name="Picture 5987"/>
            <wp:cNvGraphicFramePr/>
            <a:graphic xmlns:a="http://schemas.openxmlformats.org/drawingml/2006/main">
              <a:graphicData uri="http://schemas.openxmlformats.org/drawingml/2006/picture">
                <pic:pic xmlns:pic="http://schemas.openxmlformats.org/drawingml/2006/picture">
                  <pic:nvPicPr>
                    <pic:cNvPr id="5987" name="Picture 5987"/>
                    <pic:cNvPicPr/>
                  </pic:nvPicPr>
                  <pic:blipFill>
                    <a:blip r:embed="rId73"/>
                    <a:stretch>
                      <a:fillRect/>
                    </a:stretch>
                  </pic:blipFill>
                  <pic:spPr>
                    <a:xfrm>
                      <a:off x="0" y="0"/>
                      <a:ext cx="6191249" cy="4324350"/>
                    </a:xfrm>
                    <a:prstGeom prst="rect">
                      <a:avLst/>
                    </a:prstGeom>
                  </pic:spPr>
                </pic:pic>
              </a:graphicData>
            </a:graphic>
          </wp:inline>
        </w:drawing>
      </w:r>
    </w:p>
    <w:p w:rsidR="008E3F15" w:rsidRDefault="005F449A">
      <w:pPr>
        <w:spacing w:after="31"/>
        <w:ind w:left="2" w:right="15"/>
      </w:pPr>
      <w:r>
        <w:rPr>
          <w:b/>
        </w:rPr>
        <w:t xml:space="preserve">Рис. 3.3. </w:t>
      </w:r>
      <w:r>
        <w:t>Тактика ведения легочной эмболии. ПЖ — правый желудочек</w:t>
      </w:r>
    </w:p>
    <w:p w:rsidR="008E3F15" w:rsidRDefault="005F449A">
      <w:pPr>
        <w:ind w:left="2" w:right="15"/>
      </w:pPr>
      <w:r>
        <w:t xml:space="preserve">В первые 24–48 ч острой ЛЭ может наблюдаться повторное ухудшение гемодинамики, которое связывают с острым мио кардитом, индуцированным большим выбросом эпинефрина. В этих случаях также </w:t>
      </w:r>
      <w:r>
        <w:t>нужно исключить рецидивы ЛЭ.</w:t>
      </w:r>
    </w:p>
    <w:p w:rsidR="008E3F15" w:rsidRDefault="005F449A">
      <w:pPr>
        <w:ind w:left="2" w:right="180"/>
      </w:pPr>
      <w:r>
        <w:rPr>
          <w:i/>
        </w:rPr>
        <w:t>Прогноз.</w:t>
      </w:r>
      <w:r>
        <w:t xml:space="preserve"> Госпитализация и выбор адекватного лечения основаны на оценке риска смерти с использованием прогностических шкал. По данным исследования HOME-PE, на основании оценок шкалы sPESI или критериев Hestia почти 40–50% пациен</w:t>
      </w:r>
      <w:r>
        <w:t>тов можно отнести в группу низкого риска и выписать для амбулаторного наблюдения. Безопасность ранней (через 48 ч) выписки пациентов низкого риска подтверждена в исследовании HoT-PE.</w:t>
      </w:r>
    </w:p>
    <w:p w:rsidR="008E3F15" w:rsidRDefault="005F449A">
      <w:pPr>
        <w:ind w:left="2" w:right="15"/>
      </w:pPr>
      <w:r>
        <w:rPr>
          <w:i/>
        </w:rPr>
        <w:t>Эхокардиография.</w:t>
      </w:r>
      <w:r>
        <w:t xml:space="preserve"> Эхокардиография помогает исключить ИМ, инфекционный эндо</w:t>
      </w:r>
      <w:r>
        <w:t>кардит, расслоение аорты, тампонаду перикарда и другие причины.</w:t>
      </w:r>
    </w:p>
    <w:p w:rsidR="008E3F15" w:rsidRDefault="005F449A">
      <w:pPr>
        <w:spacing w:after="179"/>
        <w:ind w:left="2" w:right="15"/>
      </w:pPr>
      <w:r>
        <w:t>Эхокардиография наиболее информативна при диагностике массивной ЛЭ, когда определяются:</w:t>
      </w:r>
    </w:p>
    <w:p w:rsidR="008E3F15" w:rsidRDefault="005F449A">
      <w:pPr>
        <w:ind w:left="340" w:right="3453"/>
      </w:pPr>
      <w:r>
        <w:rPr>
          <w:rFonts w:ascii="Calibri" w:eastAsia="Calibri" w:hAnsi="Calibri" w:cs="Calibri"/>
          <w:noProof/>
          <w:color w:val="000000"/>
          <w:sz w:val="22"/>
        </w:rPr>
        <mc:AlternateContent>
          <mc:Choice Requires="wpg">
            <w:drawing>
              <wp:anchor distT="0" distB="0" distL="114300" distR="114300" simplePos="0" relativeHeight="251725824"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272819" name="Group 272819"/>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6004" name="Shape 6004"/>
                        <wps:cNvSpPr/>
                        <wps:spPr>
                          <a:xfrm>
                            <a:off x="0" y="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06" name="Shape 6006"/>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08" name="Shape 6008"/>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10" name="Shape 6010"/>
                        <wps:cNvSpPr/>
                        <wps:spPr>
                          <a:xfrm>
                            <a:off x="0" y="4572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12" name="Shape 6012"/>
                        <wps:cNvSpPr/>
                        <wps:spPr>
                          <a:xfrm>
                            <a:off x="0" y="609600"/>
                            <a:ext cx="57150" cy="57150"/>
                          </a:xfrm>
                          <a:custGeom>
                            <a:avLst/>
                            <a:gdLst/>
                            <a:ahLst/>
                            <a:cxnLst/>
                            <a:rect l="0" t="0" r="0" b="0"/>
                            <a:pathLst>
                              <a:path w="57150" h="57150">
                                <a:moveTo>
                                  <a:pt x="28575" y="0"/>
                                </a:moveTo>
                                <a:cubicBezTo>
                                  <a:pt x="32364" y="0"/>
                                  <a:pt x="36009" y="695"/>
                                  <a:pt x="39510" y="2183"/>
                                </a:cubicBezTo>
                                <a:cubicBezTo>
                                  <a:pt x="43011" y="3621"/>
                                  <a:pt x="46101" y="5655"/>
                                  <a:pt x="48781" y="8384"/>
                                </a:cubicBezTo>
                                <a:cubicBezTo>
                                  <a:pt x="51460" y="11013"/>
                                  <a:pt x="53525" y="14089"/>
                                  <a:pt x="54975" y="17661"/>
                                </a:cubicBezTo>
                                <a:cubicBezTo>
                                  <a:pt x="56425" y="21134"/>
                                  <a:pt x="57150" y="2480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805"/>
                                  <a:pt x="725" y="21134"/>
                                  <a:pt x="2175" y="1766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14" name="Shape 6014"/>
                        <wps:cNvSpPr/>
                        <wps:spPr>
                          <a:xfrm>
                            <a:off x="0" y="762000"/>
                            <a:ext cx="57150" cy="57150"/>
                          </a:xfrm>
                          <a:custGeom>
                            <a:avLst/>
                            <a:gdLst/>
                            <a:ahLst/>
                            <a:cxnLst/>
                            <a:rect l="0" t="0" r="0" b="0"/>
                            <a:pathLst>
                              <a:path w="57150" h="57150">
                                <a:moveTo>
                                  <a:pt x="28575" y="0"/>
                                </a:moveTo>
                                <a:cubicBezTo>
                                  <a:pt x="32364" y="0"/>
                                  <a:pt x="36009" y="695"/>
                                  <a:pt x="39510" y="2183"/>
                                </a:cubicBezTo>
                                <a:cubicBezTo>
                                  <a:pt x="43011" y="3621"/>
                                  <a:pt x="46101" y="5655"/>
                                  <a:pt x="48781" y="8384"/>
                                </a:cubicBezTo>
                                <a:cubicBezTo>
                                  <a:pt x="51460" y="11013"/>
                                  <a:pt x="53525" y="14089"/>
                                  <a:pt x="54975" y="17661"/>
                                </a:cubicBezTo>
                                <a:cubicBezTo>
                                  <a:pt x="56425" y="21134"/>
                                  <a:pt x="57150" y="24805"/>
                                  <a:pt x="57150" y="28575"/>
                                </a:cubicBezTo>
                                <a:cubicBezTo>
                                  <a:pt x="57150" y="32345"/>
                                  <a:pt x="56425" y="35967"/>
                                  <a:pt x="54975" y="39439"/>
                                </a:cubicBezTo>
                                <a:cubicBezTo>
                                  <a:pt x="53525" y="42962"/>
                                  <a:pt x="51460" y="46038"/>
                                  <a:pt x="48781" y="48716"/>
                                </a:cubicBezTo>
                                <a:cubicBezTo>
                                  <a:pt x="46101" y="51346"/>
                                  <a:pt x="43011" y="53380"/>
                                  <a:pt x="39510" y="54868"/>
                                </a:cubicBezTo>
                                <a:cubicBezTo>
                                  <a:pt x="36009" y="56356"/>
                                  <a:pt x="32364" y="57100"/>
                                  <a:pt x="28575" y="57150"/>
                                </a:cubicBezTo>
                                <a:cubicBezTo>
                                  <a:pt x="24786" y="57100"/>
                                  <a:pt x="21141" y="56356"/>
                                  <a:pt x="17640" y="54868"/>
                                </a:cubicBezTo>
                                <a:cubicBezTo>
                                  <a:pt x="14139" y="53380"/>
                                  <a:pt x="11049" y="51346"/>
                                  <a:pt x="8369" y="48716"/>
                                </a:cubicBezTo>
                                <a:cubicBezTo>
                                  <a:pt x="5690" y="46038"/>
                                  <a:pt x="3625" y="42962"/>
                                  <a:pt x="2175" y="39439"/>
                                </a:cubicBezTo>
                                <a:cubicBezTo>
                                  <a:pt x="725" y="35967"/>
                                  <a:pt x="0" y="32345"/>
                                  <a:pt x="0" y="28575"/>
                                </a:cubicBezTo>
                                <a:cubicBezTo>
                                  <a:pt x="0" y="24805"/>
                                  <a:pt x="725" y="21134"/>
                                  <a:pt x="2175" y="1766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018" name="Shape 6018"/>
                        <wps:cNvSpPr/>
                        <wps:spPr>
                          <a:xfrm>
                            <a:off x="0" y="9144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296"/>
                                  <a:pt x="56425" y="35917"/>
                                  <a:pt x="54975" y="39390"/>
                                </a:cubicBezTo>
                                <a:cubicBezTo>
                                  <a:pt x="53525" y="42912"/>
                                  <a:pt x="51460" y="45988"/>
                                  <a:pt x="48781" y="48716"/>
                                </a:cubicBezTo>
                                <a:cubicBezTo>
                                  <a:pt x="46101" y="51346"/>
                                  <a:pt x="43011" y="53429"/>
                                  <a:pt x="39510" y="54918"/>
                                </a:cubicBezTo>
                                <a:cubicBezTo>
                                  <a:pt x="36009" y="56356"/>
                                  <a:pt x="32364" y="57100"/>
                                  <a:pt x="28575" y="57150"/>
                                </a:cubicBezTo>
                                <a:cubicBezTo>
                                  <a:pt x="24786" y="57100"/>
                                  <a:pt x="21141" y="56356"/>
                                  <a:pt x="17640" y="54868"/>
                                </a:cubicBezTo>
                                <a:cubicBezTo>
                                  <a:pt x="14139" y="53380"/>
                                  <a:pt x="11049" y="51346"/>
                                  <a:pt x="8369" y="48716"/>
                                </a:cubicBezTo>
                                <a:cubicBezTo>
                                  <a:pt x="5690" y="45988"/>
                                  <a:pt x="3625" y="42912"/>
                                  <a:pt x="2175" y="39439"/>
                                </a:cubicBezTo>
                                <a:cubicBezTo>
                                  <a:pt x="725" y="35917"/>
                                  <a:pt x="0" y="32296"/>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819" style="width:4.5pt;height:76.5pt;position:absolute;mso-position-horizontal-relative:text;mso-position-horizontal:absolute;margin-left:16.5pt;mso-position-vertical-relative:text;margin-top:2.74219pt;" coordsize="571,9715">
                <v:shape id="Shape 6004" style="position:absolute;width:571;height:571;left:0;top:0;" coordsize="57150,57150" path="m28575,0c32364,0,36009,695,39510,2133c43011,3522,46101,5606,48781,8285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285c11049,5606,14139,3522,17640,2133c21141,695,24786,0,28575,0x">
                  <v:stroke weight="0pt" endcap="flat" joinstyle="miter" miterlimit="10" on="false" color="#000000" opacity="0"/>
                  <v:fill on="true" color="#333333"/>
                </v:shape>
                <v:shape id="Shape 6006" style="position:absolute;width:571;height:571;left:0;top:1524;" coordsize="57150,57150" path="m28575,0c32364,0,36009,695,39510,2133c43011,3572,46101,5606,48781,8334c51460,10964,53525,14039,54975,17562c56425,21084,57150,24755,57150,28575c57150,32345,56425,35967,54975,39439c53525,42962,51460,46087,48781,48766c46101,51395,43011,53479,39510,54918c36009,56356,32364,57100,28575,57150c24786,57100,21141,56356,17640,54918c14139,53479,11049,51395,8369,48766c5690,46087,3625,42962,2175,39439c725,35967,0,32345,0,28575c0,24755,725,21084,2175,17562c3625,14039,5690,10964,8369,8334c11049,5606,14139,3572,17640,2133c21141,695,24786,0,28575,0x">
                  <v:stroke weight="0pt" endcap="flat" joinstyle="miter" miterlimit="10" on="false" color="#000000" opacity="0"/>
                  <v:fill on="true" color="#333333"/>
                </v:shape>
                <v:shape id="Shape 6008" style="position:absolute;width:571;height:571;left:0;top:3048;" coordsize="57150,57150" path="m28575,0c32364,0,36009,695,39510,2133c43011,3572,46101,5606,48781,8334c51460,10964,53525,1403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39,5690,10964,8369,8334c11049,5606,14139,3572,17640,2133c21141,695,24786,0,28575,0x">
                  <v:stroke weight="0pt" endcap="flat" joinstyle="miter" miterlimit="10" on="false" color="#000000" opacity="0"/>
                  <v:fill on="true" color="#333333"/>
                </v:shape>
                <v:shape id="Shape 6010" style="position:absolute;width:571;height:571;left:0;top:4572;"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611c3625,14089,5690,10964,8369,8334c11049,5655,14139,3621,17640,2183c21141,695,24786,0,28575,0x">
                  <v:stroke weight="0pt" endcap="flat" joinstyle="miter" miterlimit="10" on="false" color="#000000" opacity="0"/>
                  <v:fill on="true" color="#333333"/>
                </v:shape>
                <v:shape id="Shape 6012" style="position:absolute;width:571;height:571;left:0;top:6096;" coordsize="57150,57150" path="m28575,0c32364,0,36009,695,39510,2183c43011,3621,46101,5655,48781,8384c51460,11013,53525,14089,54975,17661c56425,21134,57150,24805,57150,28575c57150,32345,56425,35967,54975,39439c53525,42962,51460,46038,48781,48766c46101,51445,43011,53479,39510,54918c36009,56356,32364,57100,28575,57150c24786,57100,21141,56356,17640,54918c14139,53479,11049,51445,8369,48766c5690,46038,3625,42962,2175,39439c725,35967,0,32345,0,28575c0,24805,725,21134,2175,17661c3625,14089,5690,11013,8369,8384c11049,5655,14139,3621,17640,2183c21141,695,24786,0,28575,0x">
                  <v:stroke weight="0pt" endcap="flat" joinstyle="miter" miterlimit="10" on="false" color="#000000" opacity="0"/>
                  <v:fill on="true" color="#333333"/>
                </v:shape>
                <v:shape id="Shape 6014" style="position:absolute;width:571;height:571;left:0;top:7620;" coordsize="57150,57150" path="m28575,0c32364,0,36009,695,39510,2183c43011,3621,46101,5655,48781,8384c51460,11013,53525,14089,54975,17661c56425,21134,57150,24805,57150,28575c57150,32345,56425,35967,54975,39439c53525,42962,51460,46038,48781,48716c46101,51346,43011,53380,39510,54868c36009,56356,32364,57100,28575,57150c24786,57100,21141,56356,17640,54868c14139,53380,11049,51346,8369,48716c5690,46038,3625,42962,2175,39439c725,35967,0,32345,0,28575c0,24805,725,21134,2175,17661c3625,14089,5690,11013,8369,8384c11049,5655,14139,3621,17640,2183c21141,695,24786,0,28575,0x">
                  <v:stroke weight="0pt" endcap="flat" joinstyle="miter" miterlimit="10" on="false" color="#000000" opacity="0"/>
                  <v:fill on="true" color="#333333"/>
                </v:shape>
                <v:shape id="Shape 6018" style="position:absolute;width:571;height:571;left:0;top:9144;" coordsize="57150,57150" path="m28575,0c32364,0,36009,695,39510,2183c43011,3621,46101,5655,48781,8334c51460,10964,53525,14089,54975,17562c56425,21084,57150,24755,57150,28575c57150,32296,56425,35917,54975,39390c53525,42912,51460,45988,48781,48716c46101,51346,43011,53429,39510,54918c36009,56356,32364,57100,28575,57150c24786,57100,21141,56356,17640,54868c14139,53380,11049,51346,8369,48716c5690,45988,3625,42912,2175,39439c725,35917,0,32296,0,28575c0,24755,725,21084,2175,17562c3625,14089,5690,10964,8369,8334c11049,5655,14139,3621,17640,2183c21141,695,24786,0,28575,0x">
                  <v:stroke weight="0pt" endcap="flat" joinstyle="miter" miterlimit="10" on="false" color="#000000" opacity="0"/>
                  <v:fill on="true" color="#333333"/>
                </v:shape>
                <w10:wrap type="square"/>
              </v:group>
            </w:pict>
          </mc:Fallback>
        </mc:AlternateContent>
      </w:r>
      <w:r>
        <w:t>увеличение и гипокинезия правого желудочка; отношение размеров правого желудочка к левому &gt;0,5; время у</w:t>
      </w:r>
      <w:r>
        <w:t>скорения в легочной артерии &lt;80 мс;</w:t>
      </w:r>
    </w:p>
    <w:p w:rsidR="008E3F15" w:rsidRDefault="005F449A">
      <w:pPr>
        <w:spacing w:after="179"/>
        <w:ind w:left="340" w:right="1239"/>
      </w:pPr>
      <w:r>
        <w:t xml:space="preserve">градиент давления между правыми предсердием и желудочком &gt;30 мм рт.ст.; повышение скорости регургитации через трехстворчатый клапан; отсутствие уменьшения диаметра </w:t>
      </w:r>
      <w:r>
        <w:rPr>
          <w:i/>
        </w:rPr>
        <w:t>v. cava inferior</w:t>
      </w:r>
      <w:r>
        <w:t xml:space="preserve"> при вдохе; проксимальный тромб.</w:t>
      </w:r>
    </w:p>
    <w:p w:rsidR="008E3F15" w:rsidRDefault="005F449A">
      <w:pPr>
        <w:ind w:left="2" w:right="15"/>
      </w:pPr>
      <w:r>
        <w:t>У пацие</w:t>
      </w:r>
      <w:r>
        <w:t xml:space="preserve">нтов с шоком или гипотензией отсутствие перегрузки или дисфункции правого желудочка исключает ЛЭ. Открытое овальное отверстие предрасполагает к попаданию венозных тромбов в большой круг кровообращения и кардиоэмболическому инсульту. </w:t>
      </w:r>
      <w:r>
        <w:rPr>
          <w:i/>
        </w:rPr>
        <w:t xml:space="preserve">Рентгенография грудной </w:t>
      </w:r>
      <w:r>
        <w:rPr>
          <w:i/>
        </w:rPr>
        <w:t>клетки.</w:t>
      </w:r>
      <w:r>
        <w:t xml:space="preserve"> Метод рентгенографии для диагностики ЛЭ</w:t>
      </w:r>
    </w:p>
    <w:p w:rsidR="008E3F15" w:rsidRDefault="005F449A">
      <w:pPr>
        <w:ind w:left="2" w:right="15"/>
      </w:pPr>
      <w:r>
        <w:t>малоинформативен, к тому же получить качественный снимок в острой ситуации у пациента с одышкой весьма сложно. При рентгенографии грудной клетки выявляются обычно неспецифические признаки: ателектаз или инфил</w:t>
      </w:r>
      <w:r>
        <w:t>ьтрат (49%), плевральный выпот (40–46%), подъем диафрагмы (36%), треугольная тень, снижение васкуляризации и ампутация легочной артерии (15–45%), расширение ствола легочной артерии.</w:t>
      </w:r>
    </w:p>
    <w:p w:rsidR="008E3F15" w:rsidRDefault="005F449A">
      <w:pPr>
        <w:ind w:left="2" w:right="365"/>
      </w:pPr>
      <w:r>
        <w:rPr>
          <w:i/>
        </w:rPr>
        <w:t xml:space="preserve">КТ-ангиография легочной артерии. </w:t>
      </w:r>
      <w:r>
        <w:t>В настоящее время КТ-ангиография легочной</w:t>
      </w:r>
      <w:r>
        <w:t xml:space="preserve"> артерии является оптимальным методом диагностики ЛЭ, позволяя прямо визуализировать тромбы с помощью контрастирования. Метод не показан при выраженной дисфункции почек и сильной аллергической реакции на контраст.</w:t>
      </w:r>
    </w:p>
    <w:p w:rsidR="008E3F15" w:rsidRDefault="005F449A">
      <w:pPr>
        <w:tabs>
          <w:tab w:val="center" w:pos="1758"/>
          <w:tab w:val="center" w:pos="2968"/>
          <w:tab w:val="center" w:pos="3477"/>
          <w:tab w:val="center" w:pos="4788"/>
        </w:tabs>
        <w:spacing w:after="31"/>
        <w:ind w:left="0" w:right="0" w:firstLine="0"/>
      </w:pPr>
      <w:r>
        <w:rPr>
          <w:rFonts w:ascii="Calibri" w:eastAsia="Calibri" w:hAnsi="Calibri" w:cs="Calibri"/>
          <w:color w:val="000000"/>
          <w:sz w:val="22"/>
        </w:rPr>
        <w:tab/>
      </w:r>
      <w:r>
        <w:t>р</w:t>
      </w:r>
      <w:r>
        <w:tab/>
        <w:t>р</w:t>
      </w:r>
      <w:r>
        <w:tab/>
        <w:t>ц</w:t>
      </w:r>
      <w:r>
        <w:tab/>
        <w:t>р</w:t>
      </w:r>
    </w:p>
    <w:p w:rsidR="008E3F15" w:rsidRDefault="005F449A">
      <w:pPr>
        <w:spacing w:after="31"/>
        <w:ind w:left="2" w:right="15"/>
      </w:pPr>
      <w:r>
        <w:t>КТ</w:t>
      </w:r>
      <w:r>
        <w:rPr>
          <w:b/>
          <w:i/>
        </w:rPr>
        <w:t>-</w:t>
      </w:r>
      <w:r>
        <w:t>ангиография более точно выявляет центральные и лобарные, чем сегментарные эмболы.</w:t>
      </w:r>
    </w:p>
    <w:p w:rsidR="008E3F15" w:rsidRDefault="005F449A">
      <w:pPr>
        <w:spacing w:after="31"/>
        <w:ind w:left="2" w:right="15"/>
      </w:pPr>
      <w:r>
        <w:t>Нормальная картина не исключает субсегментарные эмболы.</w:t>
      </w:r>
    </w:p>
    <w:p w:rsidR="008E3F15" w:rsidRDefault="005F449A">
      <w:pPr>
        <w:ind w:left="2" w:right="15"/>
      </w:pPr>
      <w:r>
        <w:t>Использование аппаратов с большим количеством датчиков позволяет уменьшить толщину срезов, время исследования и сущест</w:t>
      </w:r>
      <w:r>
        <w:t>венно улучшить визуализацию сегментарных</w:t>
      </w:r>
    </w:p>
    <w:p w:rsidR="008E3F15" w:rsidRDefault="005F449A">
      <w:pPr>
        <w:spacing w:after="31"/>
        <w:ind w:left="2" w:right="15"/>
      </w:pPr>
      <w:r>
        <w:t>и субсегментарных сосудов. Чувствительность мультидетекторной КТ-ангиографии составила</w:t>
      </w:r>
    </w:p>
    <w:p w:rsidR="008E3F15" w:rsidRDefault="005F449A">
      <w:pPr>
        <w:ind w:left="2" w:right="15"/>
      </w:pPr>
      <w:r>
        <w:t>83%, специфичность — 96% в старом исследовании PIOPED II, где использовали преимущественно аппараты с четырьмя датчиками.</w:t>
      </w:r>
    </w:p>
    <w:p w:rsidR="008E3F15" w:rsidRDefault="005F449A">
      <w:pPr>
        <w:ind w:left="2" w:right="15"/>
      </w:pPr>
      <w:r>
        <w:t>Отрица</w:t>
      </w:r>
      <w:r>
        <w:t>тельный результат КТ-ангиографии практически исключает ЛЭ при низкой претестовой вероятности, однако у пациентов с умеренной или высокой вероятностью ЛЭ выявляли легочные тромбы в 11 и 40% случаев соответственно при инвазивной ангиографии или вентиляционно</w:t>
      </w:r>
      <w:r>
        <w:t>-перфузионном сканировании (PIOPED II).</w:t>
      </w:r>
    </w:p>
    <w:p w:rsidR="008E3F15" w:rsidRDefault="005F449A">
      <w:pPr>
        <w:ind w:left="2" w:right="189"/>
      </w:pPr>
      <w:r>
        <w:t>У 8% пациентов с претестовой вероятностью ЛЭ ≥40% и отрицательной КТ-ангиографией в течение 3 мес регистрировали ВТЭ, а при вероятности &lt;40% частота ВТЭ не превышала 2%</w:t>
      </w:r>
    </w:p>
    <w:p w:rsidR="008E3F15" w:rsidRDefault="005F449A">
      <w:pPr>
        <w:spacing w:after="31"/>
        <w:ind w:left="2" w:right="15"/>
      </w:pPr>
      <w:r>
        <w:t>(Belzile D. et al., 2018).</w:t>
      </w:r>
    </w:p>
    <w:p w:rsidR="008E3F15" w:rsidRDefault="005F449A">
      <w:pPr>
        <w:ind w:left="2" w:right="15"/>
      </w:pPr>
      <w:r>
        <w:t>Почти у трети пациен</w:t>
      </w:r>
      <w:r>
        <w:t>тов с ЛЭ выявляется повреждение легкого, при котором плевральные боли появляются через 24–67 ч, инфильтрация —через 48–72 ч, а плевральный выпот — через 72–96 ч (Terry P. et al., 2017).</w:t>
      </w:r>
    </w:p>
    <w:p w:rsidR="008E3F15" w:rsidRDefault="005F449A">
      <w:pPr>
        <w:ind w:left="2" w:right="15"/>
      </w:pPr>
      <w:r>
        <w:rPr>
          <w:i/>
        </w:rPr>
        <w:t>Биомаркеры.</w:t>
      </w:r>
      <w:r>
        <w:t xml:space="preserve"> D-димер представляет собой продукт деградации фибрина, обр</w:t>
      </w:r>
      <w:r>
        <w:t>азующийся при лизисе тромба, и полезен для исключения ЛЭ. Количественное определение концентрации Dдимера — высокочувствительный, но неспецифичный тест.</w:t>
      </w:r>
    </w:p>
    <w:p w:rsidR="008E3F15" w:rsidRDefault="005F449A">
      <w:pPr>
        <w:ind w:left="2" w:right="788"/>
      </w:pPr>
      <w:r>
        <w:t xml:space="preserve">Экспресс-тесты на D-димер обладают меньшей чувствительностью по сравнению с лабораторными тестами (88% </w:t>
      </w:r>
      <w:r>
        <w:t>против 95%) и могут использоваться только при низкой претестовой вероятности ЛЭ (Geersing G. et al., 2009).</w:t>
      </w:r>
    </w:p>
    <w:p w:rsidR="008E3F15" w:rsidRDefault="005F449A">
      <w:pPr>
        <w:ind w:left="2" w:right="15"/>
      </w:pPr>
      <w:r>
        <w:t>Отрицательный результат (&lt;500 мкг/л или возраст ×10 мкг/л для пациентов &gt;50 лет) в 95% случаев позволяет исключить ЛЭ у пациентов с низкой клиническ</w:t>
      </w:r>
      <w:r>
        <w:t>ой вероятностью</w:t>
      </w:r>
    </w:p>
    <w:p w:rsidR="008E3F15" w:rsidRDefault="005F449A">
      <w:pPr>
        <w:spacing w:after="359"/>
        <w:ind w:left="2" w:right="15"/>
      </w:pPr>
      <w:r>
        <w:t>(Geersing G. et al., 2009). Положительный результат не всегда подтверждает ЛЭ и может быть обусловлен многими факторами, способствующими образованию фибрина: опухолями, травмами (включая операции), беременностью, воспалением, дисфункцией почек.</w:t>
      </w:r>
    </w:p>
    <w:p w:rsidR="008E3F15" w:rsidRDefault="005F449A">
      <w:pPr>
        <w:pStyle w:val="Heading1"/>
        <w:ind w:left="2"/>
      </w:pPr>
      <w:r>
        <w:t>Часть I. Се</w:t>
      </w:r>
      <w:r>
        <w:t>рдечно-сосудистые болезни</w:t>
      </w:r>
    </w:p>
    <w:p w:rsidR="008E3F15" w:rsidRDefault="005F449A">
      <w:pPr>
        <w:ind w:left="2" w:right="15"/>
      </w:pPr>
      <w:r>
        <w:t>Если клиническая картина очень подозрительна на ЛЭ, использование D-димера нецелесообразно, поскольку не исключены ложно отрицательные результаты. Вместе с тем невысокий уровень D-димера может свидетельствовать о низком риске реци</w:t>
      </w:r>
      <w:r>
        <w:t>дивов ВТЭ (Rinde</w:t>
      </w:r>
    </w:p>
    <w:p w:rsidR="008E3F15" w:rsidRDefault="005F449A">
      <w:pPr>
        <w:spacing w:after="31"/>
        <w:ind w:left="2" w:right="15"/>
      </w:pPr>
      <w:r>
        <w:t>F. et al., 2023).</w:t>
      </w:r>
    </w:p>
    <w:p w:rsidR="008E3F15" w:rsidRDefault="005F449A">
      <w:pPr>
        <w:ind w:left="2" w:right="15"/>
      </w:pPr>
      <w:r>
        <w:t>Дисбаланс между потребностью перегруженного мио карда в кислороде и обеспечением приводит к острому повреждению мио карда с ухудшением прогноза (ИМ 2-го типа). Например, при повышении тропонина краткосрочная смертность во</w:t>
      </w:r>
      <w:r>
        <w:t>зрастает в 5 раз, риск смерти от ЛЭ — в 9 раз, а неблагоприятных событий — в 7 раз (Becattini C. et al., 2007). Повышение уровня натрийуретического пептида также ассоциируется с неблагоприятным прогнозом.</w:t>
      </w:r>
    </w:p>
    <w:p w:rsidR="008E3F15" w:rsidRDefault="005F449A">
      <w:pPr>
        <w:ind w:left="2" w:right="129"/>
      </w:pPr>
      <w:r>
        <w:t xml:space="preserve">Поскольку проявления ЛЭ (торакалгия, одышка, гипотензия), ЭКГ и повышение маркеров повреждения мио карда могут походить на клинико-лабораторную картину коронарогенного ИМ, дифференциальная диагностика может представлять большие трудности. </w:t>
      </w:r>
      <w:r>
        <w:rPr>
          <w:i/>
        </w:rPr>
        <w:t xml:space="preserve">Газы крови. </w:t>
      </w:r>
      <w:r>
        <w:t>При о</w:t>
      </w:r>
      <w:r>
        <w:t>ценке газов крови у пациентов с ЛЭ в 60–75% случаев выявляется гипоксемия, однако у молодых пациентов с неизмененной функцией легких показатели насыщения крови кислородом могут быть нормальными.</w:t>
      </w:r>
    </w:p>
    <w:p w:rsidR="008E3F15" w:rsidRDefault="005F449A">
      <w:pPr>
        <w:ind w:left="2" w:right="15"/>
      </w:pPr>
      <w:r>
        <w:t>Достаточную информативность имеет и чрескожная неинвазивная п</w:t>
      </w:r>
      <w:r>
        <w:t>ульсоксиметрия. Нормальные показатели сатурации кислорода (S</w:t>
      </w:r>
      <w:r>
        <w:rPr>
          <w:sz w:val="31"/>
          <w:vertAlign w:val="subscript"/>
        </w:rPr>
        <w:t>p</w:t>
      </w:r>
      <w:r>
        <w:t>O</w:t>
      </w:r>
      <w:r>
        <w:rPr>
          <w:sz w:val="31"/>
          <w:vertAlign w:val="subscript"/>
        </w:rPr>
        <w:t>2</w:t>
      </w:r>
      <w:r>
        <w:t>) составляют ≥94% при погрешности измерения ±2–3%. В случае S</w:t>
      </w:r>
      <w:r>
        <w:rPr>
          <w:sz w:val="31"/>
          <w:vertAlign w:val="subscript"/>
        </w:rPr>
        <w:t>p</w:t>
      </w:r>
      <w:r>
        <w:t>O</w:t>
      </w:r>
      <w:r>
        <w:rPr>
          <w:sz w:val="31"/>
          <w:vertAlign w:val="subscript"/>
        </w:rPr>
        <w:t>2</w:t>
      </w:r>
      <w:r>
        <w:t xml:space="preserve"> &lt;50% ошибка измерения может быть весьма велика.</w:t>
      </w:r>
    </w:p>
    <w:p w:rsidR="008E3F15" w:rsidRDefault="005F449A">
      <w:pPr>
        <w:spacing w:after="31"/>
        <w:ind w:left="2" w:right="15"/>
      </w:pPr>
      <w:r>
        <w:rPr>
          <w:b/>
        </w:rPr>
        <w:t>Лечение.</w:t>
      </w:r>
      <w:r>
        <w:t xml:space="preserve"> Основным подходом в лечении ЛЭ является активная антикоагулянтная терап</w:t>
      </w:r>
      <w:r>
        <w:t>ия.</w:t>
      </w:r>
    </w:p>
    <w:p w:rsidR="008E3F15" w:rsidRDefault="005F449A">
      <w:pPr>
        <w:spacing w:after="31"/>
        <w:ind w:left="2" w:right="15"/>
      </w:pPr>
      <w:r>
        <w:t>Выбор тактики лечения также определяется риском заболевания и клинической картиной</w:t>
      </w:r>
    </w:p>
    <w:p w:rsidR="008E3F15" w:rsidRDefault="005F449A">
      <w:pPr>
        <w:ind w:left="2" w:right="134"/>
      </w:pPr>
      <w:r>
        <w:t>(см.</w:t>
      </w:r>
      <w:r>
        <w:rPr>
          <w:b/>
        </w:rPr>
        <w:t xml:space="preserve"> табл. 3.2</w:t>
      </w:r>
      <w:r>
        <w:t xml:space="preserve">, </w:t>
      </w:r>
      <w:r>
        <w:rPr>
          <w:b/>
        </w:rPr>
        <w:t>рис. 3.4</w:t>
      </w:r>
      <w:r>
        <w:t>). У пациентов низкого риска возможно амбулаторное лечение (Zondag W. et al., 2013; Piran S. et al., 2013).</w:t>
      </w:r>
    </w:p>
    <w:p w:rsidR="008E3F15" w:rsidRDefault="005F449A">
      <w:pPr>
        <w:spacing w:after="65" w:line="259" w:lineRule="auto"/>
        <w:ind w:left="0" w:right="0" w:firstLine="0"/>
      </w:pPr>
      <w:r>
        <w:rPr>
          <w:noProof/>
        </w:rPr>
        <w:drawing>
          <wp:inline distT="0" distB="0" distL="0" distR="0">
            <wp:extent cx="5057775" cy="3505200"/>
            <wp:effectExtent l="0" t="0" r="0" b="0"/>
            <wp:docPr id="6150" name="Picture 6150"/>
            <wp:cNvGraphicFramePr/>
            <a:graphic xmlns:a="http://schemas.openxmlformats.org/drawingml/2006/main">
              <a:graphicData uri="http://schemas.openxmlformats.org/drawingml/2006/picture">
                <pic:pic xmlns:pic="http://schemas.openxmlformats.org/drawingml/2006/picture">
                  <pic:nvPicPr>
                    <pic:cNvPr id="6150" name="Picture 6150"/>
                    <pic:cNvPicPr/>
                  </pic:nvPicPr>
                  <pic:blipFill>
                    <a:blip r:embed="rId74"/>
                    <a:stretch>
                      <a:fillRect/>
                    </a:stretch>
                  </pic:blipFill>
                  <pic:spPr>
                    <a:xfrm>
                      <a:off x="0" y="0"/>
                      <a:ext cx="5057775" cy="3505200"/>
                    </a:xfrm>
                    <a:prstGeom prst="rect">
                      <a:avLst/>
                    </a:prstGeom>
                  </pic:spPr>
                </pic:pic>
              </a:graphicData>
            </a:graphic>
          </wp:inline>
        </w:drawing>
      </w:r>
    </w:p>
    <w:p w:rsidR="008E3F15" w:rsidRDefault="005F449A">
      <w:pPr>
        <w:spacing w:after="31"/>
        <w:ind w:left="2" w:right="15"/>
      </w:pPr>
      <w:r>
        <w:rPr>
          <w:b/>
        </w:rPr>
        <w:t xml:space="preserve">Рис. 3.4. </w:t>
      </w:r>
      <w:r>
        <w:t>Схема лечения легочной эм</w:t>
      </w:r>
      <w:r>
        <w:t>болии. АК — антикоагулянты</w:t>
      </w:r>
    </w:p>
    <w:p w:rsidR="008E3F15" w:rsidRDefault="005F449A">
      <w:pPr>
        <w:spacing w:after="31"/>
        <w:ind w:left="2" w:right="15"/>
      </w:pPr>
      <w:r>
        <w:t>Тромболизис проводится при отсутствии противопоказаний, достоверном диагнозе массивной ЛЭ, основным критерием которой считается артериальная гипотензия: АДс &lt;90 мм рт.ст. или снижение ≥40 мм рт.ст. более 15 мин (</w:t>
      </w:r>
      <w:r>
        <w:rPr>
          <w:b/>
        </w:rPr>
        <w:t>табл. 3.4</w:t>
      </w:r>
      <w:r>
        <w:t xml:space="preserve">). </w:t>
      </w:r>
      <w:r>
        <w:rPr>
          <w:b/>
        </w:rPr>
        <w:t>Табли</w:t>
      </w:r>
      <w:r>
        <w:rPr>
          <w:b/>
        </w:rPr>
        <w:t xml:space="preserve">ца 3.4. </w:t>
      </w:r>
      <w:r>
        <w:t>Тромболитическая терапия при легочной эмболии</w:t>
      </w:r>
    </w:p>
    <w:tbl>
      <w:tblPr>
        <w:tblStyle w:val="TableGrid"/>
        <w:tblW w:w="9600" w:type="dxa"/>
        <w:tblInd w:w="30" w:type="dxa"/>
        <w:tblCellMar>
          <w:top w:w="58" w:type="dxa"/>
          <w:left w:w="45" w:type="dxa"/>
          <w:bottom w:w="0" w:type="dxa"/>
          <w:right w:w="40" w:type="dxa"/>
        </w:tblCellMar>
        <w:tblLook w:val="04A0" w:firstRow="1" w:lastRow="0" w:firstColumn="1" w:lastColumn="0" w:noHBand="0" w:noVBand="1"/>
      </w:tblPr>
      <w:tblGrid>
        <w:gridCol w:w="1725"/>
        <w:gridCol w:w="7875"/>
      </w:tblGrid>
      <w:tr w:rsidR="008E3F15">
        <w:trPr>
          <w:trHeight w:val="330"/>
        </w:trPr>
        <w:tc>
          <w:tcPr>
            <w:tcW w:w="1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Препараты</w:t>
            </w:r>
          </w:p>
        </w:tc>
        <w:tc>
          <w:tcPr>
            <w:tcW w:w="7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b/>
              </w:rPr>
              <w:t>Дозы</w:t>
            </w:r>
          </w:p>
        </w:tc>
      </w:tr>
      <w:tr w:rsidR="008E3F15">
        <w:trPr>
          <w:trHeight w:val="308"/>
        </w:trPr>
        <w:tc>
          <w:tcPr>
            <w:tcW w:w="1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Алтеплаза</w:t>
            </w:r>
          </w:p>
        </w:tc>
        <w:tc>
          <w:tcPr>
            <w:tcW w:w="787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10 мг сразу, 90 мг за 2 ч или 0,6 мг/кг за 15 мин (но не более 50 мг)</w:t>
            </w:r>
          </w:p>
        </w:tc>
      </w:tr>
      <w:tr w:rsidR="008E3F15">
        <w:trPr>
          <w:trHeight w:val="375"/>
        </w:trPr>
        <w:tc>
          <w:tcPr>
            <w:tcW w:w="9600" w:type="dxa"/>
            <w:gridSpan w:val="2"/>
            <w:tcBorders>
              <w:top w:val="single" w:sz="6" w:space="0" w:color="000000"/>
              <w:left w:val="single" w:sz="6" w:space="0" w:color="000000"/>
              <w:bottom w:val="nil"/>
              <w:right w:val="single" w:sz="6" w:space="0" w:color="000000"/>
            </w:tcBorders>
          </w:tcPr>
          <w:p w:rsidR="008E3F15" w:rsidRDefault="005F449A">
            <w:pPr>
              <w:spacing w:after="0" w:line="259" w:lineRule="auto"/>
              <w:ind w:left="0" w:right="0" w:firstLine="0"/>
            </w:pPr>
            <w:r>
              <w:rPr>
                <w:bdr w:val="single" w:sz="12" w:space="0" w:color="000000"/>
              </w:rPr>
              <w:t>Стрептокиназа 250 000 МЕ за 30 мин, 100 000 МЕ/ч за 12–24 ч или 1,5 млн МЕ за 2 ч</w:t>
            </w:r>
          </w:p>
        </w:tc>
      </w:tr>
      <w:tr w:rsidR="008E3F15">
        <w:trPr>
          <w:trHeight w:val="308"/>
        </w:trPr>
        <w:tc>
          <w:tcPr>
            <w:tcW w:w="1725"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Урокиназа</w:t>
            </w:r>
          </w:p>
        </w:tc>
        <w:tc>
          <w:tcPr>
            <w:tcW w:w="7875" w:type="dxa"/>
            <w:tcBorders>
              <w:top w:val="nil"/>
              <w:left w:val="nil"/>
              <w:bottom w:val="single" w:sz="6" w:space="0" w:color="000000"/>
              <w:right w:val="single" w:sz="6" w:space="0" w:color="000000"/>
            </w:tcBorders>
          </w:tcPr>
          <w:p w:rsidR="008E3F15" w:rsidRDefault="005F449A">
            <w:pPr>
              <w:spacing w:after="0" w:line="259" w:lineRule="auto"/>
              <w:ind w:left="5" w:right="0" w:firstLine="0"/>
              <w:jc w:val="both"/>
            </w:pPr>
            <w:r>
              <w:rPr>
                <w:bdr w:val="single" w:sz="12" w:space="0" w:color="000000"/>
              </w:rPr>
              <w:t>4400 МЕ/кг за 10 мин, 4400 МЕ/кг в час за 12–24 ч или 3 млн МЕ за 2 ч</w:t>
            </w:r>
          </w:p>
        </w:tc>
      </w:tr>
    </w:tbl>
    <w:p w:rsidR="008E3F15" w:rsidRDefault="005F449A">
      <w:pPr>
        <w:ind w:left="2" w:right="127"/>
      </w:pPr>
      <w:r>
        <w:t>Тромболизис может снизить смертность при массивной эмболии, уменьшить рецидивы, но возрастает риск кровотечений, включая геморрагический инсульт (Cochrane Reviews). У пациентов со средневысоким риском ЛЭ тромболизис уменьшает риск нарушений гемодинамики, у</w:t>
      </w:r>
      <w:r>
        <w:t>лучшает качество жизни ценой возрастания риска больших кровотечений (PEITHO, TOPCOAT). Тромболизис может быть полезен при ухудшении гемодинамики на фоне лечения антикоагулянтами.</w:t>
      </w:r>
    </w:p>
    <w:p w:rsidR="008E3F15" w:rsidRDefault="005F449A">
      <w:pPr>
        <w:ind w:left="2" w:right="15"/>
      </w:pPr>
      <w:r>
        <w:t>В случае инфузии НФГ чаще прерывают введение последнего (особенно при введени</w:t>
      </w:r>
      <w:r>
        <w:t>и стрептокиназы) на период проведения тромболизиса.</w:t>
      </w:r>
    </w:p>
    <w:p w:rsidR="008E3F15" w:rsidRDefault="005F449A">
      <w:pPr>
        <w:ind w:left="2" w:right="15"/>
      </w:pPr>
      <w:r>
        <w:t>Тромболизис максимально эффективен в первые 48 ч, но может быть полезен при сохранении симптомов и через 6–14 сут.</w:t>
      </w:r>
    </w:p>
    <w:p w:rsidR="008E3F15" w:rsidRDefault="005F449A">
      <w:pPr>
        <w:ind w:left="2" w:right="15"/>
      </w:pPr>
      <w:r>
        <w:t>При развитии небольшого кровотечения из места пункции достаточно прижать кровоточащий уча</w:t>
      </w:r>
      <w:r>
        <w:t>сток, при серьезном кровотечении — прекратить введение тромболитика и ввести свежезамороженную плазму.</w:t>
      </w:r>
    </w:p>
    <w:p w:rsidR="008E3F15" w:rsidRDefault="005F449A">
      <w:pPr>
        <w:ind w:left="2" w:right="15"/>
      </w:pPr>
      <w:r>
        <w:t>Для контроля АД при артериальной гипотензии применяют симпатомиметики (допамин, норэпинефрин).</w:t>
      </w:r>
    </w:p>
    <w:p w:rsidR="008E3F15" w:rsidRDefault="005F449A">
      <w:pPr>
        <w:ind w:left="2" w:right="15"/>
      </w:pPr>
      <w:r>
        <w:t>Проводится кислородотерапия через назальный катетер для ум</w:t>
      </w:r>
      <w:r>
        <w:t>еньшения гипоксии, при критической гипоксемии показана искусственная вентиляция легких.</w:t>
      </w:r>
    </w:p>
    <w:p w:rsidR="008E3F15" w:rsidRDefault="005F449A">
      <w:pPr>
        <w:ind w:left="2" w:right="15"/>
      </w:pPr>
      <w:r>
        <w:t>Ранняя активизация пациентов на фоне антикоагулянтной терапии не повышает риска ЛЭ и может ускорить разрешение симптомов тромбоза глубоких вен (Aissaoui N. et al., 2009</w:t>
      </w:r>
      <w:r>
        <w:t>). Профилактика рецидивов ВТЭ у пациентов с нестабильным состоянием проводится парентеральными антикоагулянтами. Показаны близкая эффективность и частота побочных эффектов НФГ, НМГ и фондапаринукса натрия. В последние годы используют чаще НМГ или фондапари</w:t>
      </w:r>
      <w:r>
        <w:t>нукс натрия (если не планируется тромболитическая терапия или хирургическое лечение), что связано с более удобным подкожным введением, отсутствием необходимости в контроле показателей коагулограммы и более редкой гепарининдуцированной тромбоцитопенией. Одн</w:t>
      </w:r>
      <w:r>
        <w:t>ако при массивной ЛЭ применяют только внутривенную инфузию НФГ.</w:t>
      </w:r>
    </w:p>
    <w:p w:rsidR="008E3F15" w:rsidRDefault="005F449A">
      <w:pPr>
        <w:spacing w:line="277" w:lineRule="auto"/>
        <w:ind w:left="2" w:right="440"/>
      </w:pPr>
      <w:r>
        <w:t xml:space="preserve">Противопоказания для парентеральных антикоагулянтов (ICSI, Национальная комплексная сеть по борьбе с раком): </w:t>
      </w:r>
      <w:r>
        <w:rPr>
          <w:rFonts w:ascii="Calibri" w:eastAsia="Calibri" w:hAnsi="Calibri" w:cs="Calibri"/>
          <w:noProof/>
          <w:color w:val="000000"/>
          <w:sz w:val="22"/>
        </w:rPr>
        <mc:AlternateContent>
          <mc:Choice Requires="wpg">
            <w:drawing>
              <wp:inline distT="0" distB="0" distL="0" distR="0">
                <wp:extent cx="57150" cy="57150"/>
                <wp:effectExtent l="0" t="0" r="0" b="0"/>
                <wp:docPr id="273794" name="Group 27379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197" name="Shape 6197"/>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73794" style="width:4.5pt;height:4.5pt;mso-position-horizontal-relative:char;mso-position-vertical-relative:line" coordsize="571,571">
                <v:shape id="Shape 6197" style="position:absolute;width:571;height:571;left:0;top:0;" coordsize="57150,57150" path="m28575,0c32364,0,36009,695,39510,2133c43011,3572,46101,5606,48781,8334c51460,10964,53525,14089,54975,17611c56425,21084,57150,24755,57150,28575c57150,32345,56425,35967,54975,39489c53525,42962,51460,46038,48781,48766c46101,51395,43011,53479,39510,54918c36009,56356,32364,57100,28575,57150c24786,57100,21141,56406,17640,54967c14139,53479,11049,51395,8369,48766c5690,46038,3625,42912,2175,39439c725,35967,0,32345,0,28575c0,24755,725,21084,2175,17611c3625,14089,5690,10964,8369,8334c11049,5606,14139,3572,17640,2133c21141,695,24786,0,28575,0x">
                  <v:stroke weight="0pt" endcap="flat" joinstyle="miter" miterlimit="10" on="false" color="#000000" opacity="0"/>
                  <v:fill on="true" color="#333333"/>
                </v:shape>
              </v:group>
            </w:pict>
          </mc:Fallback>
        </mc:AlternateContent>
      </w:r>
      <w:r>
        <w:rPr>
          <w:i/>
        </w:rPr>
        <w:t xml:space="preserve"> абсолютные:</w:t>
      </w:r>
    </w:p>
    <w:p w:rsidR="008E3F15" w:rsidRDefault="005F449A">
      <w:pPr>
        <w:spacing w:after="31"/>
        <w:ind w:left="340" w:right="15"/>
      </w:pPr>
      <w:r>
        <w:t>активное кровотечение;</w:t>
      </w:r>
    </w:p>
    <w:p w:rsidR="008E3F15" w:rsidRDefault="005F449A">
      <w:pPr>
        <w:spacing w:after="31"/>
        <w:ind w:left="340" w:right="15"/>
      </w:pPr>
      <w:r>
        <w:t>внутричерепное кровоизлияние последние 2 нед;</w:t>
      </w:r>
    </w:p>
    <w:p w:rsidR="008E3F15" w:rsidRDefault="005F449A">
      <w:pPr>
        <w:ind w:left="340" w:right="2175"/>
      </w:pPr>
      <w:r>
        <w:t>субарахноидальное кровоизлияние до окончательного лечения; геморрагические метастазы головного мозга; тромболизис при инсульте в течение 24 ч;</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726848" behindDoc="0" locked="0" layoutInCell="1" allowOverlap="1">
                <wp:simplePos x="0" y="0"/>
                <wp:positionH relativeFrom="column">
                  <wp:posOffset>209550</wp:posOffset>
                </wp:positionH>
                <wp:positionV relativeFrom="paragraph">
                  <wp:posOffset>-727223</wp:posOffset>
                </wp:positionV>
                <wp:extent cx="438150" cy="3295650"/>
                <wp:effectExtent l="0" t="0" r="0" b="0"/>
                <wp:wrapSquare wrapText="bothSides"/>
                <wp:docPr id="272202" name="Group 272202"/>
                <wp:cNvGraphicFramePr/>
                <a:graphic xmlns:a="http://schemas.openxmlformats.org/drawingml/2006/main">
                  <a:graphicData uri="http://schemas.microsoft.com/office/word/2010/wordprocessingGroup">
                    <wpg:wgp>
                      <wpg:cNvGrpSpPr/>
                      <wpg:grpSpPr>
                        <a:xfrm>
                          <a:off x="0" y="0"/>
                          <a:ext cx="438150" cy="3295650"/>
                          <a:chOff x="0" y="0"/>
                          <a:chExt cx="438150" cy="3295650"/>
                        </a:xfrm>
                      </wpg:grpSpPr>
                      <wps:wsp>
                        <wps:cNvPr id="6231" name="Shape 6231"/>
                        <wps:cNvSpPr/>
                        <wps:spPr>
                          <a:xfrm>
                            <a:off x="38100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70"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33" name="Shape 6233"/>
                        <wps:cNvSpPr/>
                        <wps:spPr>
                          <a:xfrm>
                            <a:off x="381000" y="1524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70" y="8285"/>
                                </a:cubicBezTo>
                                <a:cubicBezTo>
                                  <a:pt x="11049" y="5606"/>
                                  <a:pt x="14139" y="352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35" name="Shape 6235"/>
                        <wps:cNvSpPr/>
                        <wps:spPr>
                          <a:xfrm>
                            <a:off x="381000" y="3048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70"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37" name="Shape 6237"/>
                        <wps:cNvSpPr/>
                        <wps:spPr>
                          <a:xfrm>
                            <a:off x="381000" y="4572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70"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39" name="Shape 6239"/>
                        <wps:cNvSpPr/>
                        <wps:spPr>
                          <a:xfrm>
                            <a:off x="381000" y="6096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296"/>
                                  <a:pt x="56425" y="3591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70" y="48766"/>
                                </a:cubicBezTo>
                                <a:cubicBezTo>
                                  <a:pt x="5690" y="46038"/>
                                  <a:pt x="3625" y="42962"/>
                                  <a:pt x="2175" y="39439"/>
                                </a:cubicBezTo>
                                <a:cubicBezTo>
                                  <a:pt x="725" y="35917"/>
                                  <a:pt x="0" y="32296"/>
                                  <a:pt x="0" y="28575"/>
                                </a:cubicBezTo>
                                <a:cubicBezTo>
                                  <a:pt x="0" y="24755"/>
                                  <a:pt x="725" y="21084"/>
                                  <a:pt x="2175" y="17611"/>
                                </a:cubicBezTo>
                                <a:cubicBezTo>
                                  <a:pt x="3625" y="14089"/>
                                  <a:pt x="5690" y="10964"/>
                                  <a:pt x="8370"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41" name="Shape 6241"/>
                        <wps:cNvSpPr/>
                        <wps:spPr>
                          <a:xfrm>
                            <a:off x="0" y="7620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43" name="Shape 6243"/>
                        <wps:cNvSpPr/>
                        <wps:spPr>
                          <a:xfrm>
                            <a:off x="381000" y="9144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70"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45" name="Shape 6245"/>
                        <wps:cNvSpPr/>
                        <wps:spPr>
                          <a:xfrm>
                            <a:off x="381000" y="1104900"/>
                            <a:ext cx="57150" cy="57150"/>
                          </a:xfrm>
                          <a:custGeom>
                            <a:avLst/>
                            <a:gdLst/>
                            <a:ahLst/>
                            <a:cxnLst/>
                            <a:rect l="0" t="0" r="0" b="0"/>
                            <a:pathLst>
                              <a:path w="57150" h="57150">
                                <a:moveTo>
                                  <a:pt x="28575" y="0"/>
                                </a:moveTo>
                                <a:cubicBezTo>
                                  <a:pt x="32364" y="0"/>
                                  <a:pt x="36009" y="695"/>
                                  <a:pt x="39510" y="2133"/>
                                </a:cubicBezTo>
                                <a:cubicBezTo>
                                  <a:pt x="43011" y="3621"/>
                                  <a:pt x="46101" y="5705"/>
                                  <a:pt x="48781" y="838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70" y="48766"/>
                                </a:cubicBezTo>
                                <a:cubicBezTo>
                                  <a:pt x="5690" y="46038"/>
                                  <a:pt x="3625" y="42962"/>
                                  <a:pt x="2175" y="39489"/>
                                </a:cubicBezTo>
                                <a:cubicBezTo>
                                  <a:pt x="725" y="35967"/>
                                  <a:pt x="0" y="32345"/>
                                  <a:pt x="0" y="28575"/>
                                </a:cubicBezTo>
                                <a:cubicBezTo>
                                  <a:pt x="0" y="24755"/>
                                  <a:pt x="725" y="21084"/>
                                  <a:pt x="2175" y="17562"/>
                                </a:cubicBezTo>
                                <a:cubicBezTo>
                                  <a:pt x="3625" y="14089"/>
                                  <a:pt x="5690" y="11013"/>
                                  <a:pt x="8370" y="8384"/>
                                </a:cubicBezTo>
                                <a:cubicBezTo>
                                  <a:pt x="11049" y="5705"/>
                                  <a:pt x="14139" y="3621"/>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49" name="Shape 6249"/>
                        <wps:cNvSpPr/>
                        <wps:spPr>
                          <a:xfrm>
                            <a:off x="381000" y="1257300"/>
                            <a:ext cx="57150" cy="57150"/>
                          </a:xfrm>
                          <a:custGeom>
                            <a:avLst/>
                            <a:gdLst/>
                            <a:ahLst/>
                            <a:cxnLst/>
                            <a:rect l="0" t="0" r="0" b="0"/>
                            <a:pathLst>
                              <a:path w="57150" h="57150">
                                <a:moveTo>
                                  <a:pt x="28575" y="0"/>
                                </a:moveTo>
                                <a:cubicBezTo>
                                  <a:pt x="32364" y="0"/>
                                  <a:pt x="36009" y="695"/>
                                  <a:pt x="39510" y="2133"/>
                                </a:cubicBezTo>
                                <a:cubicBezTo>
                                  <a:pt x="43011" y="3621"/>
                                  <a:pt x="46101" y="570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70" y="48716"/>
                                </a:cubicBezTo>
                                <a:cubicBezTo>
                                  <a:pt x="5690" y="45988"/>
                                  <a:pt x="3625" y="42912"/>
                                  <a:pt x="2175" y="39390"/>
                                </a:cubicBezTo>
                                <a:cubicBezTo>
                                  <a:pt x="725" y="35967"/>
                                  <a:pt x="0" y="32345"/>
                                  <a:pt x="0" y="28575"/>
                                </a:cubicBezTo>
                                <a:cubicBezTo>
                                  <a:pt x="0" y="24755"/>
                                  <a:pt x="725" y="21084"/>
                                  <a:pt x="2175" y="17562"/>
                                </a:cubicBezTo>
                                <a:cubicBezTo>
                                  <a:pt x="3625" y="14089"/>
                                  <a:pt x="5690" y="11013"/>
                                  <a:pt x="8370" y="8384"/>
                                </a:cubicBezTo>
                                <a:cubicBezTo>
                                  <a:pt x="11049" y="5705"/>
                                  <a:pt x="14139" y="3621"/>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51" name="Shape 6251"/>
                        <wps:cNvSpPr/>
                        <wps:spPr>
                          <a:xfrm>
                            <a:off x="381000" y="14097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70" y="48716"/>
                                </a:cubicBezTo>
                                <a:cubicBezTo>
                                  <a:pt x="5690" y="45988"/>
                                  <a:pt x="3625" y="42912"/>
                                  <a:pt x="2175" y="39390"/>
                                </a:cubicBezTo>
                                <a:cubicBezTo>
                                  <a:pt x="725" y="35967"/>
                                  <a:pt x="0" y="32345"/>
                                  <a:pt x="0" y="28575"/>
                                </a:cubicBezTo>
                                <a:cubicBezTo>
                                  <a:pt x="0" y="24755"/>
                                  <a:pt x="725" y="21084"/>
                                  <a:pt x="2175" y="17562"/>
                                </a:cubicBezTo>
                                <a:cubicBezTo>
                                  <a:pt x="3625" y="14089"/>
                                  <a:pt x="5690" y="10964"/>
                                  <a:pt x="8370"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54" name="Shape 6254"/>
                        <wps:cNvSpPr/>
                        <wps:spPr>
                          <a:xfrm>
                            <a:off x="381000" y="17145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70"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56" name="Shape 6256"/>
                        <wps:cNvSpPr/>
                        <wps:spPr>
                          <a:xfrm>
                            <a:off x="381000" y="18669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70"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70"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58" name="Shape 6258"/>
                        <wps:cNvSpPr/>
                        <wps:spPr>
                          <a:xfrm>
                            <a:off x="381000" y="20193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70" y="48766"/>
                                </a:cubicBezTo>
                                <a:cubicBezTo>
                                  <a:pt x="5690" y="46087"/>
                                  <a:pt x="3625" y="42962"/>
                                  <a:pt x="2175" y="39489"/>
                                </a:cubicBezTo>
                                <a:cubicBezTo>
                                  <a:pt x="725" y="35967"/>
                                  <a:pt x="0" y="32345"/>
                                  <a:pt x="0" y="28575"/>
                                </a:cubicBezTo>
                                <a:cubicBezTo>
                                  <a:pt x="0" y="24755"/>
                                  <a:pt x="725" y="21084"/>
                                  <a:pt x="2175" y="17611"/>
                                </a:cubicBezTo>
                                <a:cubicBezTo>
                                  <a:pt x="3625" y="14089"/>
                                  <a:pt x="5690" y="10964"/>
                                  <a:pt x="8370"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60" name="Shape 6260"/>
                        <wps:cNvSpPr/>
                        <wps:spPr>
                          <a:xfrm>
                            <a:off x="381000" y="21717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70"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70"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62" name="Shape 6262"/>
                        <wps:cNvSpPr/>
                        <wps:spPr>
                          <a:xfrm>
                            <a:off x="381000" y="23241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89"/>
                                </a:cubicBezTo>
                                <a:cubicBezTo>
                                  <a:pt x="725" y="35967"/>
                                  <a:pt x="0" y="32345"/>
                                  <a:pt x="0" y="28575"/>
                                </a:cubicBezTo>
                                <a:cubicBezTo>
                                  <a:pt x="0" y="24755"/>
                                  <a:pt x="725" y="21084"/>
                                  <a:pt x="2175" y="17512"/>
                                </a:cubicBezTo>
                                <a:cubicBezTo>
                                  <a:pt x="3625" y="14039"/>
                                  <a:pt x="5690" y="10964"/>
                                  <a:pt x="8370" y="8285"/>
                                </a:cubicBezTo>
                                <a:cubicBezTo>
                                  <a:pt x="11049" y="5606"/>
                                  <a:pt x="14139" y="352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64" name="Shape 6264"/>
                        <wps:cNvSpPr/>
                        <wps:spPr>
                          <a:xfrm>
                            <a:off x="381000" y="2476500"/>
                            <a:ext cx="57150" cy="57150"/>
                          </a:xfrm>
                          <a:custGeom>
                            <a:avLst/>
                            <a:gdLst/>
                            <a:ahLst/>
                            <a:cxnLst/>
                            <a:rect l="0" t="0" r="0" b="0"/>
                            <a:pathLst>
                              <a:path w="57150" h="57150">
                                <a:moveTo>
                                  <a:pt x="28575" y="0"/>
                                </a:moveTo>
                                <a:cubicBezTo>
                                  <a:pt x="32364" y="0"/>
                                  <a:pt x="36009" y="695"/>
                                  <a:pt x="39510" y="2133"/>
                                </a:cubicBezTo>
                                <a:cubicBezTo>
                                  <a:pt x="43011" y="3572"/>
                                  <a:pt x="46101" y="5655"/>
                                  <a:pt x="48781" y="8285"/>
                                </a:cubicBezTo>
                                <a:cubicBezTo>
                                  <a:pt x="51460" y="10964"/>
                                  <a:pt x="53525" y="14039"/>
                                  <a:pt x="54975" y="1751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39"/>
                                </a:cubicBezTo>
                                <a:cubicBezTo>
                                  <a:pt x="725" y="35967"/>
                                  <a:pt x="0" y="32345"/>
                                  <a:pt x="0" y="28575"/>
                                </a:cubicBezTo>
                                <a:cubicBezTo>
                                  <a:pt x="0" y="24755"/>
                                  <a:pt x="725" y="21084"/>
                                  <a:pt x="2175" y="17512"/>
                                </a:cubicBezTo>
                                <a:cubicBezTo>
                                  <a:pt x="3625" y="14039"/>
                                  <a:pt x="5690" y="10964"/>
                                  <a:pt x="8370" y="8285"/>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66" name="Shape 6266"/>
                        <wps:cNvSpPr/>
                        <wps:spPr>
                          <a:xfrm>
                            <a:off x="381000" y="26289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134"/>
                                  <a:pt x="57150" y="2480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390"/>
                                </a:cubicBezTo>
                                <a:cubicBezTo>
                                  <a:pt x="725" y="35967"/>
                                  <a:pt x="0" y="32345"/>
                                  <a:pt x="0" y="28575"/>
                                </a:cubicBezTo>
                                <a:cubicBezTo>
                                  <a:pt x="0" y="24805"/>
                                  <a:pt x="725" y="21134"/>
                                  <a:pt x="2175" y="17611"/>
                                </a:cubicBezTo>
                                <a:cubicBezTo>
                                  <a:pt x="3625" y="14089"/>
                                  <a:pt x="5690" y="11013"/>
                                  <a:pt x="8370" y="8334"/>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68" name="Shape 6268"/>
                        <wps:cNvSpPr/>
                        <wps:spPr>
                          <a:xfrm>
                            <a:off x="381000" y="27813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70"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70" name="Shape 6270"/>
                        <wps:cNvSpPr/>
                        <wps:spPr>
                          <a:xfrm>
                            <a:off x="381000" y="29337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70"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72" name="Shape 6272"/>
                        <wps:cNvSpPr/>
                        <wps:spPr>
                          <a:xfrm>
                            <a:off x="381000" y="30861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70"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70" y="8384"/>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274" name="Shape 6274"/>
                        <wps:cNvSpPr/>
                        <wps:spPr>
                          <a:xfrm>
                            <a:off x="381000" y="32385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70" y="48716"/>
                                </a:cubicBezTo>
                                <a:cubicBezTo>
                                  <a:pt x="5690" y="45988"/>
                                  <a:pt x="3625" y="42912"/>
                                  <a:pt x="2175" y="39390"/>
                                </a:cubicBezTo>
                                <a:cubicBezTo>
                                  <a:pt x="725" y="35967"/>
                                  <a:pt x="0" y="32345"/>
                                  <a:pt x="0" y="28575"/>
                                </a:cubicBezTo>
                                <a:cubicBezTo>
                                  <a:pt x="0" y="24755"/>
                                  <a:pt x="725" y="21084"/>
                                  <a:pt x="2175" y="17611"/>
                                </a:cubicBezTo>
                                <a:cubicBezTo>
                                  <a:pt x="3625" y="14089"/>
                                  <a:pt x="5690" y="11013"/>
                                  <a:pt x="8370" y="838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202" style="width:34.5pt;height:259.5pt;position:absolute;mso-position-horizontal-relative:text;mso-position-horizontal:absolute;margin-left:16.5pt;mso-position-vertical-relative:text;margin-top:-57.2617pt;" coordsize="4381,32956">
                <v:shape id="Shape 6231" style="position:absolute;width:571;height:571;left:3810;top:0;" coordsize="57150,57150" path="m28575,0c32364,0,36009,695,39510,2133c43011,3572,46101,5606,48781,8334c51460,10964,53525,14089,54975,17562c56425,21084,57150,24755,57150,28575c57150,32345,56425,35967,54975,39439c53525,42962,51460,46087,48781,48766c46101,51445,43011,53479,39510,54918c36009,56356,32364,57100,28575,57150c24786,57100,21141,56356,17640,54918c14139,53479,11049,51445,8370,48766c5690,46087,3625,42962,2175,39439c725,35967,0,32345,0,28575c0,24755,725,21084,2175,17562c3625,14089,5690,10964,8370,8334c11049,5606,14139,3572,17640,2133c21141,695,24786,0,28575,0x">
                  <v:stroke weight="0pt" endcap="flat" joinstyle="miter" miterlimit="4" on="false" color="#000000" opacity="0"/>
                  <v:fill on="true" color="#333333"/>
                </v:shape>
                <v:shape id="Shape 6233" style="position:absolute;width:571;height:571;left:3810;top:1524;" coordsize="57150,57150" path="m28575,0c32364,0,36009,695,39510,2133c43011,3522,46101,5606,48781,8285c51460,10964,53525,14039,54975,17562c56425,21084,57150,24755,57150,28575c57150,32345,56425,35967,54975,39489c53525,42962,51460,46087,48781,48766c46101,51445,43011,53479,39510,54918c36009,56356,32364,57100,28575,57150c24786,57100,21141,56356,17640,54918c14139,53479,11049,51445,8370,48766c5690,46087,3625,42962,2175,39489c725,35967,0,32345,0,28575c0,24755,725,21084,2175,17562c3625,14039,5690,10964,8370,8285c11049,5606,14139,3522,17640,2133c21141,695,24786,0,28575,0x">
                  <v:stroke weight="0pt" endcap="flat" joinstyle="miter" miterlimit="4" on="false" color="#000000" opacity="0"/>
                  <v:fill on="true" color="#333333"/>
                </v:shape>
                <v:shape id="Shape 6235" style="position:absolute;width:571;height:571;left:3810;top:3048;" coordsize="57150,57150" path="m28575,0c32364,0,36009,695,39510,2183c43011,3572,46101,5606,48781,8285c51460,10964,53525,14039,54975,17562c56425,21084,57150,24755,57150,28575c57150,32345,56425,35967,54975,39489c53525,42962,51460,46087,48781,48766c46101,51445,43011,53479,39510,54918c36009,56356,32364,57100,28575,57150c24786,57100,21141,56356,17640,54918c14139,53479,11049,51445,8370,48766c5690,46087,3625,42962,2175,39489c725,35967,0,32345,0,28575c0,24755,725,21084,2175,17562c3625,14039,5690,10964,8370,8285c11049,5606,14139,3572,17640,2133c21141,695,24786,0,28575,0x">
                  <v:stroke weight="0pt" endcap="flat" joinstyle="miter" miterlimit="4" on="false" color="#000000" opacity="0"/>
                  <v:fill on="true" color="#333333"/>
                </v:shape>
                <v:shape id="Shape 6237" style="position:absolute;width:571;height:571;left:3810;top:4572;" coordsize="57150,57150" path="m28575,0c32364,0,36009,695,39510,2183c43011,3572,46101,5606,48781,8285c51460,10964,53525,14039,54975,17562c56425,21084,57150,24755,57150,28575c57150,32345,56425,35967,54975,39439c53525,42962,51460,46038,48781,48766c46101,51445,43011,53479,39510,54918c36009,56356,32364,57100,28575,57150c24786,57100,21141,56356,17640,54918c14139,53479,11049,51445,8370,48766c5690,46038,3625,42962,2175,39439c725,35967,0,32345,0,28575c0,24755,725,21084,2175,17562c3625,14039,5690,10964,8370,8285c11049,5606,14139,3572,17640,2133c21141,695,24786,0,28575,0x">
                  <v:stroke weight="0pt" endcap="flat" joinstyle="miter" miterlimit="4" on="false" color="#000000" opacity="0"/>
                  <v:fill on="true" color="#333333"/>
                </v:shape>
                <v:shape id="Shape 6239" style="position:absolute;width:571;height:571;left:3810;top:6096;" coordsize="57150,57150" path="m28575,0c32364,0,36009,695,39510,2183c43011,3621,46101,5655,48781,8334c51460,10964,53525,14089,54975,17611c56425,21084,57150,24755,57150,28575c57150,32296,56425,35917,54975,39439c53525,42962,51460,46038,48781,48766c46101,51395,43011,53479,39510,54918c36009,56356,32364,57100,28575,57150c24786,57100,21141,56356,17640,54918c14139,53479,11049,51395,8370,48766c5690,46038,3625,42962,2175,39439c725,35917,0,32296,0,28575c0,24755,725,21084,2175,17611c3625,14089,5690,10964,8370,8334c11049,5655,14139,3621,17640,2183c21141,695,24786,0,28575,0x">
                  <v:stroke weight="0pt" endcap="flat" joinstyle="miter" miterlimit="4" on="false" color="#000000" opacity="0"/>
                  <v:fill on="true" color="#333333"/>
                </v:shape>
                <v:shape id="Shape 6241" style="position:absolute;width:571;height:571;left:0;top:7620;" coordsize="57150,57150" path="m28575,0c32364,0,36009,695,39510,2183c43011,3621,46101,5655,48781,8334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334c11049,5655,14139,3621,17640,2183c21141,695,24786,0,28575,0x">
                  <v:stroke weight="0pt" endcap="flat" joinstyle="miter" miterlimit="4" on="false" color="#000000" opacity="0"/>
                  <v:fill on="true" color="#333333"/>
                </v:shape>
                <v:shape id="Shape 6243" style="position:absolute;width:571;height:571;left:3810;top:9144;" coordsize="57150,57150" path="m28575,0c32364,0,36009,695,39510,2183c43011,3621,46101,5655,48781,8334c51460,10964,53525,14089,54975,17562c56425,21084,57150,24755,57150,28575c57150,32345,56425,35967,54975,39439c53525,42962,51460,46038,48781,48766c46101,51395,43011,53429,39510,54868c36009,56356,32364,57100,28575,57150c24786,57100,21141,56356,17640,54868c14139,53429,11049,51395,8370,48766c5690,46038,3625,42962,2175,39439c725,35967,0,32345,0,28575c0,24755,725,21084,2175,17562c3625,14089,5690,10964,8370,8334c11049,5655,14139,3621,17640,2183c21141,695,24786,0,28575,0x">
                  <v:stroke weight="0pt" endcap="flat" joinstyle="miter" miterlimit="4" on="false" color="#000000" opacity="0"/>
                  <v:fill on="true" color="#333333"/>
                </v:shape>
                <v:shape id="Shape 6245" style="position:absolute;width:571;height:571;left:3810;top:11049;" coordsize="57150,57150" path="m28575,0c32364,0,36009,695,39510,2133c43011,3621,46101,5705,48781,8384c51460,11013,53525,14089,54975,17611c56425,21084,57150,24755,57150,28575c57150,32345,56425,35967,54975,39489c53525,42962,51460,46038,48781,48766c46101,51395,43011,53479,39510,54918c36009,56356,32364,57100,28575,57150c24786,57100,21141,56356,17640,54918c14139,53479,11049,51395,8370,48766c5690,46038,3625,42962,2175,39489c725,35967,0,32345,0,28575c0,24755,725,21084,2175,17562c3625,14089,5690,11013,8370,8384c11049,5705,14139,3621,17640,2133c21141,695,24786,0,28575,0x">
                  <v:stroke weight="0pt" endcap="flat" joinstyle="miter" miterlimit="4" on="false" color="#000000" opacity="0"/>
                  <v:fill on="true" color="#333333"/>
                </v:shape>
                <v:shape id="Shape 6249" style="position:absolute;width:571;height:571;left:3810;top:12573;" coordsize="57150,57150" path="m28575,0c32364,0,36009,695,39510,2133c43011,3621,46101,5705,48781,8384c51460,11013,53525,14089,54975,17611c56425,21084,57150,24755,57150,28575c57150,32345,56425,35967,54975,39390c53525,42912,51460,45988,48781,48716c46101,51346,43011,53429,39510,54868c36009,56356,32364,57100,28575,57150c24786,57100,21141,56356,17640,54868c14139,53429,11049,51346,8370,48716c5690,45988,3625,42912,2175,39390c725,35967,0,32345,0,28575c0,24755,725,21084,2175,17562c3625,14089,5690,11013,8370,8384c11049,5705,14139,3621,17640,2133c21141,695,24786,0,28575,0x">
                  <v:stroke weight="0pt" endcap="flat" joinstyle="miter" miterlimit="4" on="false" color="#000000" opacity="0"/>
                  <v:fill on="true" color="#333333"/>
                </v:shape>
                <v:shape id="Shape 6251" style="position:absolute;width:571;height:571;left:3810;top:14097;" coordsize="57150,57150" path="m28575,0c32364,0,36009,695,39510,2133c43011,3572,46101,5606,48781,8334c51460,10964,53525,14089,54975,17562c56425,21084,57150,24755,57150,28575c57150,32345,56425,35967,54975,39390c53525,42912,51460,45988,48781,48716c46101,51346,43011,53429,39510,54868c36009,56356,32364,57100,28575,57150c24786,57100,21141,56356,17640,54868c14139,53429,11049,51346,8370,48716c5690,45988,3625,42912,2175,39390c725,35967,0,32345,0,28575c0,24755,725,21084,2175,17562c3625,14089,5690,10964,8370,8334c11049,5606,14139,3572,17640,2133c21141,695,24786,0,28575,0x">
                  <v:stroke weight="0pt" endcap="flat" joinstyle="miter" miterlimit="4" on="false" color="#000000" opacity="0"/>
                  <v:fill on="true" color="#333333"/>
                </v:shape>
                <v:shape id="Shape 6254" style="position:absolute;width:571;height:571;left:3810;top:17145;" coordsize="57150,57150" path="m28575,0c32364,0,36009,695,39510,2133c43011,3572,46101,5606,48781,8334c51460,10964,53525,14039,54975,17562c56425,21084,57150,24755,57150,28575c57150,32345,56425,35967,54975,39439c53525,42962,51460,46038,48781,48766c46101,51445,43011,53479,39510,54918c36009,56356,32364,57100,28575,57150c24786,57100,21141,56356,17640,54918c14139,53479,11049,51445,8370,48766c5690,46038,3625,42962,2175,39439c725,35967,0,32345,0,28575c0,24755,725,21084,2175,17562c3625,14039,5690,10964,8370,8334c11049,5606,14139,3572,17640,2133c21141,695,24786,0,28575,0x">
                  <v:stroke weight="0pt" endcap="flat" joinstyle="miter" miterlimit="4" on="false" color="#000000" opacity="0"/>
                  <v:fill on="true" color="#333333"/>
                </v:shape>
                <v:shape id="Shape 6256" style="position:absolute;width:571;height:571;left:3810;top:18669;"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70,48766c5690,46038,3625,42962,2175,39439c725,35967,0,32345,0,28575c0,24755,725,21084,2175,17611c3625,14089,5690,10964,8370,8334c11049,5655,14139,3621,17640,2183c21141,695,24786,0,28575,0x">
                  <v:stroke weight="0pt" endcap="flat" joinstyle="miter" miterlimit="4" on="false" color="#000000" opacity="0"/>
                  <v:fill on="true" color="#333333"/>
                </v:shape>
                <v:shape id="Shape 6258" style="position:absolute;width:571;height:571;left:3810;top:20193;" coordsize="57150,57150" path="m28575,0c32364,0,36009,695,39510,2183c43011,3621,46101,5655,48781,8334c51460,10964,53525,14089,54975,17611c56425,21084,57150,24755,57150,28575c57150,32345,56425,35967,54975,39489c53525,42962,51460,46087,48781,48766c46101,51445,43011,53529,39510,54967c36009,56406,32364,57100,28575,57150c24786,57100,21141,56406,17640,54967c14139,53529,11049,51445,8370,48766c5690,46087,3625,42962,2175,39489c725,35967,0,32345,0,28575c0,24755,725,21084,2175,17611c3625,14089,5690,10964,8370,8334c11049,5655,14139,3621,17640,2183c21141,695,24786,0,28575,0x">
                  <v:stroke weight="0pt" endcap="flat" joinstyle="miter" miterlimit="4" on="false" color="#000000" opacity="0"/>
                  <v:fill on="true" color="#333333"/>
                </v:shape>
                <v:shape id="Shape 6260" style="position:absolute;width:571;height:571;left:3810;top:21717;" coordsize="57150,57150" path="m28575,0c32364,0,36009,695,39510,2183c43011,3572,46101,5606,48781,8285c51460,10964,53525,14039,54975,17512c56425,21084,57150,24755,57150,28575c57150,32345,56425,35967,54975,39489c53525,42962,51460,46087,48781,48766c46101,51445,43011,53479,39510,54967c36009,56406,32364,57100,28575,57150c24786,57100,21141,56406,17640,54967c14139,53479,11049,51445,8370,48766c5690,46087,3625,42962,2175,39489c725,35967,0,32345,0,28575c0,24755,725,21084,2175,17512c3625,14039,5690,10964,8370,8285c11049,5606,14139,3572,17640,2133c21141,695,24786,0,28575,0x">
                  <v:stroke weight="0pt" endcap="flat" joinstyle="miter" miterlimit="4" on="false" color="#000000" opacity="0"/>
                  <v:fill on="true" color="#333333"/>
                </v:shape>
                <v:shape id="Shape 6262" style="position:absolute;width:571;height:571;left:3810;top:23241;" coordsize="57150,57150" path="m28575,0c32364,0,36009,695,39510,2183c43011,3572,46101,5606,48781,8285c51460,10964,53525,14039,54975,17512c56425,21084,57150,24755,57150,28575c57150,32345,56425,35967,54975,39539c53525,42962,51460,46038,48781,48766c46101,51395,43011,53429,39510,54868c36009,56356,32364,57100,28575,57150c24786,57100,21141,56356,17640,54868c14139,53429,11049,51395,8370,48766c5690,46038,3625,42962,2175,39489c725,35967,0,32345,0,28575c0,24755,725,21084,2175,17512c3625,14039,5690,10964,8370,8285c11049,5606,14139,3522,17640,2084c21141,695,24786,0,28575,0x">
                  <v:stroke weight="0pt" endcap="flat" joinstyle="miter" miterlimit="4" on="false" color="#000000" opacity="0"/>
                  <v:fill on="true" color="#333333"/>
                </v:shape>
                <v:shape id="Shape 6264" style="position:absolute;width:571;height:571;left:3810;top:24765;" coordsize="57150,57150" path="m28575,0c32364,0,36009,695,39510,2133c43011,3572,46101,5655,48781,8285c51460,10964,53525,14039,54975,17512c56425,21084,57150,24755,57150,28575c57150,32345,56425,35967,54975,39439c53525,42962,51460,46038,48781,48766c46101,51395,43011,53429,39510,54868c36009,56356,32364,57100,28575,57150c24786,57100,21141,56356,17640,54868c14139,53429,11049,51395,8370,48766c5690,46038,3625,42962,2175,39439c725,35967,0,32345,0,28575c0,24755,725,21084,2175,17512c3625,14039,5690,10964,8370,8285c11049,5655,14139,3572,17640,2133c21141,695,24786,0,28575,0x">
                  <v:stroke weight="0pt" endcap="flat" joinstyle="miter" miterlimit="4" on="false" color="#000000" opacity="0"/>
                  <v:fill on="true" color="#333333"/>
                </v:shape>
                <v:shape id="Shape 6266" style="position:absolute;width:571;height:571;left:3810;top:26289;" coordsize="57150,57150" path="m28575,0c32364,0,36009,695,39510,2133c43011,3572,46101,5655,48781,8334c51460,11013,53525,14089,54975,17611c56425,21134,57150,24805,57150,28575c57150,32345,56425,35967,54975,39390c53525,42962,51460,46038,48781,48766c46101,51395,43011,53429,39510,54868c36009,56356,32364,57100,28575,57150c24786,57100,21141,56356,17640,54868c14139,53429,11049,51395,8370,48766c5690,46038,3625,42962,2175,39390c725,35967,0,32345,0,28575c0,24805,725,21134,2175,17611c3625,14089,5690,11013,8370,8334c11049,5655,14139,3572,17640,2133c21141,695,24786,0,28575,0x">
                  <v:stroke weight="0pt" endcap="flat" joinstyle="miter" miterlimit="4" on="false" color="#000000" opacity="0"/>
                  <v:fill on="true" color="#333333"/>
                </v:shape>
                <v:shape id="Shape 6268" style="position:absolute;width:571;height:571;left:3810;top:27813;"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70,48766c5690,46038,3625,42962,2175,39390c725,35967,0,32345,0,28575c0,24755,725,21084,2175,17611c3625,14089,5690,11013,8370,8334c11049,5606,14139,3572,17640,2133c21141,695,24786,0,28575,0x">
                  <v:stroke weight="0pt" endcap="flat" joinstyle="miter" miterlimit="4" on="false" color="#000000" opacity="0"/>
                  <v:fill on="true" color="#333333"/>
                </v:shape>
                <v:shape id="Shape 6270" style="position:absolute;width:571;height:571;left:3810;top:29337;"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70,48766c5690,46038,3625,42962,2175,39439c725,35967,0,32345,0,28575c0,24755,725,21084,2175,17611c3625,14089,5690,11013,8370,8334c11049,5606,14139,3572,17640,2133c21141,695,24786,0,28575,0x">
                  <v:stroke weight="0pt" endcap="flat" joinstyle="miter" miterlimit="4" on="false" color="#000000" opacity="0"/>
                  <v:fill on="true" color="#333333"/>
                </v:shape>
                <v:shape id="Shape 6272" style="position:absolute;width:571;height:571;left:3810;top:30861;" coordsize="57150,57150" path="m28575,0c32364,0,36009,695,39510,2133c43011,3572,46101,5655,48781,8384c51460,11013,53525,14089,54975,17611c56425,21084,57150,24755,57150,28575c57150,32345,56425,35967,54975,39489c53525,42962,51460,46038,48781,48766c46101,51395,43011,53479,39510,54918c36009,56356,32364,57100,28575,57150c24786,57100,21141,56406,17640,54967c14139,53479,11049,51395,8370,48766c5690,46038,3625,42962,2175,39439c725,35967,0,32345,0,28575c0,24755,725,21084,2175,17611c3625,14089,5690,11013,8370,8384c11049,5655,14139,3572,17640,2133c21141,695,24786,0,28575,0x">
                  <v:stroke weight="0pt" endcap="flat" joinstyle="miter" miterlimit="4" on="false" color="#000000" opacity="0"/>
                  <v:fill on="true" color="#333333"/>
                </v:shape>
                <v:shape id="Shape 6274" style="position:absolute;width:571;height:571;left:3810;top:32385;" coordsize="57150,57150" path="m28575,0c32364,0,36009,695,39510,2133c43011,3572,46101,5655,48781,8384c51460,11013,53525,14089,54975,17611c56425,21084,57150,24755,57150,28575c57150,32345,56425,35967,54975,39390c53525,42912,51460,45988,48781,48716c46101,51395,43011,53429,39510,54868c36009,56356,32364,57100,28575,57150c24786,57100,21141,56356,17640,54868c14139,53429,11049,51395,8370,48716c5690,45988,3625,42912,2175,39390c725,35967,0,32345,0,28575c0,24755,725,21084,2175,17611c3625,14089,5690,11013,8370,8384c11049,5655,14139,3621,17640,2183c21141,695,24786,0,28575,0x">
                  <v:stroke weight="0pt" endcap="flat" joinstyle="miter" miterlimit="4" on="false" color="#000000" opacity="0"/>
                  <v:fill on="true" color="#333333"/>
                </v:shape>
                <w10:wrap type="square"/>
              </v:group>
            </w:pict>
          </mc:Fallback>
        </mc:AlternateContent>
      </w:r>
      <w:r>
        <w:rPr>
          <w:i/>
        </w:rPr>
        <w:t>относительные:</w:t>
      </w:r>
    </w:p>
    <w:p w:rsidR="008E3F15" w:rsidRDefault="005F449A">
      <w:pPr>
        <w:ind w:left="340" w:right="2997"/>
      </w:pPr>
      <w:r>
        <w:t>хроническое, клинически значимое кровотечение &gt;48 ч; тромбоцитопения &lt;50×10</w:t>
      </w:r>
      <w:r>
        <w:rPr>
          <w:sz w:val="31"/>
          <w:vertAlign w:val="superscript"/>
        </w:rPr>
        <w:t>9</w:t>
      </w:r>
      <w:r>
        <w:t>/л; длительная терапи</w:t>
      </w:r>
      <w:r>
        <w:t>я антиагрегантами;</w:t>
      </w:r>
    </w:p>
    <w:p w:rsidR="008E3F15" w:rsidRDefault="005F449A">
      <w:pPr>
        <w:ind w:left="340" w:right="708"/>
      </w:pPr>
      <w:r>
        <w:t>выраженная дисфункция тромбоцитов (уремия, диспластический гематопоэз, лекарственные препараты); коагулопатия;</w:t>
      </w:r>
    </w:p>
    <w:p w:rsidR="008E3F15" w:rsidRDefault="005F449A">
      <w:pPr>
        <w:ind w:left="340" w:right="1719"/>
      </w:pPr>
      <w:r>
        <w:t>недавняя большая операция с высоким риском кровотечений; после оперативного лечения болезней нервной системы или глаз; высокий</w:t>
      </w:r>
      <w:r>
        <w:t xml:space="preserve"> риск падений;</w:t>
      </w:r>
    </w:p>
    <w:p w:rsidR="008E3F15" w:rsidRDefault="005F449A">
      <w:pPr>
        <w:ind w:left="340" w:right="3730"/>
      </w:pPr>
      <w:r>
        <w:t>нейроаксиальная анестезия, люмбальная пункция; геморрагический инсульт; метастазы в головной мозг; инфекционный эндокардит;</w:t>
      </w:r>
    </w:p>
    <w:p w:rsidR="008E3F15" w:rsidRDefault="005F449A">
      <w:pPr>
        <w:spacing w:after="359"/>
        <w:ind w:left="340" w:right="2544"/>
      </w:pPr>
      <w:r>
        <w:t>активная или недавняя гастроинтестинальная язва; неконтролируемая артериальная гипертензия; диабетическая ретинопатия.</w:t>
      </w:r>
    </w:p>
    <w:p w:rsidR="008E3F15" w:rsidRDefault="005F449A">
      <w:pPr>
        <w:pStyle w:val="Heading1"/>
        <w:ind w:left="2"/>
      </w:pPr>
      <w:r>
        <w:t>Часть I. Сердечно-сосудистые болезни</w:t>
      </w:r>
    </w:p>
    <w:p w:rsidR="008E3F15" w:rsidRDefault="005F449A">
      <w:pPr>
        <w:ind w:left="2" w:right="15"/>
      </w:pPr>
      <w:r>
        <w:t xml:space="preserve">При необходимости возможно лечение острой ЛЭ с помощью подкожного введения НФГ (если не планируется </w:t>
      </w:r>
      <w:r>
        <w:t>тромболитическая терапия или хирургическое лечение) без контроля коагулограммы — начальная доза 333 ед/кг, а затем 250 ед/кг 2 раза в сут (ACCP; Cochrane Reviews).</w:t>
      </w:r>
    </w:p>
    <w:p w:rsidR="008E3F15" w:rsidRDefault="005F449A">
      <w:pPr>
        <w:ind w:left="2" w:right="15"/>
      </w:pPr>
      <w:r>
        <w:t xml:space="preserve">Дозовый режим антикоагулянтов представлен в </w:t>
      </w:r>
      <w:r>
        <w:rPr>
          <w:b/>
        </w:rPr>
        <w:t>табл. 3.5</w:t>
      </w:r>
      <w:r>
        <w:t xml:space="preserve"> и на</w:t>
      </w:r>
      <w:r>
        <w:rPr>
          <w:b/>
        </w:rPr>
        <w:t xml:space="preserve"> рис. 3.5</w:t>
      </w:r>
      <w:r>
        <w:t>. Антикоагулянтная терапи</w:t>
      </w:r>
      <w:r>
        <w:t>я целесообразна даже при отсутствии верификации ЛЭ, особенно при высокой вероятности заболевания, поскольку позволяет снизить смертность (Blondon M. et al., 2012).</w:t>
      </w:r>
    </w:p>
    <w:p w:rsidR="008E3F15" w:rsidRDefault="005F449A">
      <w:pPr>
        <w:spacing w:after="31"/>
        <w:ind w:left="2" w:right="15"/>
      </w:pPr>
      <w:r>
        <w:rPr>
          <w:b/>
        </w:rPr>
        <w:t xml:space="preserve">Таблица 3.5. </w:t>
      </w:r>
      <w:r>
        <w:t>Стартовая антикоагулянтная терапия при легочной эмболии</w:t>
      </w:r>
    </w:p>
    <w:tbl>
      <w:tblPr>
        <w:tblStyle w:val="TableGrid"/>
        <w:tblW w:w="10485" w:type="dxa"/>
        <w:tblInd w:w="30" w:type="dxa"/>
        <w:tblCellMar>
          <w:top w:w="80" w:type="dxa"/>
          <w:left w:w="38" w:type="dxa"/>
          <w:bottom w:w="0" w:type="dxa"/>
          <w:right w:w="115" w:type="dxa"/>
        </w:tblCellMar>
        <w:tblLook w:val="04A0" w:firstRow="1" w:lastRow="0" w:firstColumn="1" w:lastColumn="0" w:noHBand="0" w:noVBand="1"/>
      </w:tblPr>
      <w:tblGrid>
        <w:gridCol w:w="2070"/>
        <w:gridCol w:w="8415"/>
      </w:tblGrid>
      <w:tr w:rsidR="008E3F15">
        <w:trPr>
          <w:trHeight w:val="330"/>
        </w:trPr>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rPr>
                <w:b/>
              </w:rPr>
              <w:t>Препараты</w:t>
            </w: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Доза</w:t>
            </w:r>
          </w:p>
        </w:tc>
      </w:tr>
      <w:tr w:rsidR="008E3F15">
        <w:trPr>
          <w:trHeight w:val="810"/>
        </w:trPr>
        <w:tc>
          <w:tcPr>
            <w:tcW w:w="20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НФГ</w:t>
            </w: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В/в</w:t>
            </w:r>
            <w:r>
              <w:t xml:space="preserve"> болюс 80 ед/кг (или 5000 ед), далее инфузия 18 ед/кг × ч (&lt;1670 ед/ч или 40 000 ед/сут) с контролем через 4–6 ч активированного частичного тромбопластинового времени (в 1,5–2,5 раза выше нормы)</w:t>
            </w:r>
          </w:p>
        </w:tc>
      </w:tr>
      <w:tr w:rsidR="008E3F15">
        <w:trPr>
          <w:trHeight w:val="330"/>
        </w:trPr>
        <w:tc>
          <w:tcPr>
            <w:tcW w:w="207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НМГ</w:t>
            </w: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Эноксапарин натрия 1 мг/кг 2 раза п/к или 1,5 мг/кг однократно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Далтепарин натрия 100 МЕ/кг 2 раза или 200 МЕ/кг однократно</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Надропарин кальция 86 ед/кг 2 раза или 171 МЕ/кг однократно</w:t>
            </w:r>
          </w:p>
        </w:tc>
      </w:tr>
      <w:tr w:rsidR="008E3F15">
        <w:trPr>
          <w:trHeight w:val="570"/>
        </w:trPr>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Фондапаринукс натрия</w:t>
            </w:r>
          </w:p>
        </w:tc>
        <w:tc>
          <w:tcPr>
            <w:tcW w:w="84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Подкожно 5, 7,5 и 10 мг однократно при массе тела &lt;50, 50–100 и &gt;100 кг</w:t>
            </w:r>
          </w:p>
        </w:tc>
      </w:tr>
      <w:tr w:rsidR="008E3F15">
        <w:trPr>
          <w:trHeight w:val="330"/>
        </w:trPr>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Апиксабан</w:t>
            </w: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 мг дважды 7 сут, далее 5 мг дважды</w:t>
            </w:r>
          </w:p>
        </w:tc>
      </w:tr>
      <w:tr w:rsidR="008E3F15">
        <w:trPr>
          <w:trHeight w:val="330"/>
        </w:trPr>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Ривароксабан</w:t>
            </w:r>
          </w:p>
        </w:tc>
        <w:tc>
          <w:tcPr>
            <w:tcW w:w="84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 мг дважды до 21 сут, далее 20 мг однократно, во время еды</w:t>
            </w:r>
          </w:p>
        </w:tc>
      </w:tr>
    </w:tbl>
    <w:p w:rsidR="008E3F15" w:rsidRDefault="005F449A">
      <w:pPr>
        <w:spacing w:after="65" w:line="259" w:lineRule="auto"/>
        <w:ind w:left="0" w:right="0" w:firstLine="0"/>
      </w:pPr>
      <w:r>
        <w:rPr>
          <w:noProof/>
        </w:rPr>
        <w:drawing>
          <wp:inline distT="0" distB="0" distL="0" distR="0">
            <wp:extent cx="5057775" cy="2924175"/>
            <wp:effectExtent l="0" t="0" r="0" b="0"/>
            <wp:docPr id="6322" name="Picture 6322"/>
            <wp:cNvGraphicFramePr/>
            <a:graphic xmlns:a="http://schemas.openxmlformats.org/drawingml/2006/main">
              <a:graphicData uri="http://schemas.openxmlformats.org/drawingml/2006/picture">
                <pic:pic xmlns:pic="http://schemas.openxmlformats.org/drawingml/2006/picture">
                  <pic:nvPicPr>
                    <pic:cNvPr id="6322" name="Picture 6322"/>
                    <pic:cNvPicPr/>
                  </pic:nvPicPr>
                  <pic:blipFill>
                    <a:blip r:embed="rId75"/>
                    <a:stretch>
                      <a:fillRect/>
                    </a:stretch>
                  </pic:blipFill>
                  <pic:spPr>
                    <a:xfrm>
                      <a:off x="0" y="0"/>
                      <a:ext cx="5057775" cy="2924175"/>
                    </a:xfrm>
                    <a:prstGeom prst="rect">
                      <a:avLst/>
                    </a:prstGeom>
                  </pic:spPr>
                </pic:pic>
              </a:graphicData>
            </a:graphic>
          </wp:inline>
        </w:drawing>
      </w:r>
    </w:p>
    <w:p w:rsidR="008E3F15" w:rsidRDefault="005F449A">
      <w:pPr>
        <w:spacing w:after="31"/>
        <w:ind w:left="2" w:right="15"/>
      </w:pPr>
      <w:r>
        <w:rPr>
          <w:b/>
        </w:rPr>
        <w:t xml:space="preserve">Рис. 3.5. </w:t>
      </w:r>
      <w:r>
        <w:t>Варианты лечения венозных тромбоэмболий антикоагулянтами</w:t>
      </w:r>
    </w:p>
    <w:p w:rsidR="008E3F15" w:rsidRDefault="005F449A">
      <w:pPr>
        <w:ind w:left="2" w:right="588"/>
      </w:pPr>
      <w:r>
        <w:t>Лечение парентеральными антикоагулянтами проводят не менее 5 сут до развертывания эффекта варфарина — МНО 2,0 и выше в двух определениях с суточным интервалом. Лечение варфарином рекомендуют начинать</w:t>
      </w:r>
      <w:r>
        <w:t xml:space="preserve"> с первых суток в дозе 10 мг/сут на 1–2 дня с последующей коррекцией дозы по МНО или с дозы 5 мг/сут (ACCP; ICSI). У пациентов с повышенным риском геморрагических осложнений или трудностями контроля МНО начальная доза составляет 2,5–5,0 мг/сут.</w:t>
      </w:r>
    </w:p>
    <w:p w:rsidR="008E3F15" w:rsidRDefault="005F449A">
      <w:pPr>
        <w:ind w:left="2" w:right="257"/>
      </w:pPr>
      <w:r>
        <w:t>Для длитель</w:t>
      </w:r>
      <w:r>
        <w:t>ной профилактики рецидивов ЛЭ используют прямые пероральные антикоагулянты, эффективность которых сопоставима с варфарином (Cochrane Reviews). Лечение ривароксабаном и апиксабаном стабильных пациентов можно проводить без предварительной парентеральной анти</w:t>
      </w:r>
      <w:r>
        <w:t xml:space="preserve">коагуляции, увеличив дозу в первые дни (EINSTEI-PE; AMPLIFY). Возможно использование дабигатрана этексилата в дозе 150 мг 2 раза или эдоксабана 60 мг однократно с предварительным введением парентеральных антикоагулянтов 5–10 сут (RE-COVER; Hokusai-VTE). У </w:t>
      </w:r>
      <w:r>
        <w:t>пациентов со средним риском перейти на дабигатрана этексилат можно через 3 сут (PEITHO-2).</w:t>
      </w:r>
    </w:p>
    <w:p w:rsidR="008E3F15" w:rsidRDefault="005F449A">
      <w:pPr>
        <w:spacing w:after="359"/>
        <w:ind w:left="2" w:right="15"/>
      </w:pPr>
      <w:r>
        <w:t>Антибиотики у пациентов с ЛЭ не используются, если только это не септическая эмболия, например вызванная инфекционным эндокардитом трикуспидального клапана.</w:t>
      </w:r>
    </w:p>
    <w:p w:rsidR="008E3F15" w:rsidRDefault="005F449A">
      <w:pPr>
        <w:pStyle w:val="Heading1"/>
        <w:ind w:left="2"/>
      </w:pPr>
      <w:r>
        <w:t>Часть I. Сердечно-сосудистые болезни</w:t>
      </w:r>
    </w:p>
    <w:p w:rsidR="008E3F15" w:rsidRDefault="005F449A">
      <w:pPr>
        <w:spacing w:after="179"/>
        <w:ind w:left="2" w:right="4705"/>
      </w:pPr>
      <w:r>
        <w:t xml:space="preserve">Отделение интервенционного лечения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7872" behindDoc="0" locked="0" layoutInCell="1" allowOverlap="1">
                <wp:simplePos x="0" y="0"/>
                <wp:positionH relativeFrom="column">
                  <wp:posOffset>209550</wp:posOffset>
                </wp:positionH>
                <wp:positionV relativeFrom="paragraph">
                  <wp:posOffset>34776</wp:posOffset>
                </wp:positionV>
                <wp:extent cx="57150" cy="514350"/>
                <wp:effectExtent l="0" t="0" r="0" b="0"/>
                <wp:wrapSquare wrapText="bothSides"/>
                <wp:docPr id="271293" name="Group 271293"/>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6344" name="Shape 6344"/>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296"/>
                                  <a:pt x="56425" y="3591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380"/>
                                  <a:pt x="11049" y="51346"/>
                                  <a:pt x="8369" y="48716"/>
                                </a:cubicBezTo>
                                <a:cubicBezTo>
                                  <a:pt x="5690" y="45988"/>
                                  <a:pt x="3625" y="42912"/>
                                  <a:pt x="2175" y="39439"/>
                                </a:cubicBezTo>
                                <a:cubicBezTo>
                                  <a:pt x="725" y="35917"/>
                                  <a:pt x="0" y="32296"/>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46" name="Shape 6346"/>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48" name="Shape 6348"/>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50" name="Shape 6350"/>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293" style="width:4.5pt;height:40.5pt;position:absolute;mso-position-horizontal-relative:text;mso-position-horizontal:absolute;margin-left:16.5pt;mso-position-vertical-relative:text;margin-top:2.73828pt;" coordsize="571,5143">
                <v:shape id="Shape 6344" style="position:absolute;width:571;height:571;left:0;top:0;" coordsize="57150,57150" path="m28575,0c32364,0,36009,695,39510,2133c43011,3572,46101,5655,48781,8334c51460,10964,53525,14089,54975,17562c56425,21084,57150,24755,57150,28575c57150,32296,56425,35917,54975,39390c53525,42912,51460,45988,48781,48716c46101,51346,43011,53429,39510,54868c36009,56356,32364,57100,28575,57150c24786,57100,21141,56356,17640,54868c14139,53380,11049,51346,8369,48716c5690,45988,3625,42912,2175,39439c725,35917,0,32296,0,28575c0,24755,725,21084,2175,17562c3625,14089,5690,10964,8369,8334c11049,5655,14139,3572,17640,2133c21141,695,24786,0,28575,0x">
                  <v:stroke weight="0pt" endcap="flat" joinstyle="miter" miterlimit="10" on="false" color="#000000" opacity="0"/>
                  <v:fill on="true" color="#333333"/>
                </v:shape>
                <v:shape id="Shape 6346" style="position:absolute;width:571;height:571;left:0;top:1524;" coordsize="57150,57150" path="m28575,0c32364,0,36009,695,39510,2133c43011,3572,46101,5655,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55,14139,3572,17640,2133c21141,695,24786,0,28575,0x">
                  <v:stroke weight="0pt" endcap="flat" joinstyle="miter" miterlimit="10" on="false" color="#000000" opacity="0"/>
                  <v:fill on="true" color="#333333"/>
                </v:shape>
                <v:shape id="Shape 6348" style="position:absolute;width:571;height:571;left:0;top:3048;"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10" on="false" color="#000000" opacity="0"/>
                  <v:fill on="true" color="#333333"/>
                </v:shape>
                <v:shape id="Shape 6350" style="position:absolute;width:571;height:571;left:0;top:4572;" coordsize="57150,57150" path="m28575,0c32364,0,36009,695,39510,2133c43011,3572,46101,5606,48781,8334c51460,11013,53525,14089,54975,17611c56425,21084,57150,24755,57150,28575c57150,32345,56425,35967,54975,39489c53525,42962,51460,46038,48781,48766c46101,51395,43011,53429,39510,54868c36009,56356,32364,57100,28575,57150c24786,57100,21141,56356,17640,54868c14139,53429,11049,51395,8369,48766c5690,46038,3625,42962,2175,39439c725,35967,0,32345,0,28575c0,24755,725,21084,2175,17611c3625,14089,5690,11013,8369,8334c11049,5606,14139,3572,17640,2133c21141,695,24786,0,28575,0x">
                  <v:stroke weight="0pt" endcap="flat" joinstyle="miter" miterlimit="10" on="false" color="#000000" opacity="0"/>
                  <v:fill on="true" color="#333333"/>
                </v:shape>
                <w10:wrap type="square"/>
              </v:group>
            </w:pict>
          </mc:Fallback>
        </mc:AlternateContent>
      </w:r>
      <w:r>
        <w:t>Эхокардиография с оценкой легочной гипертензии.</w:t>
      </w:r>
    </w:p>
    <w:p w:rsidR="008E3F15" w:rsidRDefault="005F449A">
      <w:pPr>
        <w:spacing w:after="31"/>
        <w:ind w:left="340" w:right="15"/>
      </w:pPr>
      <w:r>
        <w:t>КТ-ангиография легочной артерии.</w:t>
      </w:r>
    </w:p>
    <w:p w:rsidR="008E3F15" w:rsidRDefault="005F449A">
      <w:pPr>
        <w:spacing w:after="31"/>
        <w:ind w:left="340" w:right="15"/>
      </w:pPr>
      <w:r>
        <w:t>Легочная ангиография.</w:t>
      </w:r>
    </w:p>
    <w:p w:rsidR="008E3F15" w:rsidRDefault="005F449A">
      <w:pPr>
        <w:spacing w:line="359" w:lineRule="auto"/>
        <w:ind w:left="-8" w:right="1553" w:firstLine="180"/>
      </w:pPr>
      <w:r>
        <w:t xml:space="preserve">Анализ крови на вирусы гепатита В, С, иммунодефицита человека. </w:t>
      </w:r>
      <w:r>
        <w:rPr>
          <w:b/>
        </w:rPr>
        <w:t>Лечен</w:t>
      </w:r>
      <w:r>
        <w:rPr>
          <w:b/>
        </w:rPr>
        <w:t>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28896" behindDoc="0" locked="0" layoutInCell="1" allowOverlap="1">
                <wp:simplePos x="0" y="0"/>
                <wp:positionH relativeFrom="column">
                  <wp:posOffset>209550</wp:posOffset>
                </wp:positionH>
                <wp:positionV relativeFrom="paragraph">
                  <wp:posOffset>34776</wp:posOffset>
                </wp:positionV>
                <wp:extent cx="57150" cy="514350"/>
                <wp:effectExtent l="0" t="0" r="0" b="0"/>
                <wp:wrapSquare wrapText="bothSides"/>
                <wp:docPr id="271294" name="Group 271294"/>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6353" name="Shape 6353"/>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55" name="Shape 6355"/>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57" name="Shape 6357"/>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2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2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59" name="Shape 6359"/>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294" style="width:4.5pt;height:40.5pt;position:absolute;mso-position-horizontal-relative:text;mso-position-horizontal:absolute;margin-left:16.5pt;mso-position-vertical-relative:text;margin-top:2.73828pt;" coordsize="571,5143">
                <v:shape id="Shape 6353" style="position:absolute;width:571;height:571;left:0;top:0;" coordsize="57150,57150" path="m28575,0c32364,0,36009,695,39510,2133c43011,3572,46101,5606,48781,8285c51460,10964,53525,14039,54975,17512c56425,21084,57150,24755,57150,28575c57150,32345,56425,35967,54975,39489c53525,42962,51460,46038,48781,48766c46101,51395,43011,53429,39510,54918c36009,56356,32364,57100,28575,57150c24786,57100,21141,56406,17640,54967c14139,53429,11049,51395,8369,48766c5690,46038,3625,42912,2175,39439c725,35967,0,32345,0,28575c0,24755,725,21084,2175,17562c3625,14039,5690,10964,8369,8285c11049,5606,14139,3572,17640,2133c21141,695,24786,0,28575,0x">
                  <v:stroke weight="0pt" endcap="flat" joinstyle="miter" miterlimit="10" on="false" color="#000000" opacity="0"/>
                  <v:fill on="true" color="#333333"/>
                </v:shape>
                <v:shape id="Shape 6355" style="position:absolute;width:571;height:571;left:0;top:1524;" coordsize="57150,57150" path="m28575,0c32364,0,36009,695,39510,2133c43011,3572,46101,5606,48781,8334c51460,10964,53525,14089,54975,17562c56425,21084,57150,24755,57150,28575c57150,32345,56425,35967,54975,39489c53525,42962,51460,46038,48781,48766c46101,51395,43011,53429,39510,54918c36009,56356,32364,57100,28575,57150c24786,57100,21141,56406,17640,54967c14139,53429,11049,51395,8369,48766c5690,46038,3625,42962,2175,39489c725,35967,0,32345,0,28575c0,24755,725,21084,2175,17562c3625,14089,5690,10964,8369,8334c11049,5606,14139,3572,17640,2133c21141,695,24786,0,28575,0x">
                  <v:stroke weight="0pt" endcap="flat" joinstyle="miter" miterlimit="10" on="false" color="#000000" opacity="0"/>
                  <v:fill on="true" color="#333333"/>
                </v:shape>
                <v:shape id="Shape 6357" style="position:absolute;width:571;height:571;left:0;top:3048;" coordsize="57150,57150" path="m28575,0c32364,0,36009,695,39510,2084c43011,3522,46101,5606,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06,14139,3522,17640,2084c21141,695,24786,0,28575,0x">
                  <v:stroke weight="0pt" endcap="flat" joinstyle="miter" miterlimit="10" on="false" color="#000000" opacity="0"/>
                  <v:fill on="true" color="#333333"/>
                </v:shape>
                <v:shape id="Shape 6359" style="position:absolute;width:571;height:571;left:0;top:4572;" coordsize="57150,57150" path="m28575,0c32364,0,36009,695,39510,2133c43011,3572,46101,5655,48781,8334c51460,10964,53525,14089,54975,17562c56425,21084,57150,24755,57150,28575c57150,32345,56425,35967,54975,39489c53525,42962,51460,46038,48781,48766c46101,51395,43011,53479,39510,54918c36009,56356,32364,57100,28575,57150c24786,57100,21141,56356,17640,54918c14139,53479,11049,51395,8369,48766c5690,46038,3625,42962,2175,39489c725,35967,0,32345,0,28575c0,24755,725,21084,2175,17562c3625,14089,5690,10964,8369,8334c11049,5655,14139,3572,17640,2133c21141,695,24786,0,28575,0x">
                  <v:stroke weight="0pt" endcap="flat" joinstyle="miter" miterlimit="10" on="false" color="#000000" opacity="0"/>
                  <v:fill on="true" color="#333333"/>
                </v:shape>
                <w10:wrap type="square"/>
              </v:group>
            </w:pict>
          </mc:Fallback>
        </mc:AlternateContent>
      </w:r>
      <w:r>
        <w:t>Катетерная эмболэктомия, фрагментация тромба.</w:t>
      </w:r>
    </w:p>
    <w:p w:rsidR="008E3F15" w:rsidRDefault="005F449A">
      <w:pPr>
        <w:spacing w:after="31"/>
        <w:ind w:left="340" w:right="15"/>
      </w:pPr>
      <w:r>
        <w:t>Кава-фильтры.</w:t>
      </w:r>
    </w:p>
    <w:p w:rsidR="008E3F15" w:rsidRDefault="005F449A">
      <w:pPr>
        <w:spacing w:after="31"/>
        <w:ind w:left="340" w:right="15"/>
      </w:pPr>
      <w:r>
        <w:t>Тромбэндартерэктомия.</w:t>
      </w:r>
    </w:p>
    <w:p w:rsidR="008E3F15" w:rsidRDefault="005F449A">
      <w:pPr>
        <w:spacing w:after="165"/>
        <w:ind w:left="340" w:right="15"/>
      </w:pPr>
      <w:r>
        <w:t>Баллонная ангиопластика.</w:t>
      </w:r>
    </w:p>
    <w:p w:rsidR="008E3F15" w:rsidRDefault="005F449A">
      <w:pPr>
        <w:ind w:left="2" w:right="15"/>
      </w:pPr>
      <w:r>
        <w:t xml:space="preserve">Катетерная эмболэктомия или фрагментация тромба показаны пациентам с ЛЭ высокого риска и противопоказаниями к тромболизису, при нестабильном состоянии после тромболизиса (AHA, ESC). Вместе с тем исследования не показали существенного улучшения прогноза по </w:t>
      </w:r>
      <w:r>
        <w:t>сравнению с другими методами лечения, включая обычную гепаринизацию (Cochrane Reviews).</w:t>
      </w:r>
    </w:p>
    <w:p w:rsidR="008E3F15" w:rsidRDefault="005F449A">
      <w:pPr>
        <w:ind w:left="2" w:right="15"/>
      </w:pPr>
      <w:r>
        <w:t>При недостаточном эффекте антикоагулянтов или невозможности применения следует тщательно взвесить пользу и риски (тромбоз фильтра, эрозии вены) применения кавафильтров.</w:t>
      </w:r>
      <w:r>
        <w:t xml:space="preserve"> Использование кава-фильтров может быть целесообразным в следующих случаях</w:t>
      </w:r>
    </w:p>
    <w:p w:rsidR="008E3F15" w:rsidRDefault="005F449A">
      <w:pPr>
        <w:spacing w:after="31"/>
        <w:ind w:left="2" w:right="15"/>
      </w:pPr>
      <w:r>
        <w:t>(ESC):</w:t>
      </w:r>
    </w:p>
    <w:p w:rsidR="008E3F15" w:rsidRDefault="005F449A">
      <w:pPr>
        <w:spacing w:after="179"/>
        <w:ind w:left="340" w:right="1773"/>
      </w:pPr>
      <w:r>
        <w:rPr>
          <w:rFonts w:ascii="Calibri" w:eastAsia="Calibri" w:hAnsi="Calibri" w:cs="Calibri"/>
          <w:noProof/>
          <w:color w:val="000000"/>
          <w:sz w:val="22"/>
        </w:rPr>
        <mc:AlternateContent>
          <mc:Choice Requires="wpg">
            <w:drawing>
              <wp:anchor distT="0" distB="0" distL="114300" distR="114300" simplePos="0" relativeHeight="251729920" behindDoc="0" locked="0" layoutInCell="1" allowOverlap="1">
                <wp:simplePos x="0" y="0"/>
                <wp:positionH relativeFrom="column">
                  <wp:posOffset>209550</wp:posOffset>
                </wp:positionH>
                <wp:positionV relativeFrom="paragraph">
                  <wp:posOffset>34776</wp:posOffset>
                </wp:positionV>
                <wp:extent cx="57150" cy="209550"/>
                <wp:effectExtent l="0" t="0" r="0" b="0"/>
                <wp:wrapSquare wrapText="bothSides"/>
                <wp:docPr id="272534" name="Group 272534"/>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6384" name="Shape 6384"/>
                        <wps:cNvSpPr/>
                        <wps:spPr>
                          <a:xfrm>
                            <a:off x="0" y="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386" name="Shape 6386"/>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534" style="width:4.5pt;height:16.5pt;position:absolute;mso-position-horizontal-relative:text;mso-position-horizontal:absolute;margin-left:16.5pt;mso-position-vertical-relative:text;margin-top:2.73828pt;" coordsize="571,2095">
                <v:shape id="Shape 6384" style="position:absolute;width:571;height:571;left:0;top:0;" coordsize="57150,57150" path="m28575,0c32364,0,36009,695,39510,2133c43011,3522,46101,5606,48781,8285c51460,10964,53525,1408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89,5690,10964,8369,8285c11049,5606,14139,3522,17640,2133c21141,695,24786,0,28575,0x">
                  <v:stroke weight="0pt" endcap="flat" joinstyle="miter" miterlimit="10" on="false" color="#000000" opacity="0"/>
                  <v:fill on="true" color="#333333"/>
                </v:shape>
                <v:shape id="Shape 6386" style="position:absolute;width:571;height:571;left:0;top:1524;" coordsize="57150,57150" path="m28575,0c32364,0,36009,695,39510,2133c43011,3522,46101,5606,48781,8285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285c11049,5606,14139,3522,17640,2133c21141,695,24786,0,28575,0x">
                  <v:stroke weight="0pt" endcap="flat" joinstyle="miter" miterlimit="10" on="false" color="#000000" opacity="0"/>
                  <v:fill on="true" color="#333333"/>
                </v:shape>
                <w10:wrap type="square"/>
              </v:group>
            </w:pict>
          </mc:Fallback>
        </mc:AlternateContent>
      </w:r>
      <w:r>
        <w:t>острая ЛЭ и абсолютные противопоказания к антикоагулянтам; рецидивы ЛЭ, несмотря на терапевтическую антикоагуляцию.</w:t>
      </w:r>
    </w:p>
    <w:p w:rsidR="008E3F15" w:rsidRDefault="005F449A">
      <w:pPr>
        <w:ind w:left="2" w:right="15"/>
      </w:pPr>
      <w:r>
        <w:t>По данным метаанализа исследований, венозные фильтры сниж</w:t>
      </w:r>
      <w:r>
        <w:t>ают наполовину риск рецидивов ЛЭ, увеличивают на 70% частоту тромбоза глубоких вен и не влияют существенно на смертность (Bikdeli B. et al., 2017).</w:t>
      </w:r>
    </w:p>
    <w:p w:rsidR="008E3F15" w:rsidRDefault="005F449A">
      <w:pPr>
        <w:ind w:left="2" w:right="228"/>
      </w:pPr>
      <w:r>
        <w:t>Назначение антикоагулянтов при имплантированном кава-фильтре должно основываться на оценке рисков тромбоза и</w:t>
      </w:r>
      <w:r>
        <w:t xml:space="preserve"> кровотечений, а не на наличии кава-фильтра (BCSH).</w:t>
      </w:r>
    </w:p>
    <w:p w:rsidR="008E3F15" w:rsidRDefault="005F449A">
      <w:pPr>
        <w:ind w:left="2" w:right="15"/>
      </w:pPr>
      <w:r>
        <w:t>Диагноз тромбоэмболической легочной гипертензии устанавливают не ранее 3 мес терапии антикоагулянтами на основании прямого измерения среднего АД в легочной артерии ≥25 мм рт.ст., давления заклинивания лег</w:t>
      </w:r>
      <w:r>
        <w:t>очной артерии ≤15 мм рт.ст. и наличия обструкции легочной артерии. Для скрининга легочной гипертензии можно использовать</w:t>
      </w:r>
    </w:p>
    <w:p w:rsidR="008E3F15" w:rsidRDefault="005F449A">
      <w:pPr>
        <w:ind w:left="2" w:right="15"/>
      </w:pPr>
      <w:r>
        <w:t xml:space="preserve">эхокардиографическую оценку пиковой скорости трикуспидальной регургитации (&gt;2,8–3,4 мм рт.ст.), но не расчетные систолическое давление </w:t>
      </w:r>
      <w:r>
        <w:t>в легочной артерии/правом желудочке или среднее давление в легочной артерии (ESC; Sumimoto K. et al., 2020). Основным методом лечения является легочная тромбэндартерэктомия.</w:t>
      </w:r>
    </w:p>
    <w:p w:rsidR="008E3F15" w:rsidRDefault="005F449A">
      <w:pPr>
        <w:spacing w:after="359"/>
        <w:ind w:left="2" w:right="613"/>
      </w:pPr>
      <w:r>
        <w:t>При невозможности хирургического лечения используют баллонную ангиопластику, риоци</w:t>
      </w:r>
      <w:r>
        <w:t>гуат (стимулятор гуанилатциклазы), ингаляции илопроста (аналог простациклина), а также диуретики и кислородотерапию.</w:t>
      </w:r>
    </w:p>
    <w:p w:rsidR="008E3F15" w:rsidRDefault="005F449A">
      <w:pPr>
        <w:pStyle w:val="Heading1"/>
        <w:ind w:left="2"/>
      </w:pPr>
      <w:r>
        <w:t>Часть I. Сердечно-сосудистые болезни</w:t>
      </w:r>
    </w:p>
    <w:p w:rsidR="008E3F15" w:rsidRDefault="005F449A">
      <w:pPr>
        <w:spacing w:after="179"/>
        <w:ind w:left="2" w:right="5762"/>
      </w:pPr>
      <w:r>
        <w:t xml:space="preserve">Кардиологическое отделение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30944" behindDoc="0" locked="0" layoutInCell="1" allowOverlap="1">
                <wp:simplePos x="0" y="0"/>
                <wp:positionH relativeFrom="column">
                  <wp:posOffset>209550</wp:posOffset>
                </wp:positionH>
                <wp:positionV relativeFrom="paragraph">
                  <wp:posOffset>34776</wp:posOffset>
                </wp:positionV>
                <wp:extent cx="57150" cy="361950"/>
                <wp:effectExtent l="0" t="0" r="0" b="0"/>
                <wp:wrapSquare wrapText="bothSides"/>
                <wp:docPr id="272535" name="Group 27253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6407" name="Shape 6407"/>
                        <wps:cNvSpPr/>
                        <wps:spPr>
                          <a:xfrm>
                            <a:off x="0" y="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09" name="Shape 6409"/>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12"/>
                                </a:cubicBezTo>
                                <a:cubicBezTo>
                                  <a:pt x="3625" y="14039"/>
                                  <a:pt x="5690" y="10964"/>
                                  <a:pt x="8369" y="8285"/>
                                </a:cubicBezTo>
                                <a:cubicBezTo>
                                  <a:pt x="11049" y="5606"/>
                                  <a:pt x="14139" y="352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11" name="Shape 6411"/>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535" style="width:4.5pt;height:28.5pt;position:absolute;mso-position-horizontal-relative:text;mso-position-horizontal:absolute;margin-left:16.5pt;mso-position-vertical-relative:text;margin-top:2.73828pt;" coordsize="571,3619">
                <v:shape id="Shape 6407" style="position:absolute;width:571;height:571;left:0;top:0;" coordsize="57150,57150" path="m28575,0c32364,0,36009,695,39510,2183c43011,3572,46101,5606,48781,8285c51460,10964,53525,14039,54975,17512c56425,21084,57150,24755,57150,28575c57150,32345,56425,35967,54975,39539c53525,42962,51460,46087,48781,48766c46101,51445,43011,53479,39510,54918c36009,56356,32364,57100,28575,57150c24786,57100,21141,56356,17640,54918c14139,53479,11049,51445,8369,48766c5690,46087,3625,42962,2175,39489c725,35967,0,32345,0,28575c0,24755,725,21084,2175,17512c3625,14039,5690,10964,8369,8285c11049,5606,14139,3572,17640,2133c21141,695,24786,0,28575,0x">
                  <v:stroke weight="0pt" endcap="flat" joinstyle="miter" miterlimit="10" on="false" color="#000000" opacity="0"/>
                  <v:fill on="true" color="#333333"/>
                </v:shape>
                <v:shape id="Shape 6409" style="position:absolute;width:571;height:571;left:0;top:1524;" coordsize="57150,57150" path="m28575,0c32364,0,36009,695,39510,2133c43011,3572,46101,5606,48781,8285c51460,10964,53525,14039,54975,1751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12c3625,14039,5690,10964,8369,8285c11049,5606,14139,3522,17640,2084c21141,695,24786,0,28575,0x">
                  <v:stroke weight="0pt" endcap="flat" joinstyle="miter" miterlimit="10" on="false" color="#000000" opacity="0"/>
                  <v:fill on="true" color="#333333"/>
                </v:shape>
                <v:shape id="Shape 6411" style="position:absolute;width:571;height:571;left:0;top:3048;" coordsize="57150,57150" path="m28575,0c32364,0,36009,695,39510,2133c43011,3572,46101,5655,48781,8334c51460,10964,53525,14089,54975,17562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562c3625,14089,5690,10964,8369,8334c11049,5655,14139,3572,17640,2133c21141,695,24786,0,28575,0x">
                  <v:stroke weight="0pt" endcap="flat" joinstyle="miter" miterlimit="10" on="false" color="#000000" opacity="0"/>
                  <v:fill on="true" color="#333333"/>
                </v:shape>
                <w10:wrap type="square"/>
              </v:group>
            </w:pict>
          </mc:Fallback>
        </mc:AlternateContent>
      </w:r>
      <w:r>
        <w:t>Уточнение причины.</w:t>
      </w:r>
    </w:p>
    <w:p w:rsidR="008E3F15" w:rsidRDefault="005F449A">
      <w:pPr>
        <w:spacing w:after="31"/>
        <w:ind w:left="340" w:right="15"/>
      </w:pPr>
      <w:r>
        <w:t>Контроль МНО при лечении варфарином.</w:t>
      </w:r>
    </w:p>
    <w:p w:rsidR="008E3F15" w:rsidRDefault="005F449A">
      <w:pPr>
        <w:spacing w:after="165"/>
        <w:ind w:left="340" w:right="15"/>
      </w:pPr>
      <w:r>
        <w:t>Дуплек</w:t>
      </w:r>
      <w:r>
        <w:t>сная сонография вен нижних конечностей.</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31968" behindDoc="0" locked="0" layoutInCell="1" allowOverlap="1">
                <wp:simplePos x="0" y="0"/>
                <wp:positionH relativeFrom="column">
                  <wp:posOffset>209550</wp:posOffset>
                </wp:positionH>
                <wp:positionV relativeFrom="paragraph">
                  <wp:posOffset>34776</wp:posOffset>
                </wp:positionV>
                <wp:extent cx="57150" cy="209550"/>
                <wp:effectExtent l="0" t="0" r="0" b="0"/>
                <wp:wrapSquare wrapText="bothSides"/>
                <wp:docPr id="272536" name="Group 272536"/>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6414" name="Shape 6414"/>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16"/>
                                </a:cubicBezTo>
                                <a:cubicBezTo>
                                  <a:pt x="5690" y="45988"/>
                                  <a:pt x="3625" y="42912"/>
                                  <a:pt x="2175" y="39390"/>
                                </a:cubicBezTo>
                                <a:cubicBezTo>
                                  <a:pt x="725" y="35967"/>
                                  <a:pt x="0" y="32345"/>
                                  <a:pt x="0" y="28575"/>
                                </a:cubicBezTo>
                                <a:cubicBezTo>
                                  <a:pt x="0" y="24755"/>
                                  <a:pt x="725" y="21084"/>
                                  <a:pt x="2175" y="17611"/>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16" name="Shape 6416"/>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16"/>
                                </a:cubicBezTo>
                                <a:cubicBezTo>
                                  <a:pt x="5690" y="45988"/>
                                  <a:pt x="3625" y="42912"/>
                                  <a:pt x="2175" y="39390"/>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536" style="width:4.5pt;height:16.5pt;position:absolute;mso-position-horizontal-relative:text;mso-position-horizontal:absolute;margin-left:16.5pt;mso-position-vertical-relative:text;margin-top:2.73828pt;" coordsize="571,2095">
                <v:shape id="Shape 6414" style="position:absolute;width:571;height:571;left:0;top:0;" coordsize="57150,57150" path="m28575,0c32364,0,36009,695,39510,2133c43011,3572,46101,5655,48781,8384c51460,11013,53525,14089,54975,17611c56425,21084,57150,24755,57150,28575c57150,32345,56425,35967,54975,39390c53525,42912,51460,45988,48781,48716c46101,51395,43011,53429,39510,54868c36009,56356,32364,57100,28575,57150c24786,57100,21141,56356,17640,54868c14139,53429,11049,51395,8369,48716c5690,45988,3625,42912,2175,39390c725,35967,0,32345,0,28575c0,24755,725,21084,2175,17611c3625,14089,5690,11013,8369,8384c11049,5655,14139,3572,17640,2133c21141,695,24786,0,28575,0x">
                  <v:stroke weight="0pt" endcap="flat" joinstyle="miter" miterlimit="10" on="false" color="#000000" opacity="0"/>
                  <v:fill on="true" color="#333333"/>
                </v:shape>
                <v:shape id="Shape 6416" style="position:absolute;width:571;height:571;left:0;top:1524;" coordsize="57150,57150" path="m28575,0c32364,0,36009,695,39510,2133c43011,3572,46101,5606,48781,8334c51460,10964,53525,14089,54975,17611c56425,21084,57150,24755,57150,28575c57150,32345,56425,35967,54975,39390c53525,42912,51460,45988,48781,48716c46101,51395,43011,53429,39510,54868c36009,56356,32364,57100,28575,57150c24786,57100,21141,56356,17640,54868c14139,53429,11049,51395,8369,48716c5690,45988,3625,42912,2175,39390c725,35967,0,32345,0,28575c0,24755,725,21084,2175,17611c3625,14089,5690,10964,8369,8334c11049,5606,14139,3572,17640,2133c21141,695,24786,0,28575,0x">
                  <v:stroke weight="0pt" endcap="flat" joinstyle="miter" miterlimit="10" on="false" color="#000000" opacity="0"/>
                  <v:fill on="true" color="#333333"/>
                </v:shape>
                <w10:wrap type="square"/>
              </v:group>
            </w:pict>
          </mc:Fallback>
        </mc:AlternateContent>
      </w:r>
      <w:r>
        <w:t>Варфарин — подбор дозы.</w:t>
      </w:r>
    </w:p>
    <w:p w:rsidR="008E3F15" w:rsidRDefault="005F449A">
      <w:pPr>
        <w:spacing w:after="165"/>
        <w:ind w:left="340" w:right="15"/>
      </w:pPr>
      <w:r>
        <w:t>Апиксабан, дабигатрана этексилат, ривароксабан.</w:t>
      </w:r>
    </w:p>
    <w:p w:rsidR="008E3F15" w:rsidRDefault="005F449A">
      <w:pPr>
        <w:ind w:left="2" w:right="351"/>
      </w:pPr>
      <w:r>
        <w:rPr>
          <w:b/>
        </w:rPr>
        <w:t>Диагностика.</w:t>
      </w:r>
      <w:r>
        <w:t xml:space="preserve"> Для уточнения причины ЛЭ целесообразно провести ультразвуковое исследование вен нижних конечностей; при наличии тромбоза глубоких вен показаны соответствующие лечебные мероприятия. У пациентов с верифицированной ЛЭ ультразвуковой метод позволяет выявить т</w:t>
      </w:r>
      <w:r>
        <w:t>ромбоз глубоких вен в проксимальных отделах в 41% случаев, а при сканировании на всем протяжении вен нижних конечностей — в 79%</w:t>
      </w:r>
    </w:p>
    <w:p w:rsidR="008E3F15" w:rsidRDefault="005F449A">
      <w:pPr>
        <w:ind w:left="2" w:right="1775"/>
      </w:pPr>
      <w:r>
        <w:t>(Da Costa Rodrigues J. et al., 2016). Поэтому нормальные результаты, особенно в проксимальных венах, не исключают ЛЭ.</w:t>
      </w:r>
    </w:p>
    <w:p w:rsidR="008E3F15" w:rsidRDefault="005F449A">
      <w:pPr>
        <w:spacing w:after="179"/>
        <w:ind w:left="2" w:right="15"/>
      </w:pPr>
      <w:r>
        <w:t>Ультразвук</w:t>
      </w:r>
      <w:r>
        <w:t>овое компрессионное дуплексное сканирование вен нижних конечностей позволяет выявить признаки тромбоза:</w:t>
      </w:r>
    </w:p>
    <w:p w:rsidR="008E3F15" w:rsidRDefault="005F449A">
      <w:pPr>
        <w:ind w:left="340" w:right="790"/>
      </w:pPr>
      <w:r>
        <w:rPr>
          <w:rFonts w:ascii="Calibri" w:eastAsia="Calibri" w:hAnsi="Calibri" w:cs="Calibri"/>
          <w:noProof/>
          <w:color w:val="000000"/>
          <w:sz w:val="22"/>
        </w:rPr>
        <mc:AlternateContent>
          <mc:Choice Requires="wpg">
            <w:drawing>
              <wp:anchor distT="0" distB="0" distL="114300" distR="114300" simplePos="0" relativeHeight="251732992" behindDoc="0" locked="0" layoutInCell="1" allowOverlap="1">
                <wp:simplePos x="0" y="0"/>
                <wp:positionH relativeFrom="column">
                  <wp:posOffset>209550</wp:posOffset>
                </wp:positionH>
                <wp:positionV relativeFrom="paragraph">
                  <wp:posOffset>34776</wp:posOffset>
                </wp:positionV>
                <wp:extent cx="57150" cy="1428750"/>
                <wp:effectExtent l="0" t="0" r="0" b="0"/>
                <wp:wrapSquare wrapText="bothSides"/>
                <wp:docPr id="272537" name="Group 272537"/>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6428" name="Shape 6428"/>
                        <wps:cNvSpPr/>
                        <wps:spPr>
                          <a:xfrm>
                            <a:off x="0" y="0"/>
                            <a:ext cx="57150" cy="57150"/>
                          </a:xfrm>
                          <a:custGeom>
                            <a:avLst/>
                            <a:gdLst/>
                            <a:ahLst/>
                            <a:cxnLst/>
                            <a:rect l="0" t="0" r="0" b="0"/>
                            <a:pathLst>
                              <a:path w="57150" h="57150">
                                <a:moveTo>
                                  <a:pt x="28575" y="0"/>
                                </a:moveTo>
                                <a:cubicBezTo>
                                  <a:pt x="32364" y="0"/>
                                  <a:pt x="36009" y="695"/>
                                  <a:pt x="39510" y="2183"/>
                                </a:cubicBezTo>
                                <a:cubicBezTo>
                                  <a:pt x="43011" y="3621"/>
                                  <a:pt x="46101" y="5655"/>
                                  <a:pt x="48781" y="8384"/>
                                </a:cubicBezTo>
                                <a:cubicBezTo>
                                  <a:pt x="51460" y="11013"/>
                                  <a:pt x="53525" y="14089"/>
                                  <a:pt x="54975" y="17562"/>
                                </a:cubicBezTo>
                                <a:cubicBezTo>
                                  <a:pt x="56425" y="21084"/>
                                  <a:pt x="57150" y="24755"/>
                                  <a:pt x="57150" y="28575"/>
                                </a:cubicBezTo>
                                <a:cubicBezTo>
                                  <a:pt x="57150" y="32296"/>
                                  <a:pt x="56425" y="35917"/>
                                  <a:pt x="54975" y="39390"/>
                                </a:cubicBezTo>
                                <a:cubicBezTo>
                                  <a:pt x="53525" y="42912"/>
                                  <a:pt x="51460" y="45988"/>
                                  <a:pt x="48781" y="48716"/>
                                </a:cubicBezTo>
                                <a:cubicBezTo>
                                  <a:pt x="46101" y="51346"/>
                                  <a:pt x="43011" y="53380"/>
                                  <a:pt x="39510" y="54868"/>
                                </a:cubicBezTo>
                                <a:cubicBezTo>
                                  <a:pt x="36009" y="56356"/>
                                  <a:pt x="32364" y="57100"/>
                                  <a:pt x="28575" y="57150"/>
                                </a:cubicBezTo>
                                <a:cubicBezTo>
                                  <a:pt x="24786" y="57100"/>
                                  <a:pt x="21141" y="56356"/>
                                  <a:pt x="17640" y="54868"/>
                                </a:cubicBezTo>
                                <a:cubicBezTo>
                                  <a:pt x="14139" y="53380"/>
                                  <a:pt x="11049" y="51346"/>
                                  <a:pt x="8369" y="48716"/>
                                </a:cubicBezTo>
                                <a:cubicBezTo>
                                  <a:pt x="5690" y="45988"/>
                                  <a:pt x="3625" y="42912"/>
                                  <a:pt x="2175" y="39439"/>
                                </a:cubicBezTo>
                                <a:cubicBezTo>
                                  <a:pt x="725" y="35917"/>
                                  <a:pt x="0" y="32296"/>
                                  <a:pt x="0" y="28575"/>
                                </a:cubicBezTo>
                                <a:cubicBezTo>
                                  <a:pt x="0" y="24755"/>
                                  <a:pt x="725" y="21084"/>
                                  <a:pt x="2175" y="17562"/>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31" name="Shape 6431"/>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33" name="Shape 6433"/>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36" name="Shape 6436"/>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611"/>
                                </a:cubicBezTo>
                                <a:cubicBezTo>
                                  <a:pt x="56425" y="21084"/>
                                  <a:pt x="57150" y="24755"/>
                                  <a:pt x="57150" y="28575"/>
                                </a:cubicBezTo>
                                <a:cubicBezTo>
                                  <a:pt x="57150" y="32345"/>
                                  <a:pt x="56425" y="35967"/>
                                  <a:pt x="54975" y="39489"/>
                                </a:cubicBezTo>
                                <a:cubicBezTo>
                                  <a:pt x="53525" y="43011"/>
                                  <a:pt x="51460" y="46087"/>
                                  <a:pt x="48781" y="48766"/>
                                </a:cubicBezTo>
                                <a:cubicBezTo>
                                  <a:pt x="46101" y="51445"/>
                                  <a:pt x="43011" y="53479"/>
                                  <a:pt x="39510" y="54918"/>
                                </a:cubicBezTo>
                                <a:cubicBezTo>
                                  <a:pt x="36009" y="56356"/>
                                  <a:pt x="32364" y="57100"/>
                                  <a:pt x="28575" y="57150"/>
                                </a:cubicBezTo>
                                <a:cubicBezTo>
                                  <a:pt x="24786" y="57100"/>
                                  <a:pt x="21141" y="56406"/>
                                  <a:pt x="17640" y="54967"/>
                                </a:cubicBezTo>
                                <a:cubicBezTo>
                                  <a:pt x="14139" y="53529"/>
                                  <a:pt x="11049" y="51445"/>
                                  <a:pt x="8369" y="48766"/>
                                </a:cubicBezTo>
                                <a:cubicBezTo>
                                  <a:pt x="5690" y="46087"/>
                                  <a:pt x="3625" y="43011"/>
                                  <a:pt x="2175" y="39489"/>
                                </a:cubicBezTo>
                                <a:cubicBezTo>
                                  <a:pt x="725" y="35967"/>
                                  <a:pt x="0" y="32345"/>
                                  <a:pt x="0" y="28575"/>
                                </a:cubicBezTo>
                                <a:cubicBezTo>
                                  <a:pt x="0" y="24755"/>
                                  <a:pt x="725" y="21084"/>
                                  <a:pt x="2175" y="17611"/>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39" name="Shape 6439"/>
                        <wps:cNvSpPr/>
                        <wps:spPr>
                          <a:xfrm>
                            <a:off x="0" y="10668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611"/>
                                </a:cubicBezTo>
                                <a:cubicBezTo>
                                  <a:pt x="3625" y="1408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42" name="Shape 6442"/>
                        <wps:cNvSpPr/>
                        <wps:spPr>
                          <a:xfrm>
                            <a:off x="0" y="13716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537" style="width:4.5pt;height:112.5pt;position:absolute;mso-position-horizontal-relative:text;mso-position-horizontal:absolute;margin-left:16.5pt;mso-position-vertical-relative:text;margin-top:2.73828pt;" coordsize="571,14287">
                <v:shape id="Shape 6428" style="position:absolute;width:571;height:571;left:0;top:0;" coordsize="57150,57150" path="m28575,0c32364,0,36009,695,39510,2183c43011,3621,46101,5655,48781,8384c51460,11013,53525,14089,54975,17562c56425,21084,57150,24755,57150,28575c57150,32296,56425,35917,54975,39390c53525,42912,51460,45988,48781,48716c46101,51346,43011,53380,39510,54868c36009,56356,32364,57100,28575,57150c24786,57100,21141,56356,17640,54868c14139,53380,11049,51346,8369,48716c5690,45988,3625,42912,2175,39439c725,35917,0,32296,0,28575c0,24755,725,21084,2175,17562c3625,14089,5690,11013,8369,8384c11049,5655,14139,3621,17640,2183c21141,695,24786,0,28575,0x">
                  <v:stroke weight="0pt" endcap="flat" joinstyle="miter" miterlimit="10" on="false" color="#000000" opacity="0"/>
                  <v:fill on="true" color="#333333"/>
                </v:shape>
                <v:shape id="Shape 6431" style="position:absolute;width:571;height:571;left:0;top:3048;" coordsize="57150,57150" path="m28575,0c32364,0,36009,695,39510,2133c43011,3572,46101,5655,48781,8334c51460,10964,53525,14089,54975,17562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562c3625,14089,5690,10964,8369,8334c11049,5655,14139,3572,17640,2133c21141,695,24786,0,28575,0x">
                  <v:stroke weight="0pt" endcap="flat" joinstyle="miter" miterlimit="10" on="false" color="#000000" opacity="0"/>
                  <v:fill on="true" color="#333333"/>
                </v:shape>
                <v:shape id="Shape 6433" style="position:absolute;width:571;height:571;left:0;top:4572;"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10" on="false" color="#000000" opacity="0"/>
                  <v:fill on="true" color="#333333"/>
                </v:shape>
                <v:shape id="Shape 6436" style="position:absolute;width:571;height:571;left:0;top:7620;" coordsize="57150,57150" path="m28575,0c32364,0,36009,695,39510,2133c43011,3572,46101,5606,48781,8334c51460,10964,53525,14089,54975,17611c56425,21084,57150,24755,57150,28575c57150,32345,56425,35967,54975,39489c53525,43011,51460,46087,48781,48766c46101,51445,43011,53479,39510,54918c36009,56356,32364,57100,28575,57150c24786,57100,21141,56406,17640,54967c14139,53529,11049,51445,8369,48766c5690,46087,3625,43011,2175,39489c725,35967,0,32345,0,28575c0,24755,725,21084,2175,17611c3625,14089,5690,10964,8369,8334c11049,5606,14139,3572,17640,2133c21141,695,24786,0,28575,0x">
                  <v:stroke weight="0pt" endcap="flat" joinstyle="miter" miterlimit="10" on="false" color="#000000" opacity="0"/>
                  <v:fill on="true" color="#333333"/>
                </v:shape>
                <v:shape id="Shape 6439" style="position:absolute;width:571;height:571;left:0;top:10668;" coordsize="57150,57150" path="m28575,0c32364,0,36009,695,39510,2133c43011,3572,46101,5606,48781,8285c51460,10964,53525,14039,54975,17562c56425,21084,57150,24755,57150,28575c57150,32345,56425,35967,54975,39489c53525,42962,51460,46038,48781,48766c46101,51395,43011,53479,39510,54918c36009,56356,32364,57100,28575,57150c24786,57100,21141,56406,17640,54967c14139,53479,11049,51395,8369,48766c5690,46038,3625,42962,2175,39489c725,35967,0,32345,0,28575c0,24755,725,21084,2175,17611c3625,14089,5690,10964,8369,8285c11049,5606,14139,3572,17640,2133c21141,695,24786,0,28575,0x">
                  <v:stroke weight="0pt" endcap="flat" joinstyle="miter" miterlimit="10" on="false" color="#000000" opacity="0"/>
                  <v:fill on="true" color="#333333"/>
                </v:shape>
                <v:shape id="Shape 6442" style="position:absolute;width:571;height:571;left:0;top:13716;" coordsize="57150,57150" path="m28575,0c32364,0,36009,695,39510,2133c43011,3572,46101,5606,48781,8334c51460,10964,53525,14089,54975,17562c56425,21084,57150,24755,57150,28575c57150,32345,56425,35967,54975,39489c53525,42962,51460,46038,48781,48766c46101,51395,43011,53429,39510,54918c36009,56356,32364,57100,28575,57150c24786,57100,21141,56406,17640,54967c14139,53429,11049,51395,8369,48766c5690,46038,3625,42912,2175,39439c725,35967,0,32345,0,28575c0,24755,725,21084,2175,17562c3625,14089,5690,10964,8369,8334c11049,5606,14139,3572,17640,2133c21141,695,24786,0,28575,0x">
                  <v:stroke weight="0pt" endcap="flat" joinstyle="miter" miterlimit="10" on="false" color="#000000" opacity="0"/>
                  <v:fill on="true" color="#333333"/>
                </v:shape>
                <w10:wrap type="square"/>
              </v:group>
            </w:pict>
          </mc:Fallback>
        </mc:AlternateContent>
      </w:r>
      <w:r>
        <w:t>невозможность сжать вену при давлении датчиком на ткани в проекции сосуда до полного исчезновения просвета;</w:t>
      </w:r>
    </w:p>
    <w:p w:rsidR="008E3F15" w:rsidRDefault="005F449A">
      <w:pPr>
        <w:spacing w:after="31"/>
        <w:ind w:left="340" w:right="15"/>
      </w:pPr>
      <w:r>
        <w:t>наличие в просвете вены однородных структур</w:t>
      </w:r>
      <w:r>
        <w:t xml:space="preserve"> с ровными контурами;</w:t>
      </w:r>
    </w:p>
    <w:p w:rsidR="008E3F15" w:rsidRDefault="005F449A">
      <w:pPr>
        <w:ind w:left="340" w:right="15"/>
      </w:pPr>
      <w:r>
        <w:t>отсутствие кровотока по сосуду в допплеровском или цветовом режиме (окклюзивный тромб);</w:t>
      </w:r>
    </w:p>
    <w:p w:rsidR="008E3F15" w:rsidRDefault="005F449A">
      <w:pPr>
        <w:spacing w:after="31"/>
        <w:ind w:left="340" w:right="15"/>
      </w:pPr>
      <w:r>
        <w:t>сохранение просвета сосуда между тромботическими массами и венозной стенкой</w:t>
      </w:r>
    </w:p>
    <w:p w:rsidR="008E3F15" w:rsidRDefault="005F449A">
      <w:pPr>
        <w:spacing w:after="31"/>
        <w:ind w:left="340" w:right="15"/>
      </w:pPr>
      <w:r>
        <w:t>(неокклюзивный тромб);</w:t>
      </w:r>
    </w:p>
    <w:p w:rsidR="008E3F15" w:rsidRDefault="005F449A">
      <w:pPr>
        <w:spacing w:after="179"/>
        <w:ind w:left="340" w:right="1140"/>
      </w:pPr>
      <w:r>
        <w:t>наличие в просвете вены однородных структур, не</w:t>
      </w:r>
      <w:r>
        <w:t xml:space="preserve"> связанных со стенкой вены, фиксированных только у основания (флотирующий тромб); усиление кровотока по подкожным венам в сравнении с другой конечностью.</w:t>
      </w:r>
    </w:p>
    <w:p w:rsidR="008E3F15" w:rsidRDefault="005F449A">
      <w:pPr>
        <w:spacing w:after="179"/>
        <w:ind w:left="2" w:right="241"/>
      </w:pPr>
      <w:r>
        <w:t>Если у пациента с ЛЭ не удается выявить признаки тромбоза глубоких вен конечностей, таза и нижней поло</w:t>
      </w:r>
      <w:r>
        <w:t>й вены, следует осмотреть печеночные, почечные и гонадные вены. На 3–7-й день заболевания может появиться картина повреждения легкого:</w:t>
      </w:r>
    </w:p>
    <w:p w:rsidR="008E3F15" w:rsidRDefault="005F449A">
      <w:pPr>
        <w:ind w:left="340" w:right="5414"/>
      </w:pPr>
      <w:r>
        <w:rPr>
          <w:rFonts w:ascii="Calibri" w:eastAsia="Calibri" w:hAnsi="Calibri" w:cs="Calibri"/>
          <w:noProof/>
          <w:color w:val="000000"/>
          <w:sz w:val="22"/>
        </w:rPr>
        <mc:AlternateContent>
          <mc:Choice Requires="wpg">
            <w:drawing>
              <wp:anchor distT="0" distB="0" distL="114300" distR="114300" simplePos="0" relativeHeight="251734016" behindDoc="0" locked="0" layoutInCell="1" allowOverlap="1">
                <wp:simplePos x="0" y="0"/>
                <wp:positionH relativeFrom="column">
                  <wp:posOffset>209550</wp:posOffset>
                </wp:positionH>
                <wp:positionV relativeFrom="paragraph">
                  <wp:posOffset>34776</wp:posOffset>
                </wp:positionV>
                <wp:extent cx="57150" cy="666750"/>
                <wp:effectExtent l="0" t="0" r="0" b="0"/>
                <wp:wrapSquare wrapText="bothSides"/>
                <wp:docPr id="272538" name="Group 272538"/>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6447" name="Shape 6447"/>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87"/>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49" name="Shape 6449"/>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51" name="Shape 6451"/>
                        <wps:cNvSpPr/>
                        <wps:spPr>
                          <a:xfrm>
                            <a:off x="0" y="3048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53" name="Shape 6453"/>
                        <wps:cNvSpPr/>
                        <wps:spPr>
                          <a:xfrm>
                            <a:off x="0" y="4572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455" name="Shape 6455"/>
                        <wps:cNvSpPr/>
                        <wps:spPr>
                          <a:xfrm>
                            <a:off x="0" y="6096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53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2538" style="width:4.5pt;height:52.5pt;position:absolute;mso-position-horizontal-relative:text;mso-position-horizontal:absolute;margin-left:16.5pt;mso-position-vertical-relative:text;margin-top:2.73828pt;" coordsize="571,6667">
                <v:shape id="Shape 6447" style="position:absolute;width:571;height:571;left:0;top:0;" coordsize="57150,57150" path="m28575,0c32364,0,36009,695,39510,2133c43011,3572,46101,5606,48781,8334c51460,10964,53525,14039,54975,17562c56425,21084,57150,24755,57150,28575c57150,32345,56425,35967,54975,39439c53525,42962,51460,46087,48781,48766c46101,51395,43011,53479,39510,54918c36009,56356,32364,57100,28575,57150c24786,57100,21141,56356,17640,54918c14139,53479,11049,51395,8369,48766c5690,46087,3625,42962,2175,39439c725,35967,0,32345,0,28575c0,24755,725,21084,2175,17562c3625,14039,5690,10964,8369,8334c11049,5606,14139,3572,17640,2133c21141,695,24786,0,28575,0x">
                  <v:stroke weight="0pt" endcap="flat" joinstyle="miter" miterlimit="10" on="false" color="#000000" opacity="0"/>
                  <v:fill on="true" color="#333333"/>
                </v:shape>
                <v:shape id="Shape 6449" style="position:absolute;width:571;height:571;left:0;top:1524;" coordsize="57150,57150" path="m28575,0c32364,0,36009,695,39510,2183c43011,3621,46101,5655,48781,8334c51460,10964,53525,14039,54975,17562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562c3625,14039,5690,10964,8369,8334c11049,5655,14139,3621,17640,2183c21141,695,24786,0,28575,0x">
                  <v:stroke weight="0pt" endcap="flat" joinstyle="miter" miterlimit="10" on="false" color="#000000" opacity="0"/>
                  <v:fill on="true" color="#333333"/>
                </v:shape>
                <v:shape id="Shape 6451" style="position:absolute;width:571;height:571;left:0;top:3048;"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611c3625,14089,5690,10964,8369,8334c11049,5655,14139,3621,17640,2183c21141,695,24786,0,28575,0x">
                  <v:stroke weight="0pt" endcap="flat" joinstyle="miter" miterlimit="10" on="false" color="#000000" opacity="0"/>
                  <v:fill on="true" color="#333333"/>
                </v:shape>
                <v:shape id="Shape 6453" style="position:absolute;width:571;height:571;left:0;top:4572;" coordsize="57150,57150" path="m28575,0c32364,0,36009,695,39510,2183c43011,3621,46101,5655,48781,8334c51460,10964,53525,14089,54975,17562c56425,21084,57150,24755,57150,28575c57150,32345,56425,35967,54975,39489c53525,42962,51460,46087,48781,48766c46101,51445,43011,53479,39510,54967c36009,56406,32364,57100,28575,57150c24786,57100,21141,56406,17640,54967c14139,53479,11049,51445,8369,48766c5690,46087,3625,42962,2175,39489c725,35967,0,32345,0,28575c0,24755,725,21084,2175,17562c3625,14089,5690,10964,8369,8334c11049,5655,14139,3621,17640,2183c21141,695,24786,0,28575,0x">
                  <v:stroke weight="0pt" endcap="flat" joinstyle="miter" miterlimit="10" on="false" color="#000000" opacity="0"/>
                  <v:fill on="true" color="#333333"/>
                </v:shape>
                <v:shape id="Shape 6455" style="position:absolute;width:571;height:571;left:0;top:6096;" coordsize="57150,57150" path="m28575,0c32364,0,36009,695,39510,2183c43011,3572,46101,5606,48781,8285c51460,10964,53525,14039,54975,17512c56425,21084,57150,24755,57150,28575c57150,32345,56425,35967,54975,39539c53525,42962,51460,46087,48781,48766c46101,51445,43011,53479,39510,54967c36009,56406,32364,57100,28575,57150c24786,57100,21141,56406,17640,54967c14139,53479,11049,51445,8369,48766c5690,46087,3625,42962,2175,39489c725,35967,0,32345,0,28575c0,24755,725,21084,2175,17512c3625,14039,5690,10964,8369,8285c11049,5606,14139,3572,17640,2133c21141,695,24786,0,28575,0x">
                  <v:stroke weight="0pt" endcap="flat" joinstyle="miter" miterlimit="10" on="false" color="#000000" opacity="0"/>
                  <v:fill on="true" color="#333333"/>
                </v:shape>
                <w10:wrap type="square"/>
              </v:group>
            </w:pict>
          </mc:Fallback>
        </mc:AlternateContent>
      </w:r>
      <w:r>
        <w:t>плевральные боли, часто рефрактерные; кашель; кровохаркание;</w:t>
      </w:r>
    </w:p>
    <w:p w:rsidR="008E3F15" w:rsidRDefault="005F449A">
      <w:pPr>
        <w:ind w:left="340" w:right="1932"/>
      </w:pPr>
      <w:r>
        <w:t>ослабление дыхания, влажные хрипы, шум трения плевры; плевральный выпот;</w:t>
      </w:r>
    </w:p>
    <w:p w:rsidR="008E3F15" w:rsidRDefault="005F449A">
      <w:pPr>
        <w:ind w:left="340" w:right="4586"/>
      </w:pPr>
      <w:r>
        <w:rPr>
          <w:rFonts w:ascii="Calibri" w:eastAsia="Calibri" w:hAnsi="Calibri" w:cs="Calibri"/>
          <w:noProof/>
          <w:color w:val="000000"/>
          <w:sz w:val="22"/>
        </w:rPr>
        <mc:AlternateContent>
          <mc:Choice Requires="wpg">
            <w:drawing>
              <wp:anchor distT="0" distB="0" distL="114300" distR="114300" simplePos="0" relativeHeight="251735040" behindDoc="0" locked="0" layoutInCell="1" allowOverlap="1">
                <wp:simplePos x="0" y="0"/>
                <wp:positionH relativeFrom="column">
                  <wp:posOffset>209550</wp:posOffset>
                </wp:positionH>
                <wp:positionV relativeFrom="paragraph">
                  <wp:posOffset>34776</wp:posOffset>
                </wp:positionV>
                <wp:extent cx="57150" cy="209550"/>
                <wp:effectExtent l="0" t="0" r="0" b="0"/>
                <wp:wrapSquare wrapText="bothSides"/>
                <wp:docPr id="270975" name="Group 270975"/>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6488" name="Shape 6488"/>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285"/>
                                </a:cubicBezTo>
                                <a:cubicBezTo>
                                  <a:pt x="51460" y="10964"/>
                                  <a:pt x="53525" y="14039"/>
                                  <a:pt x="54975" y="1751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12"/>
                                </a:cubicBezTo>
                                <a:cubicBezTo>
                                  <a:pt x="3625" y="14039"/>
                                  <a:pt x="5690" y="10964"/>
                                  <a:pt x="8369" y="8285"/>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490" name="Shape 6490"/>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0975" style="width:4.5pt;height:16.5pt;position:absolute;mso-position-horizontal-relative:text;mso-position-horizontal:absolute;margin-left:16.5pt;mso-position-vertical-relative:text;margin-top:2.73828pt;" coordsize="571,2095">
                <v:shape id="Shape 6488" style="position:absolute;width:571;height:571;left:0;top:0;" coordsize="57150,57150" path="m28575,0c32364,0,36009,695,39510,2133c43011,3572,46101,5655,48781,8285c51460,10964,53525,14039,54975,1751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12c3625,14039,5690,10964,8369,8285c11049,5655,14139,3572,17640,2133c21141,695,24786,0,28575,0x">
                  <v:stroke weight="0pt" endcap="flat" joinstyle="miter" miterlimit="4" on="false" color="#000000" opacity="0"/>
                  <v:fill on="true" color="#333333"/>
                </v:shape>
                <v:shape id="Shape 6490" style="position:absolute;width:571;height:571;left:0;top:1524;"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4" on="false" color="#000000" opacity="0"/>
                  <v:fill on="true" color="#333333"/>
                </v:shape>
                <w10:wrap type="square"/>
              </v:group>
            </w:pict>
          </mc:Fallback>
        </mc:AlternateContent>
      </w:r>
      <w:r>
        <w:t>треугольная тень на рентгенограмме; лихорадка, лейкоцитоз.</w:t>
      </w:r>
    </w:p>
    <w:p w:rsidR="008E3F15" w:rsidRDefault="005F449A">
      <w:pPr>
        <w:ind w:left="2" w:right="102"/>
      </w:pPr>
      <w:r>
        <w:rPr>
          <w:b/>
        </w:rPr>
        <w:t>Лечение.</w:t>
      </w:r>
      <w:r>
        <w:t xml:space="preserve"> Варфарин назначают с первого дня одновременно с парэнтеральными антикоагулянтами (если не планируется тромболизис </w:t>
      </w:r>
      <w:r>
        <w:t>или хирургическое лечение). Через 5 дней после развертывания эффекта варфарина и достижения целевого МНО ≥2,0 в течение</w:t>
      </w:r>
    </w:p>
    <w:p w:rsidR="008E3F15" w:rsidRDefault="005F449A">
      <w:pPr>
        <w:ind w:left="2" w:right="2205"/>
      </w:pPr>
      <w:r>
        <w:t>24 ч гепарин отменяют. Если показатели МНО существенно отклоняются от рекомендованных, то проводят коррекцию дозы варфарина (</w:t>
      </w:r>
      <w:r>
        <w:rPr>
          <w:b/>
        </w:rPr>
        <w:t>табл. 3.6</w:t>
      </w:r>
      <w:r>
        <w:t>).</w:t>
      </w:r>
    </w:p>
    <w:p w:rsidR="008E3F15" w:rsidRDefault="005F449A">
      <w:pPr>
        <w:spacing w:after="31"/>
        <w:ind w:left="2" w:right="15"/>
      </w:pPr>
      <w:r>
        <w:rPr>
          <w:b/>
        </w:rPr>
        <w:t xml:space="preserve">Таблица 3.6. </w:t>
      </w:r>
      <w:r>
        <w:t>Алгоритм подбора дозы варфарина (АФР; ВОХ; ACCP)</w:t>
      </w:r>
    </w:p>
    <w:tbl>
      <w:tblPr>
        <w:tblStyle w:val="TableGrid"/>
        <w:tblW w:w="10485" w:type="dxa"/>
        <w:tblInd w:w="30" w:type="dxa"/>
        <w:tblCellMar>
          <w:top w:w="80" w:type="dxa"/>
          <w:left w:w="40" w:type="dxa"/>
          <w:bottom w:w="0" w:type="dxa"/>
          <w:right w:w="128" w:type="dxa"/>
        </w:tblCellMar>
        <w:tblLook w:val="04A0" w:firstRow="1" w:lastRow="0" w:firstColumn="1" w:lastColumn="0" w:noHBand="0" w:noVBand="1"/>
      </w:tblPr>
      <w:tblGrid>
        <w:gridCol w:w="1125"/>
        <w:gridCol w:w="1755"/>
        <w:gridCol w:w="7605"/>
      </w:tblGrid>
      <w:tr w:rsidR="008E3F15">
        <w:trPr>
          <w:trHeight w:val="330"/>
        </w:trPr>
        <w:tc>
          <w:tcPr>
            <w:tcW w:w="11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jc w:val="both"/>
            </w:pPr>
            <w:r>
              <w:rPr>
                <w:bdr w:val="single" w:sz="12" w:space="0" w:color="000000"/>
              </w:rPr>
              <w:t>Лечение</w:t>
            </w:r>
          </w:p>
        </w:tc>
        <w:tc>
          <w:tcPr>
            <w:tcW w:w="9360"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Подбор доз варфарина</w:t>
            </w:r>
          </w:p>
        </w:tc>
      </w:tr>
      <w:tr w:rsidR="008E3F15">
        <w:trPr>
          <w:trHeight w:val="570"/>
        </w:trPr>
        <w:tc>
          <w:tcPr>
            <w:tcW w:w="11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1–2-й день</w:t>
            </w:r>
          </w:p>
        </w:tc>
        <w:tc>
          <w:tcPr>
            <w:tcW w:w="9360" w:type="dxa"/>
            <w:gridSpan w:val="2"/>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2 таблетки (5 мг) однократно вечером после ужина</w:t>
            </w:r>
          </w:p>
        </w:tc>
      </w:tr>
      <w:tr w:rsidR="008E3F15">
        <w:trPr>
          <w:trHeight w:val="330"/>
        </w:trPr>
        <w:tc>
          <w:tcPr>
            <w:tcW w:w="112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3-й день</w:t>
            </w:r>
          </w:p>
        </w:tc>
        <w:tc>
          <w:tcPr>
            <w:tcW w:w="936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Утром определить МНО</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МНО &lt;1,5</w:t>
            </w:r>
          </w:p>
        </w:tc>
        <w:tc>
          <w:tcPr>
            <w:tcW w:w="7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Увеличить суточную дозу на 1/2 таблетки МНО через 1–2 дня</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МНО 1,5–2,0</w:t>
            </w:r>
          </w:p>
        </w:tc>
        <w:tc>
          <w:tcPr>
            <w:tcW w:w="7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Увеличить суточную дозу на 1/2 таблетки. МНО через 1–2 дня</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 xml:space="preserve">МНО 2,0–3,0 </w:t>
            </w:r>
          </w:p>
        </w:tc>
        <w:tc>
          <w:tcPr>
            <w:tcW w:w="7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Оставить суточную дозу без изменений. МНО через 1–2 дня</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МНО 3,0–4,0</w:t>
            </w:r>
          </w:p>
        </w:tc>
        <w:tc>
          <w:tcPr>
            <w:tcW w:w="7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Уменьшить суточную дозу на 1/2 таблетки. МНО через 1–2 дня</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7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МНО &gt;4,0</w:t>
            </w:r>
          </w:p>
        </w:tc>
        <w:tc>
          <w:tcPr>
            <w:tcW w:w="7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1204" w:firstLine="0"/>
            </w:pPr>
            <w:r>
              <w:t>Пропустить 1 прием, далее суточную дозу уменьшить на 1/2 таблетки. МНО через 1–2 дня</w:t>
            </w:r>
          </w:p>
        </w:tc>
      </w:tr>
      <w:tr w:rsidR="008E3F15">
        <w:trPr>
          <w:trHeight w:val="810"/>
        </w:trPr>
        <w:tc>
          <w:tcPr>
            <w:tcW w:w="11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4–5-й день</w:t>
            </w:r>
          </w:p>
        </w:tc>
        <w:tc>
          <w:tcPr>
            <w:tcW w:w="936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Утром определить МНО. Действия соответствуют алгоритму 3-го дня. Если подбор дозы занимает &gt;5 дней, дальнейшая кратность определения МНО — 1 раз в 2 дня с испо</w:t>
            </w:r>
            <w:r>
              <w:t>льзованием алгоритма 3-го дня</w:t>
            </w:r>
          </w:p>
        </w:tc>
      </w:tr>
    </w:tbl>
    <w:p w:rsidR="008E3F15" w:rsidRDefault="005F449A">
      <w:pPr>
        <w:ind w:left="2" w:right="354"/>
      </w:pPr>
      <w:r>
        <w:t>Целевой уровень МНО при профилактическом лечении варфарином составляет 2,0–3,0. В исследовании PREVENT показано, что низкие дозы варфарина (МНО 1,5–2,0) более эффективны, чем плацебо, для длительной профилактики рецидивов ВТЭ (Ridker P. et al., 2003). Тако</w:t>
      </w:r>
      <w:r>
        <w:t>й режим лечения можно рекомендовать пациентам с повышенным риском кровотечений, которые не могут осуществлять мониторинг МНО с адекватным интервалом или принимать прямые антикоагулянты (ACCP).</w:t>
      </w:r>
    </w:p>
    <w:p w:rsidR="008E3F15" w:rsidRDefault="005F449A">
      <w:pPr>
        <w:spacing w:after="359"/>
        <w:ind w:left="2" w:right="15"/>
      </w:pPr>
      <w:r>
        <w:t xml:space="preserve">При длительном лечении вместо варфарина можно принимать прямые </w:t>
      </w:r>
      <w:r>
        <w:t>антикоагулянты, которые реже вызывают внутричерепные кровоизлияния, но могут увеличить частоту желудочно-кишечных кровотечений (исключая апиксабан). В случае недостаточного эффекта прямых антикоагулянтов целесообразно использовать варфарин (Rankin J. et al</w:t>
      </w:r>
      <w:r>
        <w:t>., 2016).</w:t>
      </w:r>
    </w:p>
    <w:p w:rsidR="008E3F15" w:rsidRDefault="005F449A">
      <w:pPr>
        <w:pStyle w:val="Heading1"/>
        <w:ind w:left="2"/>
      </w:pPr>
      <w:r>
        <w:t>Часть I. Сердечно-сосудистые болезни</w:t>
      </w:r>
    </w:p>
    <w:p w:rsidR="008E3F15" w:rsidRDefault="005F449A">
      <w:pPr>
        <w:spacing w:after="179"/>
        <w:ind w:left="2" w:right="6454"/>
      </w:pPr>
      <w:r>
        <w:t xml:space="preserve">Амбулаторное лечение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36064" behindDoc="0" locked="0" layoutInCell="1" allowOverlap="1">
                <wp:simplePos x="0" y="0"/>
                <wp:positionH relativeFrom="column">
                  <wp:posOffset>209550</wp:posOffset>
                </wp:positionH>
                <wp:positionV relativeFrom="paragraph">
                  <wp:posOffset>34776</wp:posOffset>
                </wp:positionV>
                <wp:extent cx="57150" cy="514350"/>
                <wp:effectExtent l="0" t="0" r="0" b="0"/>
                <wp:wrapSquare wrapText="bothSides"/>
                <wp:docPr id="270976" name="Group 270976"/>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6538" name="Shape 6538"/>
                        <wps:cNvSpPr/>
                        <wps:spPr>
                          <a:xfrm>
                            <a:off x="0" y="0"/>
                            <a:ext cx="57150" cy="57150"/>
                          </a:xfrm>
                          <a:custGeom>
                            <a:avLst/>
                            <a:gdLst/>
                            <a:ahLst/>
                            <a:cxnLst/>
                            <a:rect l="0" t="0" r="0" b="0"/>
                            <a:pathLst>
                              <a:path w="57150" h="57150">
                                <a:moveTo>
                                  <a:pt x="28575" y="0"/>
                                </a:moveTo>
                                <a:cubicBezTo>
                                  <a:pt x="32364" y="0"/>
                                  <a:pt x="36009" y="695"/>
                                  <a:pt x="39510" y="2084"/>
                                </a:cubicBezTo>
                                <a:cubicBezTo>
                                  <a:pt x="43011" y="352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918"/>
                                </a:cubicBezTo>
                                <a:cubicBezTo>
                                  <a:pt x="14139" y="53429"/>
                                  <a:pt x="11049" y="51395"/>
                                  <a:pt x="8369" y="48766"/>
                                </a:cubicBezTo>
                                <a:cubicBezTo>
                                  <a:pt x="5690" y="46038"/>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2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40" name="Shape 654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2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2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42" name="Shape 6542"/>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44" name="Shape 6544"/>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87"/>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87"/>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0976" style="width:4.5pt;height:40.5pt;position:absolute;mso-position-horizontal-relative:text;mso-position-horizontal:absolute;margin-left:16.5pt;mso-position-vertical-relative:text;margin-top:2.73828pt;" coordsize="571,5143">
                <v:shape id="Shape 6538" style="position:absolute;width:571;height:571;left:0;top:0;" coordsize="57150,57150" path="m28575,0c32364,0,36009,695,39510,2084c43011,3522,46101,5606,48781,8334c51460,10964,53525,14089,54975,17562c56425,21084,57150,24755,57150,28575c57150,32345,56425,35967,54975,39489c53525,42962,51460,46038,48781,48766c46101,51395,43011,53429,39510,54868c36009,56356,32364,57100,28575,57150c24786,57100,21141,56356,17640,54918c14139,53429,11049,51395,8369,48766c5690,46038,3625,42962,2175,39489c725,35967,0,32345,0,28575c0,24755,725,21084,2175,17562c3625,14089,5690,10964,8369,8334c11049,5606,14139,3522,17640,2084c21141,695,24786,0,28575,0x">
                  <v:stroke weight="0pt" endcap="flat" joinstyle="miter" miterlimit="4" on="false" color="#000000" opacity="0"/>
                  <v:fill on="true" color="#333333"/>
                </v:shape>
                <v:shape id="Shape 6540" style="position:absolute;width:571;height:571;left:0;top:1524;" coordsize="57150,57150" path="m28575,0c32364,0,36009,695,39510,2084c43011,3522,46101,5606,48781,8334c51460,10964,53525,14089,54975,17562c56425,21084,57150,24755,57150,28575c57150,32345,56425,35967,54975,39489c53525,42962,51460,46087,48781,48766c46101,51445,43011,53479,39510,54918c36009,56356,32364,57100,28575,57150c24786,57100,21141,56356,17640,54918c14139,53479,11049,51445,8369,48766c5690,46087,3625,42962,2175,39489c725,35967,0,32345,0,28575c0,24755,725,21084,2175,17562c3625,14089,5690,10964,8369,8334c11049,5606,14139,3522,17640,2084c21141,695,24786,0,28575,0x">
                  <v:stroke weight="0pt" endcap="flat" joinstyle="miter" miterlimit="4" on="false" color="#000000" opacity="0"/>
                  <v:fill on="true" color="#333333"/>
                </v:shape>
                <v:shape id="Shape 6542" style="position:absolute;width:571;height:571;left:0;top:3048;" coordsize="57150,57150" path="m28575,0c32364,0,36009,695,39510,2133c43011,3522,46101,5606,48781,8285c51460,10964,53525,14089,54975,17562c56425,21084,57150,24755,57150,28575c57150,32345,56425,35967,54975,39439c53525,42962,51460,46087,48781,48766c46101,51445,43011,53479,39510,54918c36009,56356,32364,57100,28575,57150c24786,57100,21141,56356,17640,54918c14139,53479,11049,51445,8369,48766c5690,46087,3625,42962,2175,39439c725,35967,0,32345,0,28575c0,24755,725,21084,2175,17562c3625,14089,5690,10964,8369,8285c11049,5606,14139,3522,17640,2133c21141,695,24786,0,28575,0x">
                  <v:stroke weight="0pt" endcap="flat" joinstyle="miter" miterlimit="4" on="false" color="#000000" opacity="0"/>
                  <v:fill on="true" color="#333333"/>
                </v:shape>
                <v:shape id="Shape 6544" style="position:absolute;width:571;height:571;left:0;top:4572;" coordsize="57150,57150" path="m28575,0c32364,0,36009,695,39510,2133c43011,3522,46101,5606,48781,8285c51460,10964,53525,14089,54975,17562c56425,21084,57150,24755,57150,28575c57150,32345,56425,35967,54975,39439c53525,42962,51460,46087,48781,48766c46101,51395,43011,53479,39510,54918c36009,56356,32364,57100,28575,57150c24786,57100,21141,56356,17640,54918c14139,53479,11049,51395,8369,48766c5690,46087,3625,42962,2175,39439c725,35967,0,32345,0,28575c0,24755,725,21084,2175,17562c3625,14089,5690,10964,8369,8285c11049,5606,14139,3522,17640,2133c21141,695,24786,0,28575,0x">
                  <v:stroke weight="0pt" endcap="flat" joinstyle="miter" miterlimit="4" on="false" color="#000000" opacity="0"/>
                  <v:fill on="true" color="#333333"/>
                </v:shape>
                <w10:wrap type="square"/>
              </v:group>
            </w:pict>
          </mc:Fallback>
        </mc:AlternateContent>
      </w:r>
      <w:r>
        <w:t>Оценка риска рецидива ВТЭ и кровотечений.</w:t>
      </w:r>
    </w:p>
    <w:p w:rsidR="008E3F15" w:rsidRDefault="005F449A">
      <w:pPr>
        <w:spacing w:after="31"/>
        <w:ind w:left="340" w:right="15"/>
      </w:pPr>
      <w:r>
        <w:t>Шкалы HERDOO2, VTE-BLEED.</w:t>
      </w:r>
    </w:p>
    <w:p w:rsidR="008E3F15" w:rsidRDefault="005F449A">
      <w:pPr>
        <w:spacing w:after="31"/>
        <w:ind w:left="340" w:right="15"/>
      </w:pPr>
      <w:r>
        <w:t>Контроль МНО при лечении варфарином.</w:t>
      </w:r>
    </w:p>
    <w:p w:rsidR="008E3F15" w:rsidRDefault="005F449A">
      <w:pPr>
        <w:spacing w:after="165"/>
        <w:ind w:left="340" w:right="15"/>
      </w:pPr>
      <w:r>
        <w:t>Эхокардиография для оценки легочной гипертензии.</w:t>
      </w:r>
    </w:p>
    <w:p w:rsidR="008E3F15" w:rsidRDefault="005F449A">
      <w:pPr>
        <w:pStyle w:val="Heading2"/>
        <w:ind w:left="2"/>
      </w:pPr>
      <w:r>
        <w:t>Лечение</w:t>
      </w:r>
    </w:p>
    <w:p w:rsidR="008E3F15" w:rsidRDefault="005F449A">
      <w:pPr>
        <w:spacing w:after="179"/>
        <w:ind w:left="340" w:right="1569"/>
      </w:pPr>
      <w:r>
        <w:rPr>
          <w:rFonts w:ascii="Calibri" w:eastAsia="Calibri" w:hAnsi="Calibri" w:cs="Calibri"/>
          <w:noProof/>
          <w:color w:val="000000"/>
          <w:sz w:val="22"/>
        </w:rPr>
        <mc:AlternateContent>
          <mc:Choice Requires="wpg">
            <w:drawing>
              <wp:anchor distT="0" distB="0" distL="114300" distR="114300" simplePos="0" relativeHeight="251737088" behindDoc="0" locked="0" layoutInCell="1" allowOverlap="1">
                <wp:simplePos x="0" y="0"/>
                <wp:positionH relativeFrom="column">
                  <wp:posOffset>209550</wp:posOffset>
                </wp:positionH>
                <wp:positionV relativeFrom="paragraph">
                  <wp:posOffset>34776</wp:posOffset>
                </wp:positionV>
                <wp:extent cx="57150" cy="209550"/>
                <wp:effectExtent l="0" t="0" r="0" b="0"/>
                <wp:wrapSquare wrapText="bothSides"/>
                <wp:docPr id="270981" name="Group 27098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6547" name="Shape 6547"/>
                        <wps:cNvSpPr/>
                        <wps:spPr>
                          <a:xfrm>
                            <a:off x="0" y="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345"/>
                                  <a:pt x="56425" y="35967"/>
                                  <a:pt x="54975" y="39439"/>
                                </a:cubicBezTo>
                                <a:cubicBezTo>
                                  <a:pt x="53525" y="42962"/>
                                  <a:pt x="51460" y="46038"/>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38"/>
                                  <a:pt x="3625" y="42962"/>
                                  <a:pt x="2175" y="39439"/>
                                </a:cubicBezTo>
                                <a:cubicBezTo>
                                  <a:pt x="725" y="35967"/>
                                  <a:pt x="0" y="32345"/>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49" name="Shape 6549"/>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621"/>
                                  <a:pt x="46101" y="5655"/>
                                  <a:pt x="48781" y="8384"/>
                                </a:cubicBezTo>
                                <a:cubicBezTo>
                                  <a:pt x="51460" y="11013"/>
                                  <a:pt x="53525" y="14089"/>
                                  <a:pt x="54975" y="17611"/>
                                </a:cubicBezTo>
                                <a:cubicBezTo>
                                  <a:pt x="56425" y="21134"/>
                                  <a:pt x="57150" y="24805"/>
                                  <a:pt x="57150" y="28575"/>
                                </a:cubicBezTo>
                                <a:cubicBezTo>
                                  <a:pt x="57150" y="32296"/>
                                  <a:pt x="56425" y="3591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17"/>
                                  <a:pt x="0" y="32296"/>
                                  <a:pt x="0" y="28575"/>
                                </a:cubicBezTo>
                                <a:cubicBezTo>
                                  <a:pt x="0" y="24805"/>
                                  <a:pt x="725" y="21134"/>
                                  <a:pt x="2175" y="17611"/>
                                </a:cubicBezTo>
                                <a:cubicBezTo>
                                  <a:pt x="3625" y="14089"/>
                                  <a:pt x="5690" y="11013"/>
                                  <a:pt x="8369" y="838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0981" style="width:4.5pt;height:16.5pt;position:absolute;mso-position-horizontal-relative:text;mso-position-horizontal:absolute;margin-left:16.5pt;mso-position-vertical-relative:text;margin-top:2.73828pt;" coordsize="571,2095">
                <v:shape id="Shape 6547" style="position:absolute;width:571;height:571;left:0;top:0;" coordsize="57150,57150" path="m28575,0c32364,0,36009,695,39510,2183c43011,3621,46101,5655,48781,8334c51460,10964,53525,14089,54975,17611c56425,21084,57150,24755,57150,28575c57150,32345,56425,35967,54975,39439c53525,42962,51460,46038,48781,48766c46101,51445,43011,53479,39510,54918c36009,56356,32364,57100,28575,57150c24786,57100,21141,56356,17640,54918c14139,53479,11049,51445,8369,48766c5690,46038,3625,42962,2175,39439c725,35967,0,32345,0,28575c0,24755,725,21084,2175,17611c3625,14089,5690,10964,8369,8334c11049,5655,14139,3621,17640,2183c21141,695,24786,0,28575,0x">
                  <v:stroke weight="0pt" endcap="flat" joinstyle="miter" miterlimit="4" on="false" color="#000000" opacity="0"/>
                  <v:fill on="true" color="#333333"/>
                </v:shape>
                <v:shape id="Shape 6549" style="position:absolute;width:571;height:571;left:0;top:1524;" coordsize="57150,57150" path="m28575,0c32364,0,36009,695,39510,2183c43011,3621,46101,5655,48781,8384c51460,11013,53525,14089,54975,17611c56425,21134,57150,24805,57150,28575c57150,32296,56425,35917,54975,39439c53525,42962,51460,46038,48781,48766c46101,51395,43011,53479,39510,54918c36009,56356,32364,57100,28575,57150c24786,57100,21141,56356,17640,54918c14139,53479,11049,51395,8369,48766c5690,46038,3625,42962,2175,39439c725,35917,0,32296,0,28575c0,24805,725,21134,2175,17611c3625,14089,5690,11013,8369,8384c11049,5655,14139,3621,17640,2183c21141,695,24786,0,28575,0x">
                  <v:stroke weight="0pt" endcap="flat" joinstyle="miter" miterlimit="4" on="false" color="#000000" opacity="0"/>
                  <v:fill on="true" color="#333333"/>
                </v:shape>
                <w10:wrap type="square"/>
              </v:group>
            </w:pict>
          </mc:Fallback>
        </mc:AlternateContent>
      </w:r>
      <w:r>
        <w:t>Варфарин, ап</w:t>
      </w:r>
      <w:r>
        <w:t>иксабан, дабигатрана этексилат, ривароксабан, НМГ. Контроль факторов риска ЛЭ.</w:t>
      </w:r>
    </w:p>
    <w:p w:rsidR="008E3F15" w:rsidRDefault="005F449A">
      <w:pPr>
        <w:ind w:left="2" w:right="242"/>
      </w:pPr>
      <w:r>
        <w:t>После успешного лечения ЛЭ часто сохраняются остаточные тромбы в легочной артерии и риск развития тромбоэмболической легочной гипертензии (~2% за 2 года в исследовании FOCUS), что требует периодического эхокардиографического контроля.</w:t>
      </w:r>
    </w:p>
    <w:p w:rsidR="008E3F15" w:rsidRDefault="005F449A">
      <w:pPr>
        <w:spacing w:after="165"/>
        <w:ind w:left="2" w:right="15"/>
      </w:pPr>
      <w:r>
        <w:t>Длительность антикоаг</w:t>
      </w:r>
      <w:r>
        <w:t>улянтной терапии зависит от риска рецидивов ЛЭ (</w:t>
      </w:r>
      <w:r>
        <w:rPr>
          <w:b/>
        </w:rPr>
        <w:t>рис. 3.6</w:t>
      </w:r>
      <w:r>
        <w:t>):</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38112" behindDoc="0" locked="0" layoutInCell="1" allowOverlap="1">
                <wp:simplePos x="0" y="0"/>
                <wp:positionH relativeFrom="column">
                  <wp:posOffset>209550</wp:posOffset>
                </wp:positionH>
                <wp:positionV relativeFrom="paragraph">
                  <wp:posOffset>34775</wp:posOffset>
                </wp:positionV>
                <wp:extent cx="57150" cy="361950"/>
                <wp:effectExtent l="0" t="0" r="0" b="0"/>
                <wp:wrapSquare wrapText="bothSides"/>
                <wp:docPr id="270985" name="Group 27098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6557" name="Shape 6557"/>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529"/>
                                  <a:pt x="39510" y="54967"/>
                                </a:cubicBezTo>
                                <a:cubicBezTo>
                                  <a:pt x="36009" y="5640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59" name="Shape 6559"/>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406"/>
                                  <a:pt x="17640" y="54967"/>
                                </a:cubicBezTo>
                                <a:cubicBezTo>
                                  <a:pt x="14139" y="53479"/>
                                  <a:pt x="11049" y="51395"/>
                                  <a:pt x="8369" y="48766"/>
                                </a:cubicBezTo>
                                <a:cubicBezTo>
                                  <a:pt x="5690" y="46038"/>
                                  <a:pt x="3625" y="42962"/>
                                  <a:pt x="2175" y="39489"/>
                                </a:cubicBezTo>
                                <a:cubicBezTo>
                                  <a:pt x="725" y="35967"/>
                                  <a:pt x="0" y="32345"/>
                                  <a:pt x="0" y="28575"/>
                                </a:cubicBezTo>
                                <a:cubicBezTo>
                                  <a:pt x="0" y="24755"/>
                                  <a:pt x="725" y="21084"/>
                                  <a:pt x="2175" y="17611"/>
                                </a:cubicBezTo>
                                <a:cubicBezTo>
                                  <a:pt x="3625" y="1408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561" name="Shape 6561"/>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0985" style="width:4.5pt;height:28.5pt;position:absolute;mso-position-horizontal-relative:text;mso-position-horizontal:absolute;margin-left:16.5pt;mso-position-vertical-relative:text;margin-top:2.73822pt;" coordsize="571,3619">
                <v:shape id="Shape 6557" style="position:absolute;width:571;height:571;left:0;top:0;" coordsize="57150,57150" path="m28575,0c32364,0,36009,695,39510,2133c43011,3572,46101,5606,48781,8285c51460,10964,53525,14039,54975,17562c56425,21084,57150,24755,57150,28575c57150,32345,56425,35967,54975,39489c53525,42962,51460,46087,48781,48766c46101,51445,43011,53529,39510,54967c36009,56406,32364,57100,28575,57150c24786,57100,21141,56406,17640,54967c14139,53529,11049,51445,8369,48766c5690,46087,3625,42962,2175,39489c725,35967,0,32345,0,28575c0,24755,725,21084,2175,17562c3625,14039,5690,10964,8369,8285c11049,5606,14139,3572,17640,2133c21141,695,24786,0,28575,0x">
                  <v:stroke weight="0pt" endcap="flat" joinstyle="miter" miterlimit="4" on="false" color="#000000" opacity="0"/>
                  <v:fill on="true" color="#333333"/>
                </v:shape>
                <v:shape id="Shape 6559" style="position:absolute;width:571;height:571;left:0;top:1524;" coordsize="57150,57150" path="m28575,0c32364,0,36009,695,39510,2133c43011,3572,46101,5606,48781,8285c51460,10964,53525,14039,54975,17562c56425,21084,57150,24755,57150,28575c57150,32345,56425,35967,54975,39489c53525,42962,51460,46038,48781,48766c46101,51395,43011,53479,39510,54918c36009,56356,32364,57100,28575,57150c24786,57100,21141,56406,17640,54967c14139,53479,11049,51395,8369,48766c5690,46038,3625,42962,2175,39489c725,35967,0,32345,0,28575c0,24755,725,21084,2175,17611c3625,14089,5690,10964,8369,8285c11049,5606,14139,3572,17640,2133c21141,695,24786,0,28575,0x">
                  <v:stroke weight="0pt" endcap="flat" joinstyle="miter" miterlimit="4" on="false" color="#000000" opacity="0"/>
                  <v:fill on="true" color="#333333"/>
                </v:shape>
                <v:shape id="Shape 6561" style="position:absolute;width:571;height:571;left:0;top:3048;" coordsize="57150,57150" path="m28575,0c32364,0,36009,695,39510,2133c43011,3572,46101,5606,48781,8285c51460,10964,53525,14039,54975,17512c56425,21084,57150,24755,57150,28575c57150,32345,56425,35967,54975,39489c53525,42962,51460,46038,48781,48766c46101,51395,43011,53429,39510,54918c36009,56356,32364,57100,28575,57150c24786,57100,21141,56406,17640,54967c14139,53429,11049,51395,8369,48766c5690,46038,3625,42912,2175,39439c725,35967,0,32345,0,28575c0,24755,725,21084,2175,17562c3625,14039,5690,10964,8369,8285c11049,5606,14139,3572,17640,2133c21141,695,24786,0,28575,0x">
                  <v:stroke weight="0pt" endcap="flat" joinstyle="miter" miterlimit="4" on="false" color="#000000" opacity="0"/>
                  <v:fill on="true" color="#333333"/>
                </v:shape>
                <w10:wrap type="square"/>
              </v:group>
            </w:pict>
          </mc:Fallback>
        </mc:AlternateContent>
      </w:r>
      <w:r>
        <w:t>3 мес при преходящей причине ВТЭ;</w:t>
      </w:r>
    </w:p>
    <w:p w:rsidR="008E3F15" w:rsidRDefault="005F449A">
      <w:pPr>
        <w:spacing w:after="31"/>
        <w:ind w:left="340" w:right="15"/>
      </w:pPr>
      <w:r>
        <w:t>≥3 мес при первом эпизоде неспровоцированной ВТЭ;</w:t>
      </w:r>
    </w:p>
    <w:p w:rsidR="008E3F15" w:rsidRDefault="005F449A">
      <w:pPr>
        <w:ind w:left="340" w:right="15"/>
      </w:pPr>
      <w:r>
        <w:t>неопределенно долго при рецидивах ВТЭ, антифосфолипидном синдроме или в случае сохранения больших факторов риска.</w:t>
      </w:r>
    </w:p>
    <w:p w:rsidR="008E3F15" w:rsidRDefault="005F449A">
      <w:pPr>
        <w:spacing w:after="65" w:line="259" w:lineRule="auto"/>
        <w:ind w:left="0" w:right="0" w:firstLine="0"/>
      </w:pPr>
      <w:r>
        <w:rPr>
          <w:noProof/>
        </w:rPr>
        <w:drawing>
          <wp:inline distT="0" distB="0" distL="0" distR="0">
            <wp:extent cx="5057775" cy="2838450"/>
            <wp:effectExtent l="0" t="0" r="0" b="0"/>
            <wp:docPr id="6605" name="Picture 6605"/>
            <wp:cNvGraphicFramePr/>
            <a:graphic xmlns:a="http://schemas.openxmlformats.org/drawingml/2006/main">
              <a:graphicData uri="http://schemas.openxmlformats.org/drawingml/2006/picture">
                <pic:pic xmlns:pic="http://schemas.openxmlformats.org/drawingml/2006/picture">
                  <pic:nvPicPr>
                    <pic:cNvPr id="6605" name="Picture 6605"/>
                    <pic:cNvPicPr/>
                  </pic:nvPicPr>
                  <pic:blipFill>
                    <a:blip r:embed="rId76"/>
                    <a:stretch>
                      <a:fillRect/>
                    </a:stretch>
                  </pic:blipFill>
                  <pic:spPr>
                    <a:xfrm>
                      <a:off x="0" y="0"/>
                      <a:ext cx="5057775" cy="2838450"/>
                    </a:xfrm>
                    <a:prstGeom prst="rect">
                      <a:avLst/>
                    </a:prstGeom>
                  </pic:spPr>
                </pic:pic>
              </a:graphicData>
            </a:graphic>
          </wp:inline>
        </w:drawing>
      </w:r>
    </w:p>
    <w:p w:rsidR="008E3F15" w:rsidRDefault="005F449A">
      <w:pPr>
        <w:spacing w:after="31"/>
        <w:ind w:left="2" w:right="15"/>
      </w:pPr>
      <w:r>
        <w:rPr>
          <w:b/>
        </w:rPr>
        <w:t xml:space="preserve">Рис. 3.6. </w:t>
      </w:r>
      <w:r>
        <w:t>Длительность профилактики венозных тромбоэмболий</w:t>
      </w:r>
    </w:p>
    <w:p w:rsidR="008E3F15" w:rsidRDefault="005F449A">
      <w:pPr>
        <w:ind w:left="2" w:right="15"/>
      </w:pPr>
      <w:r>
        <w:t>Принимая решение о продолжительности лечения, следует учитывать, что после прекра</w:t>
      </w:r>
      <w:r>
        <w:t>щения через 3 мес приема антикоагулянтов у пациентов с первой</w:t>
      </w:r>
    </w:p>
    <w:p w:rsidR="008E3F15" w:rsidRDefault="005F449A">
      <w:pPr>
        <w:ind w:left="2" w:right="15"/>
      </w:pPr>
      <w:r>
        <w:t>неспровоцированной ВТЭ риск рецидивов составляет 10% в течение первого года, 16% за два года, 25% за 5 лет и 36% за десять лет, при этом 4% эпизодов заканчиваются смертью (Khan F. et al., 2019).</w:t>
      </w:r>
    </w:p>
    <w:p w:rsidR="008E3F15" w:rsidRDefault="005F449A">
      <w:pPr>
        <w:ind w:left="2" w:right="15"/>
      </w:pPr>
      <w:r>
        <w:t xml:space="preserve">Снижение частоты ВТЭ и смертности при расширенной терапии с помощью прямых оральных антикоагулянтов сопровождается повышением риска кровотечений (Bhalla V. et al., 2020). Расширенная терапия продолжается до 3–6 мес при невысоком риске рецидивов ЛЭ, а при </w:t>
      </w:r>
      <w:r>
        <w:t xml:space="preserve">высоком риске — до 12–24 мес и дольше в зависимости от клинической ситуации. Для решения вопроса о длительной антикоагуляции могут помочь правило HERDOO2 у больных с первым неспровоцированным эпизодом ВТЭ для оценки вероятности рецидивов и шкала VTE-BLEED </w:t>
      </w:r>
      <w:r>
        <w:t>для оценки риска кровотечений.</w:t>
      </w:r>
    </w:p>
    <w:p w:rsidR="008E3F15" w:rsidRDefault="005F449A">
      <w:pPr>
        <w:ind w:left="2" w:right="87"/>
      </w:pPr>
      <w:r>
        <w:t>Для расширенной терапии наряду с варфарином можно использовать дабигатрана этексилат, апиксабан и ривароксабан (RE-MEDY, AMPLIFY-EXT, EINSTEIN-CHOICE). После 6 мес одобрено применение меньших доз апиксабана (в дозе 2,5 мг 2 р</w:t>
      </w:r>
      <w:r>
        <w:t>аза) и ривароксабана (10 мг однократно). Расширенная терапия прямыми антикоагулянтами снижает общую смертность, в отличие от варфарина (Mai V. et al., 2019).</w:t>
      </w:r>
    </w:p>
    <w:p w:rsidR="008E3F15" w:rsidRDefault="005F449A">
      <w:pPr>
        <w:ind w:left="2" w:right="15"/>
      </w:pPr>
      <w:r>
        <w:t>Если невозможно использовать оральные антикоагулянты, применяется длительное лечение НМГ (Cochrane</w:t>
      </w:r>
      <w:r>
        <w:t xml:space="preserve"> Reviews).</w:t>
      </w:r>
    </w:p>
    <w:p w:rsidR="008E3F15" w:rsidRDefault="005F449A">
      <w:pPr>
        <w:ind w:left="2" w:right="15"/>
      </w:pPr>
      <w:r>
        <w:t>Важно добиваться устойчивого контроля МНО в диапазоне 2,0–3,0 с ежемесячным контролем показателя. При стабильных показателях МНО в течение полугода возможен более редкий контроль, например раз в 3 мес (ACCP). Удобно пользоваться портативными уст</w:t>
      </w:r>
      <w:r>
        <w:t>ройствами (CoaguCheck) для оценки МНО. В случае неоптимального МНО необходима коррекция дозы варфарина (</w:t>
      </w:r>
      <w:r>
        <w:rPr>
          <w:b/>
        </w:rPr>
        <w:t>табл. 3.7</w:t>
      </w:r>
      <w:r>
        <w:t>).</w:t>
      </w:r>
    </w:p>
    <w:p w:rsidR="008E3F15" w:rsidRDefault="005F449A">
      <w:pPr>
        <w:spacing w:after="31"/>
        <w:ind w:left="2" w:right="15"/>
      </w:pPr>
      <w:r>
        <w:rPr>
          <w:b/>
        </w:rPr>
        <w:t xml:space="preserve">Таблица 3.7. </w:t>
      </w:r>
      <w:r>
        <w:t>Тактика ведения пациентов при неоптимальном международном нормализованном отношении (ACCP)</w:t>
      </w:r>
    </w:p>
    <w:tbl>
      <w:tblPr>
        <w:tblStyle w:val="TableGrid"/>
        <w:tblW w:w="10485" w:type="dxa"/>
        <w:tblInd w:w="30" w:type="dxa"/>
        <w:tblCellMar>
          <w:top w:w="80" w:type="dxa"/>
          <w:left w:w="44" w:type="dxa"/>
          <w:bottom w:w="0" w:type="dxa"/>
          <w:right w:w="101" w:type="dxa"/>
        </w:tblCellMar>
        <w:tblLook w:val="04A0" w:firstRow="1" w:lastRow="0" w:firstColumn="1" w:lastColumn="0" w:noHBand="0" w:noVBand="1"/>
      </w:tblPr>
      <w:tblGrid>
        <w:gridCol w:w="750"/>
        <w:gridCol w:w="2145"/>
        <w:gridCol w:w="7590"/>
      </w:tblGrid>
      <w:tr w:rsidR="008E3F15">
        <w:trPr>
          <w:trHeight w:val="570"/>
        </w:trPr>
        <w:tc>
          <w:tcPr>
            <w:tcW w:w="75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1" w:right="0" w:firstLine="0"/>
              <w:jc w:val="both"/>
            </w:pPr>
            <w:r>
              <w:rPr>
                <w:b/>
              </w:rPr>
              <w:t>МНО</w:t>
            </w:r>
          </w:p>
        </w:tc>
        <w:tc>
          <w:tcPr>
            <w:tcW w:w="21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Значительное кровотечение</w:t>
            </w:r>
          </w:p>
        </w:tc>
        <w:tc>
          <w:tcPr>
            <w:tcW w:w="75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Тактика</w:t>
            </w:r>
          </w:p>
        </w:tc>
      </w:tr>
      <w:tr w:rsidR="008E3F15">
        <w:trPr>
          <w:trHeight w:val="330"/>
        </w:trPr>
        <w:tc>
          <w:tcPr>
            <w:tcW w:w="750" w:type="dxa"/>
            <w:tcBorders>
              <w:top w:val="single" w:sz="6" w:space="0" w:color="000000"/>
              <w:left w:val="single" w:sz="6" w:space="0" w:color="000000"/>
              <w:bottom w:val="single" w:sz="6" w:space="0" w:color="000000"/>
              <w:right w:val="nil"/>
            </w:tcBorders>
          </w:tcPr>
          <w:p w:rsidR="008E3F15" w:rsidRDefault="005F449A">
            <w:pPr>
              <w:spacing w:after="0" w:line="259" w:lineRule="auto"/>
              <w:ind w:left="1" w:right="0" w:firstLine="0"/>
            </w:pPr>
            <w:r>
              <w:rPr>
                <w:bdr w:val="single" w:sz="12" w:space="0" w:color="000000"/>
              </w:rPr>
              <w:t>&lt;4,5</w:t>
            </w:r>
          </w:p>
        </w:tc>
        <w:tc>
          <w:tcPr>
            <w:tcW w:w="21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8" w:right="0" w:firstLine="0"/>
            </w:pPr>
            <w:r>
              <w:t>Нет</w:t>
            </w:r>
          </w:p>
        </w:tc>
        <w:tc>
          <w:tcPr>
            <w:tcW w:w="7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Снижение дозы или пропуск</w:t>
            </w:r>
          </w:p>
        </w:tc>
      </w:tr>
      <w:tr w:rsidR="008E3F15">
        <w:trPr>
          <w:trHeight w:val="570"/>
        </w:trPr>
        <w:tc>
          <w:tcPr>
            <w:tcW w:w="7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4,5–</w:t>
            </w:r>
          </w:p>
          <w:p w:rsidR="008E3F15" w:rsidRDefault="005F449A">
            <w:pPr>
              <w:spacing w:after="0" w:line="259" w:lineRule="auto"/>
              <w:ind w:left="1" w:right="0" w:firstLine="0"/>
            </w:pPr>
            <w:r>
              <w:t>10,0</w:t>
            </w:r>
          </w:p>
        </w:tc>
        <w:tc>
          <w:tcPr>
            <w:tcW w:w="21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Нет</w:t>
            </w:r>
          </w:p>
        </w:tc>
        <w:tc>
          <w:tcPr>
            <w:tcW w:w="75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Пропуск 1 дозы и далее 1–2,5 мг варфарина</w:t>
            </w:r>
          </w:p>
        </w:tc>
      </w:tr>
      <w:tr w:rsidR="008E3F15">
        <w:trPr>
          <w:trHeight w:val="870"/>
        </w:trPr>
        <w:tc>
          <w:tcPr>
            <w:tcW w:w="7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jc w:val="both"/>
            </w:pPr>
            <w:r>
              <w:t>&gt;10,0</w:t>
            </w:r>
          </w:p>
        </w:tc>
        <w:tc>
          <w:tcPr>
            <w:tcW w:w="21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Нет</w:t>
            </w:r>
          </w:p>
        </w:tc>
        <w:tc>
          <w:tcPr>
            <w:tcW w:w="7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21" w:firstLine="0"/>
            </w:pPr>
            <w:r>
              <w:t>Отмена варфарина, витамин К</w:t>
            </w:r>
            <w:r>
              <w:rPr>
                <w:sz w:val="31"/>
                <w:vertAlign w:val="subscript"/>
              </w:rPr>
              <w:t>1</w:t>
            </w:r>
            <w:r>
              <w:t xml:space="preserve"> 2,5–5 мг внутрь. После достижения терапевтических значений МНО возобновить варфарин в уточненной дозе</w:t>
            </w:r>
          </w:p>
        </w:tc>
      </w:tr>
      <w:tr w:rsidR="008E3F15">
        <w:trPr>
          <w:trHeight w:val="1095"/>
        </w:trPr>
        <w:tc>
          <w:tcPr>
            <w:tcW w:w="7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&gt;4,5</w:t>
            </w:r>
          </w:p>
        </w:tc>
        <w:tc>
          <w:tcPr>
            <w:tcW w:w="21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Есть</w:t>
            </w:r>
          </w:p>
        </w:tc>
        <w:tc>
          <w:tcPr>
            <w:tcW w:w="7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Отмена варфарина, витамин К</w:t>
            </w:r>
            <w:r>
              <w:rPr>
                <w:sz w:val="31"/>
                <w:vertAlign w:val="subscript"/>
              </w:rPr>
              <w:t>1</w:t>
            </w:r>
            <w:r>
              <w:t>** 10 мг в/в медленно каждые 12 ч, свежезамороженная плазма, протромбиновый комплекс*. После достижения терапевтических значений МНО возобновить варфарин в уточненной дозе</w:t>
            </w:r>
          </w:p>
        </w:tc>
      </w:tr>
    </w:tbl>
    <w:p w:rsidR="008E3F15" w:rsidRDefault="005F449A">
      <w:pPr>
        <w:ind w:left="2" w:right="15"/>
      </w:pPr>
      <w:r>
        <w:rPr>
          <w:b/>
        </w:rPr>
        <w:t>Примечание.</w:t>
      </w:r>
      <w:r>
        <w:t xml:space="preserve"> * — использовать плазму или протромбиновый комплекс только в неотложных состояниях (большое кровотечение, внутричерепное кровоизлияние, перед неотложной операцией) (ASH). ** — Викасол</w:t>
      </w:r>
      <w:r>
        <w:rPr>
          <w:sz w:val="31"/>
          <w:vertAlign w:val="superscript"/>
        </w:rPr>
        <w:t>♠</w:t>
      </w:r>
      <w:r>
        <w:t xml:space="preserve"> (водорастворимый витамин К</w:t>
      </w:r>
      <w:r>
        <w:rPr>
          <w:sz w:val="31"/>
          <w:vertAlign w:val="subscript"/>
        </w:rPr>
        <w:t>3</w:t>
      </w:r>
      <w:r>
        <w:t>) не может быть адекватной заменой препарат</w:t>
      </w:r>
      <w:r>
        <w:t>а витамина К</w:t>
      </w:r>
      <w:r>
        <w:rPr>
          <w:sz w:val="31"/>
          <w:vertAlign w:val="subscript"/>
        </w:rPr>
        <w:t>1</w:t>
      </w:r>
      <w:r>
        <w:t>.</w:t>
      </w:r>
    </w:p>
    <w:p w:rsidR="008E3F15" w:rsidRDefault="005F449A">
      <w:pPr>
        <w:ind w:left="2" w:right="609"/>
      </w:pPr>
      <w:r>
        <w:t>Лечение оральными антикоагулянтами при первом эпизоде спонтанной тромбоэмболии может продолжаться неопределенно долго при жизнеугрожающей ЛЭ, высоком риске рецидивов ВТЭ (антифосфолипидный синдром, дефицит антитромбина III, гомозиготы по фак</w:t>
      </w:r>
      <w:r>
        <w:t>тору V Лейдена), &gt;1 генетического дефекта (например, гетерозиготы по фактору V Лейдена + мутация протромбина G20210A), резидуальном тромбозе проксимальных вен и низком риске кровотечений (ASH; ESC; ACCP).</w:t>
      </w:r>
    </w:p>
    <w:p w:rsidR="008E3F15" w:rsidRDefault="005F449A">
      <w:pPr>
        <w:ind w:left="2" w:right="15"/>
      </w:pPr>
      <w:r>
        <w:t>У пациентов с антифосфолипидным синдромом (венозные</w:t>
      </w:r>
      <w:r>
        <w:t xml:space="preserve"> и артериальные тромбозы, осложнения беременности, волчаночный антикоагулянт) частота тромбозов была выше при лечении ривароксабаном, чем варфарином (Ordi-Ros J. et al., 2019; Pengo V. et al., 2018). Начало и интенсивность антикоагулянтной терапии при остр</w:t>
      </w:r>
      <w:r>
        <w:t>ых ВТЭ не зависят от наличия врожденной тромбофилии (BCSH, ASH).</w:t>
      </w:r>
    </w:p>
    <w:p w:rsidR="008E3F15" w:rsidRDefault="005F449A">
      <w:pPr>
        <w:spacing w:after="31"/>
        <w:ind w:left="2" w:right="15"/>
      </w:pPr>
      <w:r>
        <w:t>В случае врожденного или приобретенного дефицита протеина С, посредника</w:t>
      </w:r>
    </w:p>
    <w:p w:rsidR="008E3F15" w:rsidRDefault="005F449A">
      <w:pPr>
        <w:spacing w:after="359"/>
        <w:ind w:left="2" w:right="150"/>
      </w:pPr>
      <w:r>
        <w:t>антикоагулянтного ответа, или его кофактора, протеина S, повышается риск некроза кожи (грудь, живот, бедра, ягодицы) пр</w:t>
      </w:r>
      <w:r>
        <w:t>и лечении варфарином, обусловленного гиперкоагуляцией, который может развиться и без дефицита протеинов C и S. Лечение лекарственного осложнения проводят с помощью гепарина, витамина К, свежезамороженной плазмы, концентрата протеинов С и S. При необходимос</w:t>
      </w:r>
      <w:r>
        <w:t>ти продолжают лечение варфарином (медленно титровать дозу), вначале вместе с НМГ (до получения целевых уровней МНО или вместо варфарина при повторных некрозах), или используют прямые антикоагулянты.</w:t>
      </w:r>
    </w:p>
    <w:p w:rsidR="008E3F15" w:rsidRDefault="005F449A">
      <w:pPr>
        <w:pStyle w:val="Heading1"/>
        <w:ind w:left="2"/>
      </w:pPr>
      <w:r>
        <w:t>Часть I. Сердечно-сосудистые болезни</w:t>
      </w:r>
    </w:p>
    <w:p w:rsidR="008E3F15" w:rsidRDefault="005F449A">
      <w:pPr>
        <w:spacing w:after="359"/>
        <w:ind w:left="2" w:right="15"/>
      </w:pPr>
      <w:r>
        <w:t>У пациентов невысоко</w:t>
      </w:r>
      <w:r>
        <w:t>го риска повторной ЛЭ после прекращения лечения оральными антикоагулянтами целесообразно назначить АСК 100 мг на 2–3 года с целью предупреждения тромбоэмболий и сосудистых событий (ASPIRE; WARFASA; Smilowitz N. et al., 2014). АСК можно использовать при про</w:t>
      </w:r>
      <w:r>
        <w:t>тивопоказаниях к антикоагулянтам.</w:t>
      </w:r>
    </w:p>
    <w:p w:rsidR="008E3F15" w:rsidRDefault="005F449A">
      <w:pPr>
        <w:pStyle w:val="Heading1"/>
        <w:ind w:left="2"/>
      </w:pPr>
      <w:r>
        <w:t>Часть I. Сердечно-сосудистые болезни</w:t>
      </w:r>
    </w:p>
    <w:p w:rsidR="008E3F15" w:rsidRDefault="005F449A">
      <w:pPr>
        <w:spacing w:after="31"/>
        <w:ind w:left="2" w:right="15"/>
      </w:pPr>
      <w:r>
        <w:t>Первичная профилактика</w:t>
      </w:r>
    </w:p>
    <w:p w:rsidR="008E3F15" w:rsidRDefault="005F449A">
      <w:pPr>
        <w:ind w:left="2" w:right="15"/>
      </w:pPr>
      <w:r>
        <w:t>Наиболее перспективным подходом в лечении тромбоэмболий является профилактика тромбоза глубоких вен и последующих ВТЭ.</w:t>
      </w:r>
    </w:p>
    <w:p w:rsidR="008E3F15" w:rsidRDefault="005F449A">
      <w:pPr>
        <w:spacing w:after="165"/>
        <w:ind w:left="2" w:right="15"/>
      </w:pPr>
      <w:r>
        <w:t>Для профилактики тромбоза глубоких вен применяются следующие мероприятия:</w:t>
      </w:r>
    </w:p>
    <w:p w:rsidR="008E3F15" w:rsidRDefault="005F449A">
      <w:pPr>
        <w:ind w:left="340" w:right="6866"/>
      </w:pPr>
      <w:r>
        <w:rPr>
          <w:rFonts w:ascii="Calibri" w:eastAsia="Calibri" w:hAnsi="Calibri" w:cs="Calibri"/>
          <w:noProof/>
          <w:color w:val="000000"/>
          <w:sz w:val="22"/>
        </w:rPr>
        <mc:AlternateContent>
          <mc:Choice Requires="wpg">
            <w:drawing>
              <wp:anchor distT="0" distB="0" distL="114300" distR="114300" simplePos="0" relativeHeight="251739136" behindDoc="0" locked="0" layoutInCell="1" allowOverlap="1">
                <wp:simplePos x="0" y="0"/>
                <wp:positionH relativeFrom="column">
                  <wp:posOffset>209550</wp:posOffset>
                </wp:positionH>
                <wp:positionV relativeFrom="paragraph">
                  <wp:posOffset>34776</wp:posOffset>
                </wp:positionV>
                <wp:extent cx="57150" cy="971550"/>
                <wp:effectExtent l="0" t="0" r="0" b="0"/>
                <wp:wrapSquare wrapText="bothSides"/>
                <wp:docPr id="270323" name="Group 270323"/>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6726" name="Shape 6726"/>
                        <wps:cNvSpPr/>
                        <wps:spPr>
                          <a:xfrm>
                            <a:off x="0" y="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28" name="Shape 6728"/>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572"/>
                                  <a:pt x="46101" y="5606"/>
                                  <a:pt x="48781" y="8285"/>
                                </a:cubicBezTo>
                                <a:cubicBezTo>
                                  <a:pt x="51460" y="10964"/>
                                  <a:pt x="53525" y="14039"/>
                                  <a:pt x="54975" y="17512"/>
                                </a:cubicBezTo>
                                <a:cubicBezTo>
                                  <a:pt x="56425" y="21084"/>
                                  <a:pt x="57150" y="24755"/>
                                  <a:pt x="57150" y="28575"/>
                                </a:cubicBezTo>
                                <a:cubicBezTo>
                                  <a:pt x="57150" y="32296"/>
                                  <a:pt x="56425" y="3591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17"/>
                                  <a:pt x="0" y="32296"/>
                                  <a:pt x="0" y="28575"/>
                                </a:cubicBezTo>
                                <a:cubicBezTo>
                                  <a:pt x="0" y="24755"/>
                                  <a:pt x="725" y="21084"/>
                                  <a:pt x="2175" y="1751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30" name="Shape 6730"/>
                        <wps:cNvSpPr/>
                        <wps:spPr>
                          <a:xfrm>
                            <a:off x="0" y="3048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32" name="Shape 6732"/>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34" name="Shape 6734"/>
                        <wps:cNvSpPr/>
                        <wps:spPr>
                          <a:xfrm>
                            <a:off x="0" y="6096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36" name="Shape 6736"/>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38" name="Shape 6738"/>
                        <wps:cNvSpPr/>
                        <wps:spPr>
                          <a:xfrm>
                            <a:off x="0" y="91440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16"/>
                                </a:cubicBezTo>
                                <a:cubicBezTo>
                                  <a:pt x="46101" y="51346"/>
                                  <a:pt x="43011" y="53429"/>
                                  <a:pt x="39510" y="54868"/>
                                </a:cubicBezTo>
                                <a:cubicBezTo>
                                  <a:pt x="36009" y="56356"/>
                                  <a:pt x="32364" y="57100"/>
                                  <a:pt x="28575" y="57150"/>
                                </a:cubicBezTo>
                                <a:cubicBezTo>
                                  <a:pt x="24786" y="57100"/>
                                  <a:pt x="21141" y="56307"/>
                                  <a:pt x="17640" y="54868"/>
                                </a:cubicBezTo>
                                <a:cubicBezTo>
                                  <a:pt x="14139" y="53380"/>
                                  <a:pt x="11049" y="51346"/>
                                  <a:pt x="8369" y="4871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0323" style="width:4.5pt;height:76.5pt;position:absolute;mso-position-horizontal-relative:text;mso-position-horizontal:absolute;margin-left:16.5pt;mso-position-vertical-relative:text;margin-top:2.73828pt;" coordsize="571,9715">
                <v:shape id="Shape 6726" style="position:absolute;width:571;height:571;left:0;top:0;" coordsize="57150,57150" path="m28575,0c32364,0,36009,695,39510,2183c43011,3572,46101,5606,48781,8285c51460,10964,53525,14039,54975,17562c56425,21084,57150,24755,57150,28575c57150,32345,56425,35967,54975,39489c53525,42962,51460,46087,48781,48766c46101,51445,43011,53479,39510,54918c36009,56356,32364,57100,28575,57150c24786,57100,21141,56356,17640,54918c14139,53479,11049,51445,8369,48766c5690,46087,3625,42962,2175,39489c725,35967,0,32345,0,28575c0,24755,725,21084,2175,17562c3625,14039,5690,10964,8369,8285c11049,5606,14139,3572,17640,2133c21141,695,24786,0,28575,0x">
                  <v:stroke weight="0pt" endcap="flat" joinstyle="miter" miterlimit="10" on="false" color="#000000" opacity="0"/>
                  <v:fill on="true" color="#333333"/>
                </v:shape>
                <v:shape id="Shape 6728" style="position:absolute;width:571;height:571;left:0;top:1524;" coordsize="57150,57150" path="m28575,0c32364,0,36009,695,39510,2183c43011,3572,46101,5606,48781,8285c51460,10964,53525,14039,54975,17512c56425,21084,57150,24755,57150,28575c57150,32296,56425,35917,54975,39439c53525,42962,51460,46038,48781,48766c46101,51395,43011,53479,39510,54918c36009,56356,32364,57100,28575,57150c24786,57100,21141,56356,17640,54918c14139,53479,11049,51395,8369,48766c5690,46038,3625,42962,2175,39439c725,35917,0,32296,0,28575c0,24755,725,21084,2175,17512c3625,14039,5690,10964,8369,8285c11049,5606,14139,3572,17640,2133c21141,695,24786,0,28575,0x">
                  <v:stroke weight="0pt" endcap="flat" joinstyle="miter" miterlimit="10" on="false" color="#000000" opacity="0"/>
                  <v:fill on="true" color="#333333"/>
                </v:shape>
                <v:shape id="Shape 6730" style="position:absolute;width:571;height:571;left:0;top:3048;" coordsize="57150,57150" path="m28575,0c32364,0,36009,695,39510,2183c43011,3621,46101,5655,48781,8334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334c11049,5655,14139,3621,17640,2183c21141,695,24786,0,28575,0x">
                  <v:stroke weight="0pt" endcap="flat" joinstyle="miter" miterlimit="10" on="false" color="#000000" opacity="0"/>
                  <v:fill on="true" color="#333333"/>
                </v:shape>
                <v:shape id="Shape 6732" style="position:absolute;width:571;height:571;left:0;top:4572;" coordsize="57150,57150" path="m28575,0c32364,0,36009,695,39510,2133c43011,3572,46101,5655,48781,8334c51460,10964,53525,14089,54975,1756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62c3625,14089,5690,10964,8369,8334c11049,5655,14139,3572,17640,2133c21141,695,24786,0,28575,0x">
                  <v:stroke weight="0pt" endcap="flat" joinstyle="miter" miterlimit="10" on="false" color="#000000" opacity="0"/>
                  <v:fill on="true" color="#333333"/>
                </v:shape>
                <v:shape id="Shape 6734" style="position:absolute;width:571;height:571;left:0;top:6096;" coordsize="57150,57150" path="m28575,0c32364,0,36009,695,39510,2133c43011,3572,46101,5655,48781,8334c51460,10964,53525,14089,54975,17562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562c3625,14089,5690,10964,8369,8334c11049,5655,14139,3572,17640,2133c21141,695,24786,0,28575,0x">
                  <v:stroke weight="0pt" endcap="flat" joinstyle="miter" miterlimit="10" on="false" color="#000000" opacity="0"/>
                  <v:fill on="true" color="#333333"/>
                </v:shape>
                <v:shape id="Shape 6736" style="position:absolute;width:571;height:571;left:0;top:7620;"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10" on="false" color="#000000" opacity="0"/>
                  <v:fill on="true" color="#333333"/>
                </v:shape>
                <v:shape id="Shape 6738" style="position:absolute;width:571;height:571;left:0;top:9144;" coordsize="57150,57150" path="m28575,0c32364,0,36009,695,39510,2133c43011,3572,46101,5655,48781,8384c51460,11013,53525,14089,54975,17611c56425,21084,57150,24755,57150,28575c57150,32345,56425,35967,54975,39390c53525,42962,51460,46038,48781,48716c46101,51346,43011,53429,39510,54868c36009,56356,32364,57100,28575,57150c24786,57100,21141,56307,17640,54868c14139,53380,11049,51346,8369,48716c5690,46038,3625,42962,2175,39390c725,35967,0,32345,0,28575c0,24755,725,21084,2175,17611c3625,14089,5690,11013,8369,8384c11049,5655,14139,3572,17640,2133c21141,695,24786,0,28575,0x">
                  <v:stroke weight="0pt" endcap="flat" joinstyle="miter" miterlimit="10" on="false" color="#000000" opacity="0"/>
                  <v:fill on="true" color="#333333"/>
                </v:shape>
                <w10:wrap type="square"/>
              </v:group>
            </w:pict>
          </mc:Fallback>
        </mc:AlternateContent>
      </w:r>
      <w:r>
        <w:t>ранняя активизация; гидратация; НФГ или НМГ; фондапаринукс натрия; компрессионный трикотаж;</w:t>
      </w:r>
    </w:p>
    <w:p w:rsidR="008E3F15" w:rsidRDefault="005F449A">
      <w:pPr>
        <w:spacing w:after="179"/>
        <w:ind w:left="340" w:right="3639"/>
      </w:pPr>
      <w:r>
        <w:t>перемежающаяся пневматическая компрессия; венозная помпа для стоп.</w:t>
      </w:r>
    </w:p>
    <w:p w:rsidR="008E3F15" w:rsidRDefault="005F449A">
      <w:pPr>
        <w:ind w:left="2" w:right="15"/>
      </w:pPr>
      <w:r>
        <w:t>Компрессионный трикотаж предупреждает риск тромбоза глубоких вен у пациентов в общей и ортопедической хирургии, независимо от других методов тромбопрофилактики (Cochrane Reviews).</w:t>
      </w:r>
    </w:p>
    <w:p w:rsidR="008E3F15" w:rsidRDefault="005F449A">
      <w:pPr>
        <w:ind w:left="2" w:right="15"/>
      </w:pPr>
      <w:r>
        <w:t>Использование эластичных бинтов при наличии компрессионного трикотажа нецеле</w:t>
      </w:r>
      <w:r>
        <w:t>сообразно, тем более что неправильное бинтование может усилить венозный застой. Профилактическое лечение с помощью парентеральных антикоагулянтов показано пациентам с высоким риском ВТЭ при отсутствии высокого риска кровотечений (шкала IMPROVE BRS ≥7 балло</w:t>
      </w:r>
      <w:r>
        <w:t>в). Высокий риск ВТЭ у нехирургических пациентов может быть установлен при наличии ≥4 баллов по шкале IMPROVEDD (</w:t>
      </w:r>
      <w:r>
        <w:rPr>
          <w:b/>
        </w:rPr>
        <w:t>рис. 3.7</w:t>
      </w:r>
      <w:r>
        <w:t>).</w:t>
      </w:r>
    </w:p>
    <w:p w:rsidR="008E3F15" w:rsidRDefault="005F449A">
      <w:pPr>
        <w:spacing w:after="65" w:line="259" w:lineRule="auto"/>
        <w:ind w:left="0" w:right="0" w:firstLine="0"/>
      </w:pPr>
      <w:r>
        <w:rPr>
          <w:noProof/>
        </w:rPr>
        <w:drawing>
          <wp:inline distT="0" distB="0" distL="0" distR="0">
            <wp:extent cx="5057775" cy="2628900"/>
            <wp:effectExtent l="0" t="0" r="0" b="0"/>
            <wp:docPr id="6764" name="Picture 6764"/>
            <wp:cNvGraphicFramePr/>
            <a:graphic xmlns:a="http://schemas.openxmlformats.org/drawingml/2006/main">
              <a:graphicData uri="http://schemas.openxmlformats.org/drawingml/2006/picture">
                <pic:pic xmlns:pic="http://schemas.openxmlformats.org/drawingml/2006/picture">
                  <pic:nvPicPr>
                    <pic:cNvPr id="6764" name="Picture 6764"/>
                    <pic:cNvPicPr/>
                  </pic:nvPicPr>
                  <pic:blipFill>
                    <a:blip r:embed="rId77"/>
                    <a:stretch>
                      <a:fillRect/>
                    </a:stretch>
                  </pic:blipFill>
                  <pic:spPr>
                    <a:xfrm>
                      <a:off x="0" y="0"/>
                      <a:ext cx="5057775" cy="2628900"/>
                    </a:xfrm>
                    <a:prstGeom prst="rect">
                      <a:avLst/>
                    </a:prstGeom>
                  </pic:spPr>
                </pic:pic>
              </a:graphicData>
            </a:graphic>
          </wp:inline>
        </w:drawing>
      </w:r>
    </w:p>
    <w:p w:rsidR="008E3F15" w:rsidRDefault="005F449A">
      <w:pPr>
        <w:spacing w:after="31"/>
        <w:ind w:left="2" w:right="15"/>
      </w:pPr>
      <w:r>
        <w:rPr>
          <w:b/>
        </w:rPr>
        <w:t xml:space="preserve">Рис. 3.7. </w:t>
      </w:r>
      <w:r>
        <w:t>Профилактика венозных тромбоэмболий в стационаре</w:t>
      </w:r>
    </w:p>
    <w:p w:rsidR="008E3F15" w:rsidRDefault="005F449A">
      <w:pPr>
        <w:spacing w:after="200"/>
        <w:ind w:left="2" w:right="15"/>
      </w:pPr>
      <w:r>
        <w:t>Для профилактики у госпитализированных пациентов в острый период заболе</w:t>
      </w:r>
      <w:r>
        <w:t>вания используются антикоагулянты:</w:t>
      </w:r>
    </w:p>
    <w:p w:rsidR="008E3F15" w:rsidRDefault="005F449A">
      <w:pPr>
        <w:spacing w:after="0" w:line="259" w:lineRule="auto"/>
        <w:ind w:right="501"/>
        <w:jc w:val="center"/>
      </w:pPr>
      <w:r>
        <w:rPr>
          <w:rFonts w:ascii="Calibri" w:eastAsia="Calibri" w:hAnsi="Calibri" w:cs="Calibri"/>
          <w:noProof/>
          <w:color w:val="000000"/>
          <w:sz w:val="22"/>
        </w:rPr>
        <mc:AlternateContent>
          <mc:Choice Requires="wpg">
            <w:drawing>
              <wp:inline distT="0" distB="0" distL="0" distR="0">
                <wp:extent cx="57150" cy="57150"/>
                <wp:effectExtent l="0" t="0" r="0" b="0"/>
                <wp:docPr id="271968" name="Group 27196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6769" name="Shape 6769"/>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611"/>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71968" style="width:4.5pt;height:4.5pt;mso-position-horizontal-relative:char;mso-position-vertical-relative:line" coordsize="571,571">
                <v:shape id="Shape 6769" style="position:absolute;width:571;height:571;left:0;top:0;" coordsize="57150,57150" path="m28575,0c32364,0,36009,695,39510,2133c43011,3572,46101,5655,48781,8384c51460,11013,53525,14089,54975,17611c56425,21084,57150,24755,57150,28575c57150,32345,56425,35967,54975,39489c53525,42962,51460,46038,48781,48766c46101,51395,43011,53429,39510,54868c36009,56356,32364,57100,28575,57150c24786,57100,21141,56356,17640,54868c14139,53429,11049,51395,8369,48766c5690,46038,3625,42912,2175,39439c725,35967,0,32345,0,28575c0,24755,725,21084,2175,17611c3625,14089,5690,11013,8369,8384c11049,5655,14139,3572,17640,2133c21141,695,24786,0,28575,0x">
                  <v:stroke weight="0pt" endcap="flat" joinstyle="miter" miterlimit="10" on="false" color="#000000" opacity="0"/>
                  <v:fill on="true" color="#333333"/>
                </v:shape>
              </v:group>
            </w:pict>
          </mc:Fallback>
        </mc:AlternateContent>
      </w:r>
      <w:r>
        <w:t xml:space="preserve"> НМГ — далтепарин натрия 5000 ед п/к, эноксапарин натрия 40 мг однократно п/к</w:t>
      </w:r>
    </w:p>
    <w:p w:rsidR="008E3F15" w:rsidRDefault="005F449A">
      <w:pPr>
        <w:ind w:left="610" w:right="15"/>
      </w:pPr>
      <w:r>
        <w:t>(у пациентов с индексом массы тела ≥35 кг/м</w:t>
      </w:r>
      <w:r>
        <w:rPr>
          <w:sz w:val="31"/>
          <w:vertAlign w:val="superscript"/>
        </w:rPr>
        <w:t>2</w:t>
      </w:r>
      <w:r>
        <w:t xml:space="preserve"> или весом ≥150 кг целесообразно использовать дозу эноксапарина натрия 0,5 мг/кг), надропарин каль</w:t>
      </w:r>
      <w:r>
        <w:t>ция 2850 МЕ п/к однократно;</w:t>
      </w:r>
    </w:p>
    <w:p w:rsidR="008E3F15" w:rsidRDefault="005F449A">
      <w:pPr>
        <w:spacing w:after="179"/>
        <w:ind w:left="340" w:right="4388"/>
      </w:pPr>
      <w:r>
        <w:rPr>
          <w:rFonts w:ascii="Calibri" w:eastAsia="Calibri" w:hAnsi="Calibri" w:cs="Calibri"/>
          <w:noProof/>
          <w:color w:val="000000"/>
          <w:sz w:val="22"/>
        </w:rPr>
        <mc:AlternateContent>
          <mc:Choice Requires="wpg">
            <w:drawing>
              <wp:anchor distT="0" distB="0" distL="114300" distR="114300" simplePos="0" relativeHeight="251740160" behindDoc="0" locked="0" layoutInCell="1" allowOverlap="1">
                <wp:simplePos x="0" y="0"/>
                <wp:positionH relativeFrom="column">
                  <wp:posOffset>209550</wp:posOffset>
                </wp:positionH>
                <wp:positionV relativeFrom="paragraph">
                  <wp:posOffset>34776</wp:posOffset>
                </wp:positionV>
                <wp:extent cx="57150" cy="209550"/>
                <wp:effectExtent l="0" t="0" r="0" b="0"/>
                <wp:wrapSquare wrapText="bothSides"/>
                <wp:docPr id="271969" name="Group 271969"/>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6776" name="Shape 6776"/>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778" name="Shape 6778"/>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55"/>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562"/>
                                </a:cubicBezTo>
                                <a:cubicBezTo>
                                  <a:pt x="3625" y="14089"/>
                                  <a:pt x="5690" y="10964"/>
                                  <a:pt x="8369" y="8334"/>
                                </a:cubicBezTo>
                                <a:cubicBezTo>
                                  <a:pt x="11049" y="5655"/>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1969" style="width:4.5pt;height:16.5pt;position:absolute;mso-position-horizontal-relative:text;mso-position-horizontal:absolute;margin-left:16.5pt;mso-position-vertical-relative:text;margin-top:2.73828pt;" coordsize="571,2095">
                <v:shape id="Shape 6776" style="position:absolute;width:571;height:571;left:0;top:0;" coordsize="57150,57150" path="m28575,0c32364,0,36009,695,39510,2133c43011,3572,46101,5655,48781,8334c51460,10964,53525,14089,54975,17562c56425,21084,57150,24755,57150,28575c57150,32345,56425,35967,54975,39439c53525,42962,51460,46038,48781,48766c46101,51395,43011,53429,39510,54868c36009,56356,32364,57100,28575,57150c24786,57100,21141,56356,17640,54868c14139,53429,11049,51395,8369,48766c5690,46038,3625,42962,2175,39439c725,35967,0,32345,0,28575c0,24755,725,21084,2175,17562c3625,14089,5690,10964,8369,8334c11049,5655,14139,3572,17640,2133c21141,695,24786,0,28575,0x">
                  <v:stroke weight="0pt" endcap="flat" joinstyle="miter" miterlimit="10" on="false" color="#000000" opacity="0"/>
                  <v:fill on="true" color="#333333"/>
                </v:shape>
                <v:shape id="Shape 6778" style="position:absolute;width:571;height:571;left:0;top:1524;" coordsize="57150,57150" path="m28575,0c32364,0,36009,695,39510,2133c43011,3572,46101,5655,48781,8334c51460,10964,53525,14089,54975,17562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562c3625,14089,5690,10964,8369,8334c11049,5655,14139,3572,17640,2133c21141,695,24786,0,28575,0x">
                  <v:stroke weight="0pt" endcap="flat" joinstyle="miter" miterlimit="10" on="false" color="#000000" opacity="0"/>
                  <v:fill on="true" color="#333333"/>
                </v:shape>
                <w10:wrap type="square"/>
              </v:group>
            </w:pict>
          </mc:Fallback>
        </mc:AlternateContent>
      </w:r>
      <w:r>
        <w:t>фондапаринукс натрия 2,5 мг однократно п/к; НФГ 5000 ед 2 раза п/к.</w:t>
      </w:r>
    </w:p>
    <w:p w:rsidR="008E3F15" w:rsidRDefault="005F449A">
      <w:pPr>
        <w:ind w:left="2" w:right="102"/>
      </w:pPr>
      <w:r>
        <w:t>С целью предупреждения госпитальных ВТЭ оптимальным подходом может быть использование средних доз НМГ (Eck R. et al., 2022). Госпитализированным пациентам с CO</w:t>
      </w:r>
      <w:r>
        <w:t>VID-19 и некритическим состоянием может быть оправдано использование парентеральных антикоагулянтов в терапевтических дозах (REMAP-CAP/ACTIV4a/ATTACC). После острых заболеваниях прямые оральные антикоагулянты (апиксабан, ривароксабан) были не лучше эноксап</w:t>
      </w:r>
      <w:r>
        <w:t>арина натрия в дозе 40 мг (ADOPT, MAGELLAN). Прием ривароксабана 10 мг/сут в течение 45 сут после выписки пациентов с острым заболеванием не снизил риск ВТЭ (MARINER).</w:t>
      </w:r>
    </w:p>
    <w:p w:rsidR="008E3F15" w:rsidRDefault="005F449A">
      <w:pPr>
        <w:ind w:left="2" w:right="15"/>
      </w:pPr>
      <w:r>
        <w:t>Пациентам после плановых операций по замене тазобедренного или коленного сустава, которы</w:t>
      </w:r>
      <w:r>
        <w:t>е характеризуются повышенным риском ВТЭ (10–20 и 4–10%, Geerts W. et al., 2001), рекомендуют принимать апиксабан в дозе 2,5 мг дважды в день, ривароксабан в дозе 10 мг или дабигатрана этексилат в дозе 150–220 мг однократно. Лечение обычно проводят до 14– 3</w:t>
      </w:r>
      <w:r>
        <w:t>5 сут после хирургии.</w:t>
      </w:r>
    </w:p>
    <w:p w:rsidR="008E3F15" w:rsidRDefault="005F449A">
      <w:pPr>
        <w:spacing w:after="359"/>
        <w:ind w:left="2" w:right="15"/>
      </w:pPr>
      <w:r>
        <w:t xml:space="preserve">Возможно, АСК не уступает антикоагулянтам в эффективности и безопасности профилактики ВТЭ у пациентов после оперированных переломов конечностей, тазовых и вертлужных переломов, артропластики (Matharu G. et al., 2020; Cafri G. et al., </w:t>
      </w:r>
      <w:r>
        <w:t>2017; Hood B. et al., 2019; METRC).</w:t>
      </w:r>
    </w:p>
    <w:p w:rsidR="008E3F15" w:rsidRDefault="005F449A">
      <w:pPr>
        <w:pStyle w:val="Heading1"/>
        <w:ind w:left="2"/>
      </w:pPr>
      <w:r>
        <w:t>Часть I. Сердечно-сосудистые болезни</w:t>
      </w:r>
    </w:p>
    <w:p w:rsidR="008E3F15" w:rsidRDefault="005F449A">
      <w:pPr>
        <w:spacing w:after="31"/>
        <w:ind w:left="2" w:right="15"/>
      </w:pPr>
      <w:r>
        <w:t>Глава 4. Фибрилляция и трепетание предсердий</w:t>
      </w:r>
    </w:p>
    <w:p w:rsidR="008E3F15" w:rsidRDefault="005F449A">
      <w:pPr>
        <w:ind w:left="2" w:right="15"/>
      </w:pPr>
      <w:r>
        <w:t xml:space="preserve">ФП является самой частой тахиаритмией и встречается у 2–3% населения (AFNET/EHRA, CHS). Эта аритмия преобладает у людей пожилого и старческого возраста, а до 25 лет встречается очень редко. ФП ассоциируется с повышением риска смерти, СН, инсульта и других </w:t>
      </w:r>
      <w:r>
        <w:t>тромбоэмболий, а также снижением переносимости физической нагрузки и качества жизни.</w:t>
      </w:r>
    </w:p>
    <w:p w:rsidR="008E3F15" w:rsidRDefault="005F449A">
      <w:pPr>
        <w:spacing w:after="31"/>
        <w:ind w:left="2" w:right="15"/>
      </w:pPr>
      <w:r>
        <w:t>Нередко ФП не проявляется симптомами и диагностируется поздно.</w:t>
      </w:r>
    </w:p>
    <w:p w:rsidR="008E3F15" w:rsidRDefault="005F449A">
      <w:pPr>
        <w:spacing w:after="359"/>
        <w:ind w:left="2" w:right="15"/>
      </w:pPr>
      <w:r>
        <w:t>В последние два десятилетия частота госпитализаций пациентов с ФП увеличилась в 2–3 раза, что связывают с ст</w:t>
      </w:r>
      <w:r>
        <w:t xml:space="preserve">арением населения, увеличением распространенности ХСН, а также более частым использованием приборов для длительного мониторирования ЭКГ, мобильных электрокардиографов (КардиоКАРТА, Kardia Mobile), умных часов и аппаратов для автоматического измерения АД с </w:t>
      </w:r>
      <w:r>
        <w:t>определением аритмии (Microlife BP A200 Afib).</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spacing w:after="179"/>
        <w:ind w:left="2" w:right="15"/>
      </w:pPr>
      <w:r>
        <w:t xml:space="preserve">Выявлены многочисленные факторы риска, увеличивающие частоту развития ФП. </w:t>
      </w:r>
      <w:r>
        <w:rPr>
          <w:i/>
        </w:rPr>
        <w:t>Заболевания, поражающие предсердия:</w:t>
      </w:r>
    </w:p>
    <w:p w:rsidR="008E3F15" w:rsidRDefault="005F449A">
      <w:pPr>
        <w:ind w:left="340" w:right="5812"/>
      </w:pPr>
      <w:r>
        <w:rPr>
          <w:rFonts w:ascii="Calibri" w:eastAsia="Calibri" w:hAnsi="Calibri" w:cs="Calibri"/>
          <w:noProof/>
          <w:color w:val="000000"/>
          <w:sz w:val="22"/>
        </w:rPr>
        <mc:AlternateContent>
          <mc:Choice Requires="wpg">
            <w:drawing>
              <wp:anchor distT="0" distB="0" distL="114300" distR="114300" simplePos="0" relativeHeight="251741184" behindDoc="0" locked="0" layoutInCell="1" allowOverlap="1">
                <wp:simplePos x="0" y="0"/>
                <wp:positionH relativeFrom="column">
                  <wp:posOffset>209550</wp:posOffset>
                </wp:positionH>
                <wp:positionV relativeFrom="paragraph">
                  <wp:posOffset>34826</wp:posOffset>
                </wp:positionV>
                <wp:extent cx="57150" cy="819150"/>
                <wp:effectExtent l="0" t="0" r="0" b="0"/>
                <wp:wrapSquare wrapText="bothSides"/>
                <wp:docPr id="274242" name="Group 274242"/>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6842" name="Shape 6842"/>
                        <wps:cNvSpPr/>
                        <wps:spPr>
                          <a:xfrm>
                            <a:off x="0" y="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44" name="Shape 6844"/>
                        <wps:cNvSpPr/>
                        <wps:spPr>
                          <a:xfrm>
                            <a:off x="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46" name="Shape 6846"/>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1013"/>
                                  <a:pt x="53525" y="14089"/>
                                  <a:pt x="54975" y="17611"/>
                                </a:cubicBezTo>
                                <a:cubicBezTo>
                                  <a:pt x="56425" y="21084"/>
                                  <a:pt x="57150" y="24755"/>
                                  <a:pt x="57150" y="28575"/>
                                </a:cubicBezTo>
                                <a:cubicBezTo>
                                  <a:pt x="57150" y="32345"/>
                                  <a:pt x="56425" y="35967"/>
                                  <a:pt x="54975" y="39390"/>
                                </a:cubicBezTo>
                                <a:cubicBezTo>
                                  <a:pt x="53525" y="42962"/>
                                  <a:pt x="51460" y="46038"/>
                                  <a:pt x="48781" y="48766"/>
                                </a:cubicBezTo>
                                <a:cubicBezTo>
                                  <a:pt x="46101" y="51395"/>
                                  <a:pt x="43011" y="53429"/>
                                  <a:pt x="39510" y="54868"/>
                                </a:cubicBezTo>
                                <a:cubicBezTo>
                                  <a:pt x="36009" y="56356"/>
                                  <a:pt x="32364" y="57100"/>
                                  <a:pt x="28575" y="57150"/>
                                </a:cubicBezTo>
                                <a:cubicBezTo>
                                  <a:pt x="24786" y="57100"/>
                                  <a:pt x="21141" y="56356"/>
                                  <a:pt x="17640" y="54868"/>
                                </a:cubicBezTo>
                                <a:cubicBezTo>
                                  <a:pt x="14139" y="53429"/>
                                  <a:pt x="11049" y="51395"/>
                                  <a:pt x="8369" y="48766"/>
                                </a:cubicBezTo>
                                <a:cubicBezTo>
                                  <a:pt x="5690" y="46038"/>
                                  <a:pt x="3625" y="42962"/>
                                  <a:pt x="2175" y="39390"/>
                                </a:cubicBezTo>
                                <a:cubicBezTo>
                                  <a:pt x="725" y="35967"/>
                                  <a:pt x="0" y="32345"/>
                                  <a:pt x="0" y="28575"/>
                                </a:cubicBezTo>
                                <a:cubicBezTo>
                                  <a:pt x="0" y="24755"/>
                                  <a:pt x="725" y="21084"/>
                                  <a:pt x="2175" y="17611"/>
                                </a:cubicBezTo>
                                <a:cubicBezTo>
                                  <a:pt x="3625" y="14089"/>
                                  <a:pt x="5690" y="11013"/>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48" name="Shape 6848"/>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89"/>
                                </a:cubicBezTo>
                                <a:cubicBezTo>
                                  <a:pt x="53525" y="43011"/>
                                  <a:pt x="51460" y="46087"/>
                                  <a:pt x="48781" y="48766"/>
                                </a:cubicBezTo>
                                <a:cubicBezTo>
                                  <a:pt x="46101" y="51445"/>
                                  <a:pt x="43011" y="53479"/>
                                  <a:pt x="39510" y="54918"/>
                                </a:cubicBezTo>
                                <a:cubicBezTo>
                                  <a:pt x="36009" y="56356"/>
                                  <a:pt x="32364" y="57100"/>
                                  <a:pt x="28575" y="57150"/>
                                </a:cubicBezTo>
                                <a:cubicBezTo>
                                  <a:pt x="24786" y="57100"/>
                                  <a:pt x="21141" y="56406"/>
                                  <a:pt x="17640" y="54967"/>
                                </a:cubicBezTo>
                                <a:cubicBezTo>
                                  <a:pt x="14139" y="53529"/>
                                  <a:pt x="11049" y="51445"/>
                                  <a:pt x="8369" y="48766"/>
                                </a:cubicBezTo>
                                <a:cubicBezTo>
                                  <a:pt x="5690" y="46087"/>
                                  <a:pt x="3625" y="43011"/>
                                  <a:pt x="2175" y="3948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50" name="Shape 6850"/>
                        <wps:cNvSpPr/>
                        <wps:spPr>
                          <a:xfrm>
                            <a:off x="0" y="6096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406"/>
                                  <a:pt x="17640" y="54967"/>
                                </a:cubicBezTo>
                                <a:cubicBezTo>
                                  <a:pt x="14139" y="5352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52" name="Shape 6852"/>
                        <wps:cNvSpPr/>
                        <wps:spPr>
                          <a:xfrm>
                            <a:off x="0" y="762000"/>
                            <a:ext cx="57150" cy="57150"/>
                          </a:xfrm>
                          <a:custGeom>
                            <a:avLst/>
                            <a:gdLst/>
                            <a:ahLst/>
                            <a:cxnLst/>
                            <a:rect l="0" t="0" r="0" b="0"/>
                            <a:pathLst>
                              <a:path w="57150" h="57150">
                                <a:moveTo>
                                  <a:pt x="28575" y="0"/>
                                </a:moveTo>
                                <a:cubicBezTo>
                                  <a:pt x="32364" y="0"/>
                                  <a:pt x="36009" y="695"/>
                                  <a:pt x="39510" y="2133"/>
                                </a:cubicBezTo>
                                <a:cubicBezTo>
                                  <a:pt x="43011" y="3572"/>
                                  <a:pt x="46101" y="5606"/>
                                  <a:pt x="48781" y="8285"/>
                                </a:cubicBezTo>
                                <a:cubicBezTo>
                                  <a:pt x="51460" y="10964"/>
                                  <a:pt x="53525" y="14039"/>
                                  <a:pt x="54975" y="17562"/>
                                </a:cubicBezTo>
                                <a:cubicBezTo>
                                  <a:pt x="56425" y="21084"/>
                                  <a:pt x="57150" y="24755"/>
                                  <a:pt x="57150" y="28575"/>
                                </a:cubicBezTo>
                                <a:cubicBezTo>
                                  <a:pt x="57150" y="32345"/>
                                  <a:pt x="56425" y="35967"/>
                                  <a:pt x="54975" y="39489"/>
                                </a:cubicBezTo>
                                <a:cubicBezTo>
                                  <a:pt x="53525" y="42962"/>
                                  <a:pt x="51460" y="46038"/>
                                  <a:pt x="48781" y="48766"/>
                                </a:cubicBezTo>
                                <a:cubicBezTo>
                                  <a:pt x="46101" y="51395"/>
                                  <a:pt x="43011" y="53429"/>
                                  <a:pt x="39510" y="54918"/>
                                </a:cubicBezTo>
                                <a:cubicBezTo>
                                  <a:pt x="36009" y="56356"/>
                                  <a:pt x="32364" y="57100"/>
                                  <a:pt x="28575" y="57150"/>
                                </a:cubicBezTo>
                                <a:cubicBezTo>
                                  <a:pt x="24786" y="57100"/>
                                  <a:pt x="21141" y="56406"/>
                                  <a:pt x="17640" y="54967"/>
                                </a:cubicBezTo>
                                <a:cubicBezTo>
                                  <a:pt x="14139" y="53429"/>
                                  <a:pt x="11049" y="51395"/>
                                  <a:pt x="8369" y="48766"/>
                                </a:cubicBezTo>
                                <a:cubicBezTo>
                                  <a:pt x="5690" y="46038"/>
                                  <a:pt x="3625" y="42912"/>
                                  <a:pt x="2175" y="39439"/>
                                </a:cubicBezTo>
                                <a:cubicBezTo>
                                  <a:pt x="725" y="35967"/>
                                  <a:pt x="0" y="32345"/>
                                  <a:pt x="0" y="28575"/>
                                </a:cubicBezTo>
                                <a:cubicBezTo>
                                  <a:pt x="0" y="24755"/>
                                  <a:pt x="725" y="21084"/>
                                  <a:pt x="2175" y="17562"/>
                                </a:cubicBezTo>
                                <a:cubicBezTo>
                                  <a:pt x="3625" y="14039"/>
                                  <a:pt x="5690" y="10964"/>
                                  <a:pt x="8369" y="8285"/>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242" style="width:4.5pt;height:64.5pt;position:absolute;mso-position-horizontal-relative:text;mso-position-horizontal:absolute;margin-left:16.5pt;mso-position-vertical-relative:text;margin-top:2.74219pt;" coordsize="571,8191">
                <v:shape id="Shape 6842" style="position:absolute;width:571;height:571;left:0;top:0;" coordsize="57150,57150" path="m28575,0c32364,0,36009,695,39510,2133c43011,3572,46101,5606,48781,8334c51460,10964,53525,14089,54975,17562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562c3625,14089,5690,10964,8369,8334c11049,5606,14139,3572,17640,2133c21141,695,24786,0,28575,0x">
                  <v:stroke weight="0pt" endcap="flat" joinstyle="miter" miterlimit="4" on="false" color="#000000" opacity="0"/>
                  <v:fill on="true" color="#333333"/>
                </v:shape>
                <v:shape id="Shape 6844" style="position:absolute;width:571;height:571;left:0;top:1524;"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4" on="false" color="#000000" opacity="0"/>
                  <v:fill on="true" color="#333333"/>
                </v:shape>
                <v:shape id="Shape 6846" style="position:absolute;width:571;height:571;left:0;top:3048;" coordsize="57150,57150" path="m28575,0c32364,0,36009,695,39510,2133c43011,3572,46101,5606,48781,8334c51460,11013,53525,14089,54975,17611c56425,21084,57150,24755,57150,28575c57150,32345,56425,35967,54975,39390c53525,42962,51460,46038,48781,48766c46101,51395,43011,53429,39510,54868c36009,56356,32364,57100,28575,57150c24786,57100,21141,56356,17640,54868c14139,53429,11049,51395,8369,48766c5690,46038,3625,42962,2175,39390c725,35967,0,32345,0,28575c0,24755,725,21084,2175,17611c3625,14089,5690,11013,8369,8334c11049,5606,14139,3572,17640,2133c21141,695,24786,0,28575,0x">
                  <v:stroke weight="0pt" endcap="flat" joinstyle="miter" miterlimit="4" on="false" color="#000000" opacity="0"/>
                  <v:fill on="true" color="#333333"/>
                </v:shape>
                <v:shape id="Shape 6848" style="position:absolute;width:571;height:571;left:0;top:4572;" coordsize="57150,57150" path="m28575,0c32364,0,36009,695,39510,2133c43011,3572,46101,5606,48781,8334c51460,10964,53525,14039,54975,17562c56425,21084,57150,24755,57150,28575c57150,32345,56425,35967,54975,39489c53525,43011,51460,46087,48781,48766c46101,51445,43011,53479,39510,54918c36009,56356,32364,57100,28575,57150c24786,57100,21141,56406,17640,54967c14139,53529,11049,51445,8369,48766c5690,46087,3625,43011,2175,39489c725,35967,0,32345,0,28575c0,24755,725,21084,2175,17562c3625,14039,5690,10964,8369,8334c11049,5606,14139,3572,17640,2133c21141,695,24786,0,28575,0x">
                  <v:stroke weight="0pt" endcap="flat" joinstyle="miter" miterlimit="4" on="false" color="#000000" opacity="0"/>
                  <v:fill on="true" color="#333333"/>
                </v:shape>
                <v:shape id="Shape 6850" style="position:absolute;width:571;height:571;left:0;top:6096;" coordsize="57150,57150" path="m28575,0c32364,0,36009,695,39510,2133c43011,3572,46101,5606,48781,8285c51460,10964,53525,14039,54975,17562c56425,21084,57150,24755,57150,28575c57150,32345,56425,35967,54975,39489c53525,42962,51460,46087,48781,48766c46101,51445,43011,53479,39510,54918c36009,56356,32364,57100,28575,57150c24786,57100,21141,56406,17640,54967c14139,53529,11049,51445,8369,48766c5690,46087,3625,42962,2175,39489c725,35967,0,32345,0,28575c0,24755,725,21084,2175,17562c3625,14039,5690,10964,8369,8285c11049,5606,14139,3572,17640,2133c21141,695,24786,0,28575,0x">
                  <v:stroke weight="0pt" endcap="flat" joinstyle="miter" miterlimit="4" on="false" color="#000000" opacity="0"/>
                  <v:fill on="true" color="#333333"/>
                </v:shape>
                <v:shape id="Shape 6852" style="position:absolute;width:571;height:571;left:0;top:7620;" coordsize="57150,57150" path="m28575,0c32364,0,36009,695,39510,2133c43011,3572,46101,5606,48781,8285c51460,10964,53525,14039,54975,17562c56425,21084,57150,24755,57150,28575c57150,32345,56425,35967,54975,39489c53525,42962,51460,46038,48781,48766c46101,51395,43011,53429,39510,54918c36009,56356,32364,57100,28575,57150c24786,57100,21141,56406,17640,54967c14139,53429,11049,51395,8369,48766c5690,46038,3625,42912,2175,39439c725,35967,0,32345,0,28575c0,24755,725,21084,2175,17562c3625,14039,5690,10964,8369,8285c11049,5606,14139,3572,17640,2133c21141,695,24786,0,28575,0x">
                  <v:stroke weight="0pt" endcap="flat" joinstyle="miter" miterlimit="4" on="false" color="#000000" opacity="0"/>
                  <v:fill on="true" color="#333333"/>
                </v:shape>
                <w10:wrap type="square"/>
              </v:group>
            </w:pict>
          </mc:Fallback>
        </mc:AlternateContent>
      </w:r>
      <w:r>
        <w:t>гипертоническое сердце; коронарная бо</w:t>
      </w:r>
      <w:r>
        <w:t>лезнь;</w:t>
      </w:r>
    </w:p>
    <w:p w:rsidR="008E3F15" w:rsidRDefault="005F449A">
      <w:pPr>
        <w:ind w:left="340" w:right="2542"/>
      </w:pPr>
      <w:r>
        <w:t>кардиомиопатии (первичные, вторичные), мио кардит; митральный стеноз;</w:t>
      </w:r>
    </w:p>
    <w:p w:rsidR="008E3F15" w:rsidRDefault="005F449A">
      <w:pPr>
        <w:spacing w:after="31"/>
        <w:ind w:left="340" w:right="15"/>
      </w:pPr>
      <w:r>
        <w:t>легочное сердце (острое, хроническое);</w:t>
      </w:r>
    </w:p>
    <w:p w:rsidR="008E3F15" w:rsidRDefault="005F449A">
      <w:pPr>
        <w:spacing w:after="179"/>
        <w:ind w:left="340" w:right="15"/>
      </w:pPr>
      <w:r>
        <w:t>кардиохирургические операции (КШ, митральная вальвулотомия, протезирование митрального клапана).</w:t>
      </w:r>
    </w:p>
    <w:p w:rsidR="008E3F15" w:rsidRDefault="005F449A">
      <w:pPr>
        <w:spacing w:after="133" w:line="259" w:lineRule="auto"/>
        <w:ind w:right="0"/>
      </w:pPr>
      <w:r>
        <w:rPr>
          <w:i/>
        </w:rPr>
        <w:t>Другие аритмии:</w:t>
      </w:r>
    </w:p>
    <w:p w:rsidR="008E3F15" w:rsidRDefault="005F449A">
      <w:pPr>
        <w:spacing w:after="31"/>
        <w:ind w:left="610" w:right="15"/>
      </w:pPr>
      <w:r>
        <w:t xml:space="preserve">дисфункция синусового узла </w:t>
      </w:r>
      <w:r>
        <w:t>(</w:t>
      </w:r>
      <w:r>
        <w:rPr>
          <w:b/>
        </w:rPr>
        <w:t>рис. 4.1</w:t>
      </w:r>
      <w:r>
        <w:t>);</w:t>
      </w:r>
    </w:p>
    <w:p w:rsidR="008E3F15" w:rsidRDefault="005F449A">
      <w:pPr>
        <w:ind w:left="610" w:right="15"/>
      </w:pPr>
      <w:r>
        <w:t>дополнительный атриовентрикулярный путь проведения (синдром Вольфа–Паркинсона– Уайта);</w:t>
      </w:r>
    </w:p>
    <w:p w:rsidR="008E3F15" w:rsidRDefault="005F449A">
      <w:pPr>
        <w:spacing w:after="1034"/>
        <w:ind w:left="610" w:right="965"/>
      </w:pPr>
      <w:r>
        <w:rPr>
          <w:rFonts w:ascii="Calibri" w:eastAsia="Calibri" w:hAnsi="Calibri" w:cs="Calibri"/>
          <w:noProof/>
          <w:color w:val="000000"/>
          <w:sz w:val="22"/>
        </w:rPr>
        <mc:AlternateContent>
          <mc:Choice Requires="wpg">
            <w:drawing>
              <wp:anchor distT="0" distB="0" distL="114300" distR="114300" simplePos="0" relativeHeight="251742208" behindDoc="1" locked="0" layoutInCell="1" allowOverlap="1">
                <wp:simplePos x="0" y="0"/>
                <wp:positionH relativeFrom="column">
                  <wp:posOffset>0</wp:posOffset>
                </wp:positionH>
                <wp:positionV relativeFrom="paragraph">
                  <wp:posOffset>-422373</wp:posOffset>
                </wp:positionV>
                <wp:extent cx="5057775" cy="1685925"/>
                <wp:effectExtent l="0" t="0" r="0" b="0"/>
                <wp:wrapNone/>
                <wp:docPr id="274243" name="Group 274243"/>
                <wp:cNvGraphicFramePr/>
                <a:graphic xmlns:a="http://schemas.openxmlformats.org/drawingml/2006/main">
                  <a:graphicData uri="http://schemas.microsoft.com/office/word/2010/wordprocessingGroup">
                    <wpg:wgp>
                      <wpg:cNvGrpSpPr/>
                      <wpg:grpSpPr>
                        <a:xfrm>
                          <a:off x="0" y="0"/>
                          <a:ext cx="5057775" cy="1685925"/>
                          <a:chOff x="0" y="0"/>
                          <a:chExt cx="5057775" cy="1685925"/>
                        </a:xfrm>
                      </wpg:grpSpPr>
                      <wps:wsp>
                        <wps:cNvPr id="6856" name="Shape 6856"/>
                        <wps:cNvSpPr/>
                        <wps:spPr>
                          <a:xfrm>
                            <a:off x="209550" y="0"/>
                            <a:ext cx="57150" cy="57150"/>
                          </a:xfrm>
                          <a:custGeom>
                            <a:avLst/>
                            <a:gdLst/>
                            <a:ahLst/>
                            <a:cxnLst/>
                            <a:rect l="0" t="0" r="0" b="0"/>
                            <a:pathLst>
                              <a:path w="57150" h="57150">
                                <a:moveTo>
                                  <a:pt x="28575" y="0"/>
                                </a:moveTo>
                                <a:cubicBezTo>
                                  <a:pt x="32364" y="0"/>
                                  <a:pt x="36009" y="695"/>
                                  <a:pt x="39510" y="2133"/>
                                </a:cubicBezTo>
                                <a:cubicBezTo>
                                  <a:pt x="43011" y="3572"/>
                                  <a:pt x="46101" y="5655"/>
                                  <a:pt x="48781" y="8384"/>
                                </a:cubicBezTo>
                                <a:cubicBezTo>
                                  <a:pt x="51460" y="11013"/>
                                  <a:pt x="53525" y="14089"/>
                                  <a:pt x="54975" y="17611"/>
                                </a:cubicBezTo>
                                <a:cubicBezTo>
                                  <a:pt x="56425" y="21084"/>
                                  <a:pt x="57150" y="24755"/>
                                  <a:pt x="57150" y="28575"/>
                                </a:cubicBezTo>
                                <a:cubicBezTo>
                                  <a:pt x="57150" y="32345"/>
                                  <a:pt x="56425" y="3596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390"/>
                                </a:cubicBezTo>
                                <a:cubicBezTo>
                                  <a:pt x="725" y="35967"/>
                                  <a:pt x="0" y="32345"/>
                                  <a:pt x="0" y="28575"/>
                                </a:cubicBezTo>
                                <a:cubicBezTo>
                                  <a:pt x="0" y="24755"/>
                                  <a:pt x="725" y="21084"/>
                                  <a:pt x="2175" y="17562"/>
                                </a:cubicBezTo>
                                <a:cubicBezTo>
                                  <a:pt x="3625" y="14089"/>
                                  <a:pt x="5690" y="11013"/>
                                  <a:pt x="8369" y="8384"/>
                                </a:cubicBezTo>
                                <a:cubicBezTo>
                                  <a:pt x="11049" y="5655"/>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60" name="Shape 6860"/>
                        <wps:cNvSpPr/>
                        <wps:spPr>
                          <a:xfrm>
                            <a:off x="209550" y="1524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89"/>
                                  <a:pt x="54975" y="17562"/>
                                </a:cubicBezTo>
                                <a:cubicBezTo>
                                  <a:pt x="56425" y="21084"/>
                                  <a:pt x="57150" y="24755"/>
                                  <a:pt x="57150" y="28575"/>
                                </a:cubicBezTo>
                                <a:cubicBezTo>
                                  <a:pt x="57150" y="32345"/>
                                  <a:pt x="56425" y="35967"/>
                                  <a:pt x="54975" y="39390"/>
                                </a:cubicBezTo>
                                <a:cubicBezTo>
                                  <a:pt x="53525" y="42912"/>
                                  <a:pt x="51460" y="45988"/>
                                  <a:pt x="48781" y="48716"/>
                                </a:cubicBezTo>
                                <a:cubicBezTo>
                                  <a:pt x="46101" y="51346"/>
                                  <a:pt x="43011" y="53429"/>
                                  <a:pt x="39510" y="54868"/>
                                </a:cubicBezTo>
                                <a:cubicBezTo>
                                  <a:pt x="36009" y="56356"/>
                                  <a:pt x="32364" y="57100"/>
                                  <a:pt x="28575" y="57150"/>
                                </a:cubicBezTo>
                                <a:cubicBezTo>
                                  <a:pt x="24786" y="57100"/>
                                  <a:pt x="21141" y="56356"/>
                                  <a:pt x="17640" y="54868"/>
                                </a:cubicBezTo>
                                <a:cubicBezTo>
                                  <a:pt x="14139" y="53429"/>
                                  <a:pt x="11049" y="51346"/>
                                  <a:pt x="8369" y="48716"/>
                                </a:cubicBezTo>
                                <a:cubicBezTo>
                                  <a:pt x="5690" y="45988"/>
                                  <a:pt x="3625" y="42912"/>
                                  <a:pt x="2175" y="39390"/>
                                </a:cubicBezTo>
                                <a:cubicBezTo>
                                  <a:pt x="725" y="35967"/>
                                  <a:pt x="0" y="32345"/>
                                  <a:pt x="0" y="28575"/>
                                </a:cubicBezTo>
                                <a:cubicBezTo>
                                  <a:pt x="0" y="24755"/>
                                  <a:pt x="725" y="21084"/>
                                  <a:pt x="2175" y="17562"/>
                                </a:cubicBezTo>
                                <a:cubicBezTo>
                                  <a:pt x="3625" y="1408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63" name="Shape 6863"/>
                        <wps:cNvSpPr/>
                        <wps:spPr>
                          <a:xfrm>
                            <a:off x="209550" y="4572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66" name="Shape 6866"/>
                        <wps:cNvSpPr/>
                        <wps:spPr>
                          <a:xfrm>
                            <a:off x="209550" y="7620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89"/>
                                  <a:pt x="54975" y="17611"/>
                                </a:cubicBezTo>
                                <a:cubicBezTo>
                                  <a:pt x="56425" y="21084"/>
                                  <a:pt x="57150" y="24755"/>
                                  <a:pt x="57150" y="28575"/>
                                </a:cubicBezTo>
                                <a:cubicBezTo>
                                  <a:pt x="57150" y="32296"/>
                                  <a:pt x="56425" y="3591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17"/>
                                  <a:pt x="0" y="32296"/>
                                  <a:pt x="0" y="28575"/>
                                </a:cubicBezTo>
                                <a:cubicBezTo>
                                  <a:pt x="0" y="24755"/>
                                  <a:pt x="725" y="21084"/>
                                  <a:pt x="2175" y="17611"/>
                                </a:cubicBezTo>
                                <a:cubicBezTo>
                                  <a:pt x="3625" y="1408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868" name="Shape 6868"/>
                        <wps:cNvSpPr/>
                        <wps:spPr>
                          <a:xfrm>
                            <a:off x="209550" y="914400"/>
                            <a:ext cx="57150" cy="57150"/>
                          </a:xfrm>
                          <a:custGeom>
                            <a:avLst/>
                            <a:gdLst/>
                            <a:ahLst/>
                            <a:cxnLst/>
                            <a:rect l="0" t="0" r="0" b="0"/>
                            <a:pathLst>
                              <a:path w="57150" h="57150">
                                <a:moveTo>
                                  <a:pt x="28575" y="0"/>
                                </a:moveTo>
                                <a:cubicBezTo>
                                  <a:pt x="32364" y="0"/>
                                  <a:pt x="36009" y="695"/>
                                  <a:pt x="39510" y="2183"/>
                                </a:cubicBezTo>
                                <a:cubicBezTo>
                                  <a:pt x="43011" y="3621"/>
                                  <a:pt x="46101" y="5655"/>
                                  <a:pt x="48781" y="8334"/>
                                </a:cubicBezTo>
                                <a:cubicBezTo>
                                  <a:pt x="51460" y="10964"/>
                                  <a:pt x="53525" y="14039"/>
                                  <a:pt x="54975" y="1751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67"/>
                                </a:cubicBezTo>
                                <a:cubicBezTo>
                                  <a:pt x="36009" y="56406"/>
                                  <a:pt x="32364" y="57100"/>
                                  <a:pt x="28575" y="57150"/>
                                </a:cubicBezTo>
                                <a:cubicBezTo>
                                  <a:pt x="24786" y="57100"/>
                                  <a:pt x="21141" y="56406"/>
                                  <a:pt x="17640" y="54967"/>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12"/>
                                </a:cubicBezTo>
                                <a:cubicBezTo>
                                  <a:pt x="3625" y="14039"/>
                                  <a:pt x="5690" y="10964"/>
                                  <a:pt x="8369" y="8334"/>
                                </a:cubicBezTo>
                                <a:cubicBezTo>
                                  <a:pt x="11049" y="5655"/>
                                  <a:pt x="14139" y="3621"/>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pic:pic xmlns:pic="http://schemas.openxmlformats.org/drawingml/2006/picture">
                        <pic:nvPicPr>
                          <pic:cNvPr id="6873" name="Picture 6873"/>
                          <pic:cNvPicPr/>
                        </pic:nvPicPr>
                        <pic:blipFill>
                          <a:blip r:embed="rId78"/>
                          <a:stretch>
                            <a:fillRect/>
                          </a:stretch>
                        </pic:blipFill>
                        <pic:spPr>
                          <a:xfrm>
                            <a:off x="0" y="1162050"/>
                            <a:ext cx="5057775" cy="523875"/>
                          </a:xfrm>
                          <a:prstGeom prst="rect">
                            <a:avLst/>
                          </a:prstGeom>
                        </pic:spPr>
                      </pic:pic>
                    </wpg:wgp>
                  </a:graphicData>
                </a:graphic>
              </wp:anchor>
            </w:drawing>
          </mc:Choice>
          <mc:Fallback xmlns:a="http://schemas.openxmlformats.org/drawingml/2006/main">
            <w:pict>
              <v:group id="Group 274243" style="width:398.25pt;height:132.75pt;position:absolute;z-index:-2147483608;mso-position-horizontal-relative:text;mso-position-horizontal:absolute;margin-left:0pt;mso-position-vertical-relative:text;margin-top:-33.2578pt;" coordsize="50577,16859">
                <v:shape id="Shape 6856" style="position:absolute;width:571;height:571;left:2095;top:0;" coordsize="57150,57150" path="m28575,0c32364,0,36009,695,39510,2133c43011,3572,46101,5655,48781,8384c51460,11013,53525,14089,54975,17611c56425,21084,57150,24755,57150,28575c57150,32345,56425,35967,54975,39390c53525,42912,51460,45988,48781,48716c46101,51346,43011,53429,39510,54868c36009,56356,32364,57100,28575,57150c24786,57100,21141,56356,17640,54868c14139,53429,11049,51346,8369,48716c5690,45988,3625,42912,2175,39390c725,35967,0,32345,0,28575c0,24755,725,21084,2175,17562c3625,14089,5690,11013,8369,8384c11049,5655,14139,3572,17640,2133c21141,695,24786,0,28575,0x">
                  <v:stroke weight="0pt" endcap="flat" joinstyle="miter" miterlimit="4" on="false" color="#000000" opacity="0"/>
                  <v:fill on="true" color="#333333"/>
                </v:shape>
                <v:shape id="Shape 6860" style="position:absolute;width:571;height:571;left:2095;top:1524;" coordsize="57150,57150" path="m28575,0c32364,0,36009,695,39510,2133c43011,3572,46101,5606,48781,8334c51460,10964,53525,14089,54975,17562c56425,21084,57150,24755,57150,28575c57150,32345,56425,35967,54975,39390c53525,42912,51460,45988,48781,48716c46101,51346,43011,53429,39510,54868c36009,56356,32364,57100,28575,57150c24786,57100,21141,56356,17640,54868c14139,53429,11049,51346,8369,48716c5690,45988,3625,42912,2175,39390c725,35967,0,32345,0,28575c0,24755,725,21084,2175,17562c3625,14089,5690,10964,8369,8334c11049,5606,14139,3572,17640,2133c21141,695,24786,0,28575,0x">
                  <v:stroke weight="0pt" endcap="flat" joinstyle="miter" miterlimit="4" on="false" color="#000000" opacity="0"/>
                  <v:fill on="true" color="#333333"/>
                </v:shape>
                <v:shape id="Shape 6863" style="position:absolute;width:571;height:571;left:2095;top:4572;" coordsize="57150,57150" path="m28575,0c32364,0,36009,695,39510,2133c43011,3572,46101,5606,48781,8334c51460,10964,53525,1403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39,5690,10964,8369,8334c11049,5606,14139,3572,17640,2133c21141,695,24786,0,28575,0x">
                  <v:stroke weight="0pt" endcap="flat" joinstyle="miter" miterlimit="4" on="false" color="#000000" opacity="0"/>
                  <v:fill on="true" color="#333333"/>
                </v:shape>
                <v:shape id="Shape 6866" style="position:absolute;width:571;height:571;left:2095;top:7620;" coordsize="57150,57150" path="m28575,0c32364,0,36009,695,39510,2183c43011,3621,46101,5655,48781,8334c51460,10964,53525,14089,54975,17611c56425,21084,57150,24755,57150,28575c57150,32296,56425,35917,54975,39439c53525,42962,51460,46038,48781,48766c46101,51395,43011,53479,39510,54918c36009,56356,32364,57100,28575,57150c24786,57100,21141,56356,17640,54918c14139,53479,11049,51395,8369,48766c5690,46038,3625,42962,2175,39439c725,35917,0,32296,0,28575c0,24755,725,21084,2175,17611c3625,14089,5690,10964,8369,8334c11049,5655,14139,3621,17640,2183c21141,695,24786,0,28575,0x">
                  <v:stroke weight="0pt" endcap="flat" joinstyle="miter" miterlimit="4" on="false" color="#000000" opacity="0"/>
                  <v:fill on="true" color="#333333"/>
                </v:shape>
                <v:shape id="Shape 6868" style="position:absolute;width:571;height:571;left:2095;top:9144;" coordsize="57150,57150" path="m28575,0c32364,0,36009,695,39510,2183c43011,3621,46101,5655,48781,8334c51460,10964,53525,14039,54975,17512c56425,21084,57150,24755,57150,28575c57150,32345,56425,35967,54975,39489c53525,42962,51460,46087,48781,48766c46101,51445,43011,53479,39510,54967c36009,56406,32364,57100,28575,57150c24786,57100,21141,56406,17640,54967c14139,53479,11049,51445,8369,48766c5690,46087,3625,42962,2175,39489c725,35967,0,32345,0,28575c0,24755,725,21084,2175,17512c3625,14039,5690,10964,8369,8334c11049,5655,14139,3621,17640,2183c21141,695,24786,0,28575,0x">
                  <v:stroke weight="0pt" endcap="flat" joinstyle="miter" miterlimit="4" on="false" color="#000000" opacity="0"/>
                  <v:fill on="true" color="#333333"/>
                </v:shape>
                <v:shape id="Picture 6873" style="position:absolute;width:50577;height:5238;left:0;top:11620;" filled="f">
                  <v:imagedata r:id="rId79"/>
                </v:shape>
              </v:group>
            </w:pict>
          </mc:Fallback>
        </mc:AlternateContent>
      </w:r>
      <w:r>
        <w:t xml:space="preserve">тахиаритмии: трепетание предсердий (ТП), предсердные тахикардии, АВ-узловая реципрокная тахикардия, ортодромная тахикардия; предсердные ЭС; синдром удлиненного или укороченного интервала </w:t>
      </w:r>
      <w:r>
        <w:rPr>
          <w:i/>
        </w:rPr>
        <w:t>Q–T</w:t>
      </w:r>
      <w:r>
        <w:t>.</w:t>
      </w:r>
    </w:p>
    <w:p w:rsidR="008E3F15" w:rsidRDefault="005F449A">
      <w:pPr>
        <w:ind w:left="2" w:right="998"/>
      </w:pPr>
      <w:r>
        <w:rPr>
          <w:b/>
        </w:rPr>
        <w:t xml:space="preserve">Рис. 4.1. </w:t>
      </w:r>
      <w:r>
        <w:t>Пауза 3568 мс после эпизода фибрилляции предсердий у женщины 71 года с обмороками</w:t>
      </w:r>
    </w:p>
    <w:p w:rsidR="008E3F15" w:rsidRDefault="005F449A">
      <w:pPr>
        <w:spacing w:after="133" w:line="259" w:lineRule="auto"/>
        <w:ind w:right="0"/>
      </w:pPr>
      <w:r>
        <w:rPr>
          <w:i/>
        </w:rPr>
        <w:t>Несердечные заболевания:</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743232"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274244" name="Group 27424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6878" name="Shape 6878"/>
                        <wps:cNvSpPr/>
                        <wps:spPr>
                          <a:xfrm>
                            <a:off x="0" y="0"/>
                            <a:ext cx="57150" cy="57150"/>
                          </a:xfrm>
                          <a:custGeom>
                            <a:avLst/>
                            <a:gdLst/>
                            <a:ahLst/>
                            <a:cxnLst/>
                            <a:rect l="0" t="0" r="0" b="0"/>
                            <a:pathLst>
                              <a:path w="57150" h="57150">
                                <a:moveTo>
                                  <a:pt x="28575" y="0"/>
                                </a:moveTo>
                                <a:cubicBezTo>
                                  <a:pt x="32364" y="0"/>
                                  <a:pt x="36009" y="695"/>
                                  <a:pt x="39510" y="2084"/>
                                </a:cubicBezTo>
                                <a:cubicBezTo>
                                  <a:pt x="43011" y="3522"/>
                                  <a:pt x="46101" y="5606"/>
                                  <a:pt x="48781" y="8334"/>
                                </a:cubicBezTo>
                                <a:cubicBezTo>
                                  <a:pt x="51460" y="10964"/>
                                  <a:pt x="53525" y="14089"/>
                                  <a:pt x="54975" y="17562"/>
                                </a:cubicBezTo>
                                <a:cubicBezTo>
                                  <a:pt x="56425" y="21084"/>
                                  <a:pt x="57150" y="24755"/>
                                  <a:pt x="57150" y="28575"/>
                                </a:cubicBezTo>
                                <a:cubicBezTo>
                                  <a:pt x="57150" y="32345"/>
                                  <a:pt x="56425" y="35967"/>
                                  <a:pt x="54975" y="39489"/>
                                </a:cubicBezTo>
                                <a:cubicBezTo>
                                  <a:pt x="53525" y="42962"/>
                                  <a:pt x="51460" y="46087"/>
                                  <a:pt x="48781" y="48766"/>
                                </a:cubicBezTo>
                                <a:cubicBezTo>
                                  <a:pt x="46101" y="51445"/>
                                  <a:pt x="43011" y="53479"/>
                                  <a:pt x="39510" y="54918"/>
                                </a:cubicBezTo>
                                <a:cubicBezTo>
                                  <a:pt x="36009" y="56356"/>
                                  <a:pt x="32364" y="57100"/>
                                  <a:pt x="28575" y="57150"/>
                                </a:cubicBezTo>
                                <a:cubicBezTo>
                                  <a:pt x="24786" y="57100"/>
                                  <a:pt x="21141" y="56356"/>
                                  <a:pt x="17640" y="54918"/>
                                </a:cubicBezTo>
                                <a:cubicBezTo>
                                  <a:pt x="14139" y="53479"/>
                                  <a:pt x="11049" y="51445"/>
                                  <a:pt x="8369" y="48766"/>
                                </a:cubicBezTo>
                                <a:cubicBezTo>
                                  <a:pt x="5690" y="46087"/>
                                  <a:pt x="3625" y="42962"/>
                                  <a:pt x="2175" y="39489"/>
                                </a:cubicBezTo>
                                <a:cubicBezTo>
                                  <a:pt x="725" y="35967"/>
                                  <a:pt x="0" y="32345"/>
                                  <a:pt x="0" y="28575"/>
                                </a:cubicBezTo>
                                <a:cubicBezTo>
                                  <a:pt x="0" y="24755"/>
                                  <a:pt x="725" y="21084"/>
                                  <a:pt x="2175" y="17562"/>
                                </a:cubicBezTo>
                                <a:cubicBezTo>
                                  <a:pt x="3625" y="14089"/>
                                  <a:pt x="5690" y="10964"/>
                                  <a:pt x="8369" y="8334"/>
                                </a:cubicBezTo>
                                <a:cubicBezTo>
                                  <a:pt x="11049" y="5606"/>
                                  <a:pt x="14139" y="352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881" name="Shape 6881"/>
                        <wps:cNvSpPr/>
                        <wps:spPr>
                          <a:xfrm>
                            <a:off x="0" y="3048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8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89"/>
                                  <a:pt x="5690" y="10964"/>
                                  <a:pt x="8369" y="8285"/>
                                </a:cubicBezTo>
                                <a:cubicBezTo>
                                  <a:pt x="11049" y="5606"/>
                                  <a:pt x="14139" y="352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883" name="Shape 6883"/>
                        <wps:cNvSpPr/>
                        <wps:spPr>
                          <a:xfrm>
                            <a:off x="0" y="457200"/>
                            <a:ext cx="57150" cy="57150"/>
                          </a:xfrm>
                          <a:custGeom>
                            <a:avLst/>
                            <a:gdLst/>
                            <a:ahLst/>
                            <a:cxnLst/>
                            <a:rect l="0" t="0" r="0" b="0"/>
                            <a:pathLst>
                              <a:path w="57150" h="57150">
                                <a:moveTo>
                                  <a:pt x="28575" y="0"/>
                                </a:moveTo>
                                <a:cubicBezTo>
                                  <a:pt x="32364" y="0"/>
                                  <a:pt x="36009" y="695"/>
                                  <a:pt x="39510" y="2133"/>
                                </a:cubicBezTo>
                                <a:cubicBezTo>
                                  <a:pt x="43011" y="3522"/>
                                  <a:pt x="46101" y="5606"/>
                                  <a:pt x="48781" y="8285"/>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69" y="8285"/>
                                </a:cubicBezTo>
                                <a:cubicBezTo>
                                  <a:pt x="11049" y="5606"/>
                                  <a:pt x="14139" y="352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6885" name="Shape 6885"/>
                        <wps:cNvSpPr/>
                        <wps:spPr>
                          <a:xfrm>
                            <a:off x="0" y="609600"/>
                            <a:ext cx="57150" cy="57150"/>
                          </a:xfrm>
                          <a:custGeom>
                            <a:avLst/>
                            <a:gdLst/>
                            <a:ahLst/>
                            <a:cxnLst/>
                            <a:rect l="0" t="0" r="0" b="0"/>
                            <a:pathLst>
                              <a:path w="57150" h="57150">
                                <a:moveTo>
                                  <a:pt x="28575" y="0"/>
                                </a:moveTo>
                                <a:cubicBezTo>
                                  <a:pt x="32364" y="0"/>
                                  <a:pt x="36009" y="695"/>
                                  <a:pt x="39510" y="2133"/>
                                </a:cubicBezTo>
                                <a:cubicBezTo>
                                  <a:pt x="43011" y="3572"/>
                                  <a:pt x="46101" y="5606"/>
                                  <a:pt x="48781" y="8334"/>
                                </a:cubicBezTo>
                                <a:cubicBezTo>
                                  <a:pt x="51460" y="10964"/>
                                  <a:pt x="53525" y="14039"/>
                                  <a:pt x="54975" y="17562"/>
                                </a:cubicBezTo>
                                <a:cubicBezTo>
                                  <a:pt x="56425" y="21084"/>
                                  <a:pt x="57150" y="24755"/>
                                  <a:pt x="57150" y="28575"/>
                                </a:cubicBezTo>
                                <a:cubicBezTo>
                                  <a:pt x="57150" y="32345"/>
                                  <a:pt x="56425" y="35967"/>
                                  <a:pt x="54975" y="39439"/>
                                </a:cubicBezTo>
                                <a:cubicBezTo>
                                  <a:pt x="53525" y="42962"/>
                                  <a:pt x="51460" y="46038"/>
                                  <a:pt x="48781" y="48766"/>
                                </a:cubicBezTo>
                                <a:cubicBezTo>
                                  <a:pt x="46101" y="51395"/>
                                  <a:pt x="43011" y="53479"/>
                                  <a:pt x="39510" y="54918"/>
                                </a:cubicBezTo>
                                <a:cubicBezTo>
                                  <a:pt x="36009" y="56356"/>
                                  <a:pt x="32364" y="57100"/>
                                  <a:pt x="28575" y="57150"/>
                                </a:cubicBezTo>
                                <a:cubicBezTo>
                                  <a:pt x="24786" y="57100"/>
                                  <a:pt x="21141" y="56356"/>
                                  <a:pt x="17640" y="54918"/>
                                </a:cubicBezTo>
                                <a:cubicBezTo>
                                  <a:pt x="14139" y="53479"/>
                                  <a:pt x="11049" y="51395"/>
                                  <a:pt x="8369" y="48766"/>
                                </a:cubicBezTo>
                                <a:cubicBezTo>
                                  <a:pt x="5690" y="46038"/>
                                  <a:pt x="3625" y="42962"/>
                                  <a:pt x="2175" y="39439"/>
                                </a:cubicBezTo>
                                <a:cubicBezTo>
                                  <a:pt x="725" y="35967"/>
                                  <a:pt x="0" y="32345"/>
                                  <a:pt x="0" y="28575"/>
                                </a:cubicBezTo>
                                <a:cubicBezTo>
                                  <a:pt x="0" y="24755"/>
                                  <a:pt x="725" y="21084"/>
                                  <a:pt x="2175" y="17562"/>
                                </a:cubicBezTo>
                                <a:cubicBezTo>
                                  <a:pt x="3625" y="14039"/>
                                  <a:pt x="5690" y="10964"/>
                                  <a:pt x="8369" y="8334"/>
                                </a:cubicBezTo>
                                <a:cubicBezTo>
                                  <a:pt x="11049" y="5606"/>
                                  <a:pt x="14139" y="3572"/>
                                  <a:pt x="17640" y="213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244" style="width:4.5pt;height:52.5pt;position:absolute;mso-position-horizontal-relative:text;mso-position-horizontal:absolute;margin-left:16.5pt;mso-position-vertical-relative:text;margin-top:2.74219pt;" coordsize="571,6667">
                <v:shape id="Shape 6878" style="position:absolute;width:571;height:571;left:0;top:0;" coordsize="57150,57150" path="m28575,0c32364,0,36009,695,39510,2084c43011,3522,46101,5606,48781,8334c51460,10964,53525,14089,54975,17562c56425,21084,57150,24755,57150,28575c57150,32345,56425,35967,54975,39489c53525,42962,51460,46087,48781,48766c46101,51445,43011,53479,39510,54918c36009,56356,32364,57100,28575,57150c24786,57100,21141,56356,17640,54918c14139,53479,11049,51445,8369,48766c5690,46087,3625,42962,2175,39489c725,35967,0,32345,0,28575c0,24755,725,21084,2175,17562c3625,14089,5690,10964,8369,8334c11049,5606,14139,3522,17640,2084c21141,695,24786,0,28575,0x">
                  <v:stroke weight="0pt" endcap="flat" joinstyle="miter" miterlimit="10" on="false" color="#000000" opacity="0"/>
                  <v:fill on="true" color="#333333"/>
                </v:shape>
                <v:shape id="Shape 6881" style="position:absolute;width:571;height:571;left:0;top:3048;" coordsize="57150,57150" path="m28575,0c32364,0,36009,695,39510,2133c43011,3522,46101,5606,48781,8285c51460,10964,53525,1408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89,5690,10964,8369,8285c11049,5606,14139,3522,17640,2133c21141,695,24786,0,28575,0x">
                  <v:stroke weight="0pt" endcap="flat" joinstyle="miter" miterlimit="10" on="false" color="#000000" opacity="0"/>
                  <v:fill on="true" color="#333333"/>
                </v:shape>
                <v:shape id="Shape 6883" style="position:absolute;width:571;height:571;left:0;top:4572;" coordsize="57150,57150" path="m28575,0c32364,0,36009,695,39510,2133c43011,3522,46101,5606,48781,8285c51460,10964,53525,1403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39,5690,10964,8369,8285c11049,5606,14139,3522,17640,2133c21141,695,24786,0,28575,0x">
                  <v:stroke weight="0pt" endcap="flat" joinstyle="miter" miterlimit="10" on="false" color="#000000" opacity="0"/>
                  <v:fill on="true" color="#333333"/>
                </v:shape>
                <v:shape id="Shape 6885" style="position:absolute;width:571;height:571;left:0;top:6096;" coordsize="57150,57150" path="m28575,0c32364,0,36009,695,39510,2133c43011,3572,46101,5606,48781,8334c51460,10964,53525,14039,54975,17562c56425,21084,57150,24755,57150,28575c57150,32345,56425,35967,54975,39439c53525,42962,51460,46038,48781,48766c46101,51395,43011,53479,39510,54918c36009,56356,32364,57100,28575,57150c24786,57100,21141,56356,17640,54918c14139,53479,11049,51395,8369,48766c5690,46038,3625,42962,2175,39439c725,35967,0,32345,0,28575c0,24755,725,21084,2175,17562c3625,14039,5690,10964,8369,8334c11049,5606,14139,3572,17640,2133c21141,695,24786,0,28575,0x">
                  <v:stroke weight="0pt" endcap="flat" joinstyle="miter" miterlimit="10" on="false" color="#000000" opacity="0"/>
                  <v:fill on="true" color="#333333"/>
                </v:shape>
                <w10:wrap type="square"/>
              </v:group>
            </w:pict>
          </mc:Fallback>
        </mc:AlternateContent>
      </w:r>
      <w:r>
        <w:t>гипертиреоз, феохромоцитома, СД, хроническая обструктивная болезнь легких, обструктивное апноэ сна (ОАС), ХБП и т.д.;</w:t>
      </w:r>
    </w:p>
    <w:p w:rsidR="008E3F15" w:rsidRDefault="005F449A">
      <w:pPr>
        <w:spacing w:after="359"/>
        <w:ind w:left="340" w:right="789"/>
      </w:pPr>
      <w:r>
        <w:t>метаболические нарушения (гипо</w:t>
      </w:r>
      <w:r>
        <w:t>калиемия, гипоксия, алкогольная интоксикация); субарахноидальное кровоизлияние, ишемический обширный инсульт; лекарства (бифосфонаты, НПВП, ивабрадин, симпатомиметики, теофиллин).</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ind w:left="2" w:right="15"/>
      </w:pPr>
      <w:r>
        <w:t>ФП характеризуется прогре</w:t>
      </w:r>
      <w:r>
        <w:t>ссирующим течением с постепенным учащением и увеличением продолжительности приступов, вплоть до формирования постоянной аритмии. Выделяют пароксизмальную, персистирующую, длительно персистирующую и постоянную ФП</w:t>
      </w:r>
    </w:p>
    <w:p w:rsidR="008E3F15" w:rsidRDefault="005F449A">
      <w:pPr>
        <w:spacing w:after="0" w:line="259" w:lineRule="auto"/>
        <w:ind w:left="2" w:right="0"/>
      </w:pPr>
      <w:r>
        <w:t>(</w:t>
      </w:r>
      <w:r>
        <w:rPr>
          <w:b/>
        </w:rPr>
        <w:t>табл. 4.1</w:t>
      </w:r>
      <w:r>
        <w:t>).</w:t>
      </w:r>
    </w:p>
    <w:p w:rsidR="008E3F15" w:rsidRDefault="005F449A">
      <w:pPr>
        <w:spacing w:after="31"/>
        <w:ind w:left="2" w:right="15"/>
      </w:pPr>
      <w:r>
        <w:rPr>
          <w:b/>
        </w:rPr>
        <w:t xml:space="preserve">Таблица 4.1. </w:t>
      </w:r>
      <w:r>
        <w:t>Классификация фибр</w:t>
      </w:r>
      <w:r>
        <w:t>илляции и трепетания предсердий по Между народной классификации болезней 10-го пересмотра</w:t>
      </w:r>
    </w:p>
    <w:tbl>
      <w:tblPr>
        <w:tblStyle w:val="TableGrid"/>
        <w:tblW w:w="4605" w:type="dxa"/>
        <w:tblInd w:w="30" w:type="dxa"/>
        <w:tblCellMar>
          <w:top w:w="80" w:type="dxa"/>
          <w:left w:w="39" w:type="dxa"/>
          <w:bottom w:w="0" w:type="dxa"/>
          <w:right w:w="51" w:type="dxa"/>
        </w:tblCellMar>
        <w:tblLook w:val="04A0" w:firstRow="1" w:lastRow="0" w:firstColumn="1" w:lastColumn="0" w:noHBand="0" w:noVBand="1"/>
      </w:tblPr>
      <w:tblGrid>
        <w:gridCol w:w="3090"/>
        <w:gridCol w:w="1515"/>
      </w:tblGrid>
      <w:tr w:rsidR="008E3F15">
        <w:trPr>
          <w:trHeight w:val="330"/>
        </w:trPr>
        <w:tc>
          <w:tcPr>
            <w:tcW w:w="30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rPr>
                <w:b/>
              </w:rPr>
              <w:t>Форма тахиаритмии</w:t>
            </w:r>
          </w:p>
        </w:tc>
        <w:tc>
          <w:tcPr>
            <w:tcW w:w="15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Код МКБ-10</w:t>
            </w:r>
          </w:p>
        </w:tc>
      </w:tr>
      <w:tr w:rsidR="008E3F15">
        <w:trPr>
          <w:trHeight w:val="330"/>
        </w:trPr>
        <w:tc>
          <w:tcPr>
            <w:tcW w:w="30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Пароксизмальная ФП</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I48.0</w:t>
            </w:r>
          </w:p>
        </w:tc>
      </w:tr>
      <w:tr w:rsidR="008E3F15">
        <w:trPr>
          <w:trHeight w:val="330"/>
        </w:trPr>
        <w:tc>
          <w:tcPr>
            <w:tcW w:w="30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Персистирующая ФП</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I48.1</w:t>
            </w:r>
          </w:p>
        </w:tc>
      </w:tr>
      <w:tr w:rsidR="008E3F15">
        <w:trPr>
          <w:trHeight w:val="330"/>
        </w:trPr>
        <w:tc>
          <w:tcPr>
            <w:tcW w:w="30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Хроническая ФП</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I48.2</w:t>
            </w:r>
          </w:p>
        </w:tc>
      </w:tr>
      <w:tr w:rsidR="008E3F15">
        <w:trPr>
          <w:trHeight w:val="330"/>
        </w:trPr>
        <w:tc>
          <w:tcPr>
            <w:tcW w:w="30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Типичное ТП</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I48.3</w:t>
            </w:r>
          </w:p>
        </w:tc>
      </w:tr>
      <w:tr w:rsidR="008E3F15">
        <w:trPr>
          <w:trHeight w:val="330"/>
        </w:trPr>
        <w:tc>
          <w:tcPr>
            <w:tcW w:w="309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Атипичное ТП</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I48.4</w:t>
            </w:r>
          </w:p>
        </w:tc>
      </w:tr>
      <w:tr w:rsidR="008E3F15">
        <w:trPr>
          <w:trHeight w:val="330"/>
        </w:trPr>
        <w:tc>
          <w:tcPr>
            <w:tcW w:w="3090" w:type="dxa"/>
            <w:tcBorders>
              <w:top w:val="single" w:sz="6" w:space="0" w:color="000000"/>
              <w:left w:val="single" w:sz="6" w:space="0" w:color="000000"/>
              <w:bottom w:val="single" w:sz="6" w:space="0" w:color="000000"/>
              <w:right w:val="nil"/>
            </w:tcBorders>
          </w:tcPr>
          <w:p w:rsidR="008E3F15" w:rsidRDefault="005F449A">
            <w:pPr>
              <w:spacing w:after="0" w:line="259" w:lineRule="auto"/>
              <w:ind w:left="6" w:right="0" w:firstLine="0"/>
              <w:jc w:val="both"/>
            </w:pPr>
            <w:r>
              <w:rPr>
                <w:bdr w:val="single" w:sz="12" w:space="0" w:color="000000"/>
              </w:rPr>
              <w:t>Неспецифические ФП и ТП</w:t>
            </w:r>
          </w:p>
        </w:tc>
        <w:tc>
          <w:tcPr>
            <w:tcW w:w="151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I48.9</w:t>
            </w:r>
          </w:p>
        </w:tc>
      </w:tr>
    </w:tbl>
    <w:p w:rsidR="008E3F15" w:rsidRDefault="005F449A">
      <w:pPr>
        <w:ind w:left="2" w:right="15"/>
      </w:pPr>
      <w:r>
        <w:t>ФП может за несколько лет предшествовать первой регистрации аритмии. Пароксизмальная форма характеризуется восстановлением синусового ритма спонтанным или после электроимпульсной терапии в период до 7 дней.</w:t>
      </w:r>
    </w:p>
    <w:p w:rsidR="008E3F15" w:rsidRDefault="005F449A">
      <w:pPr>
        <w:ind w:left="2" w:right="15"/>
      </w:pPr>
      <w:r>
        <w:t>Если ФП сохраняется более 7 сут, ФП называют персистирующей. Длительно персистирующая ФП сохраняется более 1 года. Если у пациента встречаются как пароксизмальные, так и персистирующие эпизоды ФП, то диагноз определяется по наиболее частому проявлению.</w:t>
      </w:r>
    </w:p>
    <w:p w:rsidR="008E3F15" w:rsidRDefault="005F449A">
      <w:pPr>
        <w:spacing w:after="31"/>
        <w:ind w:left="2" w:right="15"/>
      </w:pPr>
      <w:r>
        <w:t>Чем</w:t>
      </w:r>
      <w:r>
        <w:t xml:space="preserve"> больше нагрузка (длительность) ФП, тем выше риск тромбоэмболий.</w:t>
      </w:r>
    </w:p>
    <w:p w:rsidR="008E3F15" w:rsidRDefault="005F449A">
      <w:pPr>
        <w:ind w:left="2" w:right="15"/>
      </w:pPr>
      <w:r>
        <w:t>Диагноз постоянной ФП устанавливается при длительном течении аритмии и решении пациента и врача не восстанавливать синусовый ритм.</w:t>
      </w:r>
    </w:p>
    <w:p w:rsidR="008E3F15" w:rsidRDefault="005F449A">
      <w:pPr>
        <w:spacing w:after="31"/>
        <w:ind w:left="2" w:right="15"/>
      </w:pPr>
      <w:r>
        <w:t>Для описания симптомов аритмии предложена следующая классифи</w:t>
      </w:r>
      <w:r>
        <w:t>кация EHRA:</w:t>
      </w:r>
    </w:p>
    <w:p w:rsidR="008E3F15" w:rsidRDefault="005F449A">
      <w:pPr>
        <w:tabs>
          <w:tab w:val="center" w:pos="3086"/>
          <w:tab w:val="center" w:pos="4117"/>
          <w:tab w:val="center" w:pos="5894"/>
          <w:tab w:val="center" w:pos="7465"/>
        </w:tabs>
        <w:spacing w:after="31"/>
        <w:ind w:left="-8" w:right="0" w:firstLine="0"/>
      </w:pPr>
      <w:r>
        <w:t>Д</w:t>
      </w:r>
      <w:r>
        <w:tab/>
        <w:t>р</w:t>
      </w:r>
      <w:r>
        <w:tab/>
        <w:t>р</w:t>
      </w:r>
      <w:r>
        <w:tab/>
        <w:t>у</w:t>
      </w:r>
      <w:r>
        <w:tab/>
        <w:t>ф</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44256" behindDoc="0" locked="0" layoutInCell="1" allowOverlap="1">
                <wp:simplePos x="0" y="0"/>
                <wp:positionH relativeFrom="column">
                  <wp:posOffset>209550</wp:posOffset>
                </wp:positionH>
                <wp:positionV relativeFrom="paragraph">
                  <wp:posOffset>34775</wp:posOffset>
                </wp:positionV>
                <wp:extent cx="57150" cy="666750"/>
                <wp:effectExtent l="0" t="0" r="0" b="0"/>
                <wp:wrapSquare wrapText="bothSides"/>
                <wp:docPr id="274544" name="Group 27454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6958" name="Shape 6958"/>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960" name="Shape 6960"/>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962" name="Shape 6962"/>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964" name="Shape 6964"/>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6966" name="Shape 6966"/>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544" style="width:4.5pt;height:52.5pt;position:absolute;mso-position-horizontal-relative:text;mso-position-horizontal:absolute;margin-left:16.5pt;mso-position-vertical-relative:text;margin-top:2.73822pt;" coordsize="571,6667">
                <v:shape id="Shape 6958" style="position:absolute;width:571;height:571;left:0;top:0;" coordsize="57150,57150" path="m28575,0c32364,0,36009,645,39510,2084c43011,3473,46101,5556,48781,8334c51460,11013,53525,14039,54975,17562c56425,21034,57150,24755,57150,28575c57150,32296,56425,35868,54975,39340c53525,42863,51460,45988,48781,48716c46101,51346,43011,53429,39510,54818c36009,56307,32364,57051,28575,57150c24786,57051,21141,56307,17640,54818c14139,53429,11049,51346,8369,48716c5690,45988,3625,42863,2175,39340c725,35868,0,32296,0,28575c0,24755,725,21034,2175,17562c3625,14039,5690,11013,8369,8334c11049,5556,14139,3473,17640,2084c21141,645,24786,0,28575,0x">
                  <v:stroke weight="0pt" endcap="flat" joinstyle="miter" miterlimit="4" on="false" color="#000000" opacity="0"/>
                  <v:fill on="true" color="#333333"/>
                </v:shape>
                <v:shape id="Shape 6960" style="position:absolute;width:571;height:571;left:0;top:1524;" coordsize="57150,57150" path="m28575,0c32364,0,36009,645,39510,2084c43011,3473,46101,5556,48781,8334c51460,11013,53525,14039,54975,17562c56425,21034,57150,24755,57150,28575c57150,32296,56425,35868,54975,39340c53525,42863,51460,45988,48781,48716c46101,51346,43011,53429,39510,54818c36009,56307,32364,57051,28575,57150c24786,57051,21141,56307,17640,54818c14139,53429,11049,51346,8369,48716c5690,45988,3625,42863,2175,39340c725,35868,0,32296,0,28575c0,24755,725,21034,2175,17562c3625,14039,5690,11013,8369,8334c11049,5556,14139,3473,17640,2084c21141,645,24786,0,28575,0x">
                  <v:stroke weight="0pt" endcap="flat" joinstyle="miter" miterlimit="4" on="false" color="#000000" opacity="0"/>
                  <v:fill on="true" color="#333333"/>
                </v:shape>
                <v:shape id="Shape 6962" style="position:absolute;width:571;height:571;left:0;top:3048;" coordsize="57150,57150" path="m28575,0c32364,0,36009,645,39510,2084c43011,3473,46101,5556,48781,8334c51460,10914,53525,14039,54975,17562c56425,21034,57150,24755,57150,28575c57150,32296,56425,35868,54975,39340c53525,42863,51460,45988,48781,48716c46101,51346,43011,53429,39510,54818c36009,56307,32364,57051,28575,57150c24786,57051,21141,56307,17640,54818c14139,53429,11049,51346,8369,48716c5690,45988,3625,42863,2175,39340c725,35868,0,32296,0,28575c0,24755,725,21034,2175,17562c3625,14039,5690,10914,8369,8334c11049,5556,14139,3473,17640,2084c21141,645,24786,0,28575,0x">
                  <v:stroke weight="0pt" endcap="flat" joinstyle="miter" miterlimit="4" on="false" color="#000000" opacity="0"/>
                  <v:fill on="true" color="#333333"/>
                </v:shape>
                <v:shape id="Shape 6964" style="position:absolute;width:571;height:571;left:0;top:4572;" coordsize="57150,57150" path="m28575,0c32364,0,36009,645,39510,2084c43011,3473,46101,5556,48781,8334c51460,10914,53525,14039,54975,17562c56425,21034,57150,24755,57150,28575c57150,32345,56425,35917,54975,39439c53525,42912,51460,45988,48781,48716c46101,51395,43011,53479,39510,54918c36009,56307,32364,57051,28575,57150c24786,57051,21141,56307,17640,54918c14139,53479,11049,51395,8369,48716c5690,45988,3625,42912,2175,39439c725,35917,0,32345,0,28575c0,24755,725,21034,2175,17562c3625,14039,5690,10914,8369,8334c11049,5556,14139,3473,17640,2084c21141,645,24786,0,28575,0x">
                  <v:stroke weight="0pt" endcap="flat" joinstyle="miter" miterlimit="4" on="false" color="#000000" opacity="0"/>
                  <v:fill on="true" color="#333333"/>
                </v:shape>
                <v:shape id="Shape 6966" style="position:absolute;width:571;height:571;left:0;top:6096;" coordsize="57150,57150" path="m28575,0c32364,0,36009,645,39510,2084c43011,3473,46101,5556,48781,8334c51460,10914,53525,14039,54975,17562c56425,21034,57150,24755,57150,28575c57150,32345,56425,35917,54975,39439c53525,42912,51460,46038,48781,48716c46101,51346,43011,53429,39510,54918c36009,56307,32364,57051,28575,57150c24786,57051,21141,56307,17640,54918c14139,53429,11049,51346,8369,48716c5690,46038,3625,42912,2175,39439c725,35917,0,32345,0,28575c0,24755,725,21034,2175,17562c3625,14039,5690,10914,8369,8334c11049,5556,14139,3473,17640,2084c21141,645,24786,0,28575,0x">
                  <v:stroke weight="0pt" endcap="flat" joinstyle="miter" miterlimit="4" on="false" color="#000000" opacity="0"/>
                  <v:fill on="true" color="#333333"/>
                </v:shape>
                <w10:wrap type="square"/>
              </v:group>
            </w:pict>
          </mc:Fallback>
        </mc:AlternateContent>
      </w:r>
      <w:r>
        <w:t>1-й класс — нет симптомов;</w:t>
      </w:r>
    </w:p>
    <w:p w:rsidR="008E3F15" w:rsidRDefault="005F449A">
      <w:pPr>
        <w:spacing w:after="31"/>
        <w:ind w:left="340" w:right="15"/>
      </w:pPr>
      <w:r>
        <w:t>2а класс — повседневная активность не ограничена симптомами;</w:t>
      </w:r>
    </w:p>
    <w:p w:rsidR="008E3F15" w:rsidRDefault="005F449A">
      <w:pPr>
        <w:spacing w:after="179"/>
        <w:ind w:left="340" w:right="184"/>
      </w:pPr>
      <w:r>
        <w:t>2b класс — повседневная активность не ограничена, но симптомы беспокоят пациента; 3-й класс — повседневная активность ограничена симптомами ФП; 4</w:t>
      </w:r>
      <w:r>
        <w:t>-й класс — повседневная активность невозможна.</w:t>
      </w:r>
    </w:p>
    <w:p w:rsidR="008E3F15" w:rsidRDefault="005F449A">
      <w:pPr>
        <w:spacing w:after="31"/>
        <w:ind w:left="2" w:right="15"/>
      </w:pPr>
      <w:r>
        <w:t xml:space="preserve">Примеры оформления диагноза ФП представлены в </w:t>
      </w:r>
      <w:r>
        <w:rPr>
          <w:b/>
        </w:rPr>
        <w:t>табл. 4.2</w:t>
      </w:r>
      <w:r>
        <w:t>.</w:t>
      </w:r>
    </w:p>
    <w:p w:rsidR="008E3F15" w:rsidRDefault="005F449A">
      <w:pPr>
        <w:spacing w:after="31"/>
        <w:ind w:left="2" w:right="15"/>
      </w:pPr>
      <w:r>
        <w:rPr>
          <w:b/>
        </w:rPr>
        <w:t xml:space="preserve">Таблица 4.2. </w:t>
      </w:r>
      <w:r>
        <w:t>Примеры оформления диагноза</w:t>
      </w:r>
    </w:p>
    <w:tbl>
      <w:tblPr>
        <w:tblStyle w:val="TableGrid"/>
        <w:tblW w:w="10485" w:type="dxa"/>
        <w:tblInd w:w="30" w:type="dxa"/>
        <w:tblCellMar>
          <w:top w:w="80" w:type="dxa"/>
          <w:left w:w="39" w:type="dxa"/>
          <w:bottom w:w="15" w:type="dxa"/>
          <w:right w:w="66" w:type="dxa"/>
        </w:tblCellMar>
        <w:tblLook w:val="04A0" w:firstRow="1" w:lastRow="0" w:firstColumn="1" w:lastColumn="0" w:noHBand="0" w:noVBand="1"/>
      </w:tblPr>
      <w:tblGrid>
        <w:gridCol w:w="9300"/>
        <w:gridCol w:w="1185"/>
      </w:tblGrid>
      <w:tr w:rsidR="008E3F15">
        <w:trPr>
          <w:trHeight w:val="570"/>
        </w:trPr>
        <w:tc>
          <w:tcPr>
            <w:tcW w:w="93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Диагноз</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Гипертоническая болезнь. Фибрилляция предсердий (01.08.2023, 6:50)</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Фибрилляция предсердий пароксизмальная, EHRA 2а</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I48.0</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Фибрилляция предсердий длительно персистирующая, сердечная недостаточность NYHA II</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I48.1</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Фибрилляция предсердий персистирующая, транзиторные ишемические атаки (2019, 2020). Катетерная абляция устьев легочных вен (2010, 2018)</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I48.1</w:t>
            </w:r>
          </w:p>
        </w:tc>
      </w:tr>
      <w:tr w:rsidR="008E3F15">
        <w:trPr>
          <w:trHeight w:val="81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Инфаркт мио карда (2018), стенокардия II ФК, синдром слабости синусового узла: брадикардия 20–40 в мин, синусовые</w:t>
            </w:r>
            <w:r>
              <w:t xml:space="preserve"> паузы 3–6 с, синкопе, фибрилляция предсердий персистирующая</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I25.2</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Вирусный мио кардит, фибрилляция предсердий с атриовентрикулярной блокадой 2 степени, сердечная недостаточность NYHA II</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I40.0</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Синдром Вольфа–Паркинсона–Уайта: фибрилляция предсердий пароксизмальная с ЧСС до 280 в мин и обмороками</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I45.6</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Трепетание предсердий пароксизмальное типичное с проведением 1–3:1, пресинкопе</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I48.3</w:t>
            </w:r>
          </w:p>
        </w:tc>
      </w:tr>
      <w:tr w:rsidR="008E3F15">
        <w:trPr>
          <w:trHeight w:val="630"/>
        </w:trPr>
        <w:tc>
          <w:tcPr>
            <w:tcW w:w="93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Ревматический митральный стеноз, тяжелый (S 7 мм</w:t>
            </w:r>
            <w:r>
              <w:rPr>
                <w:sz w:val="31"/>
                <w:vertAlign w:val="superscript"/>
              </w:rPr>
              <w:t>2</w:t>
            </w:r>
            <w:r>
              <w:t>), трепета</w:t>
            </w:r>
            <w:r>
              <w:t xml:space="preserve">ние предсердий постоянное, кардиоэмболический инсульт (22.08.2023), ХСН NYHA III </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І05.0</w:t>
            </w:r>
          </w:p>
        </w:tc>
      </w:tr>
    </w:tbl>
    <w:p w:rsidR="008E3F15" w:rsidRDefault="005F449A">
      <w:pPr>
        <w:pStyle w:val="Heading1"/>
        <w:ind w:left="2"/>
      </w:pPr>
      <w:r>
        <w:t>Часть I. Сердечно-сосудистые болезни</w:t>
      </w:r>
    </w:p>
    <w:p w:rsidR="008E3F15" w:rsidRDefault="005F449A">
      <w:pPr>
        <w:spacing w:after="179"/>
        <w:ind w:left="2" w:right="6668"/>
      </w:pPr>
      <w:r>
        <w:t xml:space="preserve">Догоспитальный этап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45280"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274545" name="Group 27454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7007" name="Shape 7007"/>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09" name="Shape 7009"/>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11" name="Shape 7011"/>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545" style="width:4.5pt;height:28.5pt;position:absolute;mso-position-horizontal-relative:text;mso-position-horizontal:absolute;margin-left:16.5pt;mso-position-vertical-relative:text;margin-top:2.74219pt;" coordsize="571,3619">
                <v:shape id="Shape 7007" style="position:absolute;width:571;height:571;left:0;top:0;" coordsize="57150,57150" path="m28575,0c32364,0,36009,744,39510,2133c43011,3572,46101,5655,48781,8334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334c11049,5655,14139,3572,17640,2133c21141,744,24786,0,28575,0x">
                  <v:stroke weight="0pt" endcap="flat" joinstyle="miter" miterlimit="4" on="false" color="#000000" opacity="0"/>
                  <v:fill on="true" color="#333333"/>
                </v:shape>
                <v:shape id="Shape 7009" style="position:absolute;width:571;height:571;left:0;top:1524;"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4" on="false" color="#000000" opacity="0"/>
                  <v:fill on="true" color="#333333"/>
                </v:shape>
                <v:shape id="Shape 7011" style="position:absolute;width:571;height:571;left:0;top:3048;"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4" on="false" color="#000000" opacity="0"/>
                  <v:fill on="true" color="#333333"/>
                </v:shape>
                <w10:wrap type="square"/>
              </v:group>
            </w:pict>
          </mc:Fallback>
        </mc:AlternateContent>
      </w:r>
      <w:r>
        <w:t>Время возникновения ФП.</w:t>
      </w:r>
    </w:p>
    <w:p w:rsidR="008E3F15" w:rsidRDefault="005F449A">
      <w:pPr>
        <w:spacing w:after="179"/>
        <w:ind w:left="340" w:right="7022"/>
      </w:pPr>
      <w:r>
        <w:t>ЭКГ во время аритмии. АД, ЧСС.</w:t>
      </w:r>
    </w:p>
    <w:p w:rsidR="008E3F15" w:rsidRDefault="005F449A">
      <w:pPr>
        <w:pStyle w:val="Heading2"/>
        <w:ind w:left="2"/>
      </w:pPr>
      <w:r>
        <w:t>Лечение</w:t>
      </w:r>
    </w:p>
    <w:p w:rsidR="008E3F15" w:rsidRDefault="005F449A">
      <w:pPr>
        <w:spacing w:after="179"/>
        <w:ind w:left="340" w:right="2779"/>
      </w:pPr>
      <w:r>
        <w:rPr>
          <w:rFonts w:ascii="Calibri" w:eastAsia="Calibri" w:hAnsi="Calibri" w:cs="Calibri"/>
          <w:noProof/>
          <w:color w:val="000000"/>
          <w:sz w:val="22"/>
        </w:rPr>
        <mc:AlternateContent>
          <mc:Choice Requires="wpg">
            <w:drawing>
              <wp:anchor distT="0" distB="0" distL="114300" distR="114300" simplePos="0" relativeHeight="251746304" behindDoc="0" locked="0" layoutInCell="1" allowOverlap="1">
                <wp:simplePos x="0" y="0"/>
                <wp:positionH relativeFrom="column">
                  <wp:posOffset>209550</wp:posOffset>
                </wp:positionH>
                <wp:positionV relativeFrom="paragraph">
                  <wp:posOffset>34826</wp:posOffset>
                </wp:positionV>
                <wp:extent cx="57150" cy="209550"/>
                <wp:effectExtent l="0" t="0" r="0" b="0"/>
                <wp:wrapSquare wrapText="bothSides"/>
                <wp:docPr id="274546" name="Group 274546"/>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7014" name="Shape 7014"/>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016" name="Shape 7016"/>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4039"/>
                                  <a:pt x="54975" y="17562"/>
                                </a:cubicBezTo>
                                <a:cubicBezTo>
                                  <a:pt x="56425" y="21034"/>
                                  <a:pt x="57150" y="24755"/>
                                  <a:pt x="57150" y="28575"/>
                                </a:cubicBezTo>
                                <a:cubicBezTo>
                                  <a:pt x="57150" y="32345"/>
                                  <a:pt x="56425" y="36016"/>
                                  <a:pt x="54975" y="39489"/>
                                </a:cubicBezTo>
                                <a:cubicBezTo>
                                  <a:pt x="53525" y="42912"/>
                                  <a:pt x="51460" y="45988"/>
                                  <a:pt x="48781" y="48716"/>
                                </a:cubicBezTo>
                                <a:cubicBezTo>
                                  <a:pt x="46101" y="51346"/>
                                  <a:pt x="43011" y="53429"/>
                                  <a:pt x="39510" y="54918"/>
                                </a:cubicBezTo>
                                <a:cubicBezTo>
                                  <a:pt x="36009" y="56406"/>
                                  <a:pt x="32364" y="57150"/>
                                  <a:pt x="28575" y="57150"/>
                                </a:cubicBezTo>
                                <a:cubicBezTo>
                                  <a:pt x="24786" y="57150"/>
                                  <a:pt x="21141" y="56406"/>
                                  <a:pt x="17640" y="54967"/>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4546" style="width:4.5pt;height:16.5pt;position:absolute;mso-position-horizontal-relative:text;mso-position-horizontal:absolute;margin-left:16.5pt;mso-position-vertical-relative:text;margin-top:2.74219pt;" coordsize="571,2095">
                <v:shape id="Shape 7014" style="position:absolute;width:571;height:571;left:0;top:0;" coordsize="57150,57150" path="m28575,0c32364,0,36009,744,39510,2133c43011,3572,46101,5655,48781,8334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334c11049,5655,14139,3572,17640,2133c21141,744,24786,0,28575,0x">
                  <v:stroke weight="0pt" endcap="flat" joinstyle="miter" miterlimit="4" on="false" color="#000000" opacity="0"/>
                  <v:fill on="true" color="#333333"/>
                </v:shape>
                <v:shape id="Shape 7016" style="position:absolute;width:571;height:571;left:0;top:1524;" coordsize="57150,57150" path="m28575,0c32364,0,36009,645,39510,2084c43011,3572,46101,5655,48781,8334c51460,10914,53525,14039,54975,17562c56425,21034,57150,24755,57150,28575c57150,32345,56425,36016,54975,39489c53525,42912,51460,45988,48781,48716c46101,51346,43011,53429,39510,54918c36009,56406,32364,57150,28575,57150c24786,57150,21141,56406,17640,54967c14139,53429,11049,51346,8369,48716c5690,45988,3625,42912,2175,39439c725,35917,0,32345,0,28575c0,24755,725,21034,2175,17562c3625,14039,5690,10914,8369,8334c11049,5655,14139,3572,17640,2084c21141,645,24786,0,28575,0x">
                  <v:stroke weight="0pt" endcap="flat" joinstyle="miter" miterlimit="4" on="false" color="#000000" opacity="0"/>
                  <v:fill on="true" color="#333333"/>
                </v:shape>
                <w10:wrap type="square"/>
              </v:group>
            </w:pict>
          </mc:Fallback>
        </mc:AlternateContent>
      </w:r>
      <w:r>
        <w:t>Контроль ЧСС (β-адреноблокаторы, верапамил). Восстановление синусового ритма.</w:t>
      </w:r>
    </w:p>
    <w:p w:rsidR="008E3F15" w:rsidRDefault="005F449A">
      <w:pPr>
        <w:ind w:left="2" w:right="805"/>
      </w:pPr>
      <w:r>
        <w:t xml:space="preserve">В лечении ФП возможны два основных подхода: сохранение аритмии с контролем ЧСС и восстановление синусового ритма с помощью лекарственных препаратов или электроимпульсной терапии </w:t>
      </w:r>
      <w:r>
        <w:t>(</w:t>
      </w:r>
      <w:r>
        <w:rPr>
          <w:b/>
        </w:rPr>
        <w:t>рис. 4.2</w:t>
      </w:r>
      <w:r>
        <w:t>).</w:t>
      </w:r>
    </w:p>
    <w:p w:rsidR="008E3F15" w:rsidRDefault="005F449A">
      <w:pPr>
        <w:spacing w:after="65" w:line="259" w:lineRule="auto"/>
        <w:ind w:left="0" w:right="0" w:firstLine="0"/>
      </w:pPr>
      <w:r>
        <w:rPr>
          <w:noProof/>
        </w:rPr>
        <w:drawing>
          <wp:inline distT="0" distB="0" distL="0" distR="0">
            <wp:extent cx="5057775" cy="3057525"/>
            <wp:effectExtent l="0" t="0" r="0" b="0"/>
            <wp:docPr id="7078" name="Picture 7078"/>
            <wp:cNvGraphicFramePr/>
            <a:graphic xmlns:a="http://schemas.openxmlformats.org/drawingml/2006/main">
              <a:graphicData uri="http://schemas.openxmlformats.org/drawingml/2006/picture">
                <pic:pic xmlns:pic="http://schemas.openxmlformats.org/drawingml/2006/picture">
                  <pic:nvPicPr>
                    <pic:cNvPr id="7078" name="Picture 7078"/>
                    <pic:cNvPicPr/>
                  </pic:nvPicPr>
                  <pic:blipFill>
                    <a:blip r:embed="rId80"/>
                    <a:stretch>
                      <a:fillRect/>
                    </a:stretch>
                  </pic:blipFill>
                  <pic:spPr>
                    <a:xfrm>
                      <a:off x="0" y="0"/>
                      <a:ext cx="5057775" cy="3057525"/>
                    </a:xfrm>
                    <a:prstGeom prst="rect">
                      <a:avLst/>
                    </a:prstGeom>
                  </pic:spPr>
                </pic:pic>
              </a:graphicData>
            </a:graphic>
          </wp:inline>
        </w:drawing>
      </w:r>
    </w:p>
    <w:p w:rsidR="008E3F15" w:rsidRDefault="005F449A">
      <w:pPr>
        <w:spacing w:after="31"/>
        <w:ind w:left="2" w:right="15"/>
      </w:pPr>
      <w:r>
        <w:rPr>
          <w:b/>
        </w:rPr>
        <w:t xml:space="preserve">Рис. 4.2. </w:t>
      </w:r>
      <w:r>
        <w:t>Тактика лечения фибрилляции предсердий</w:t>
      </w:r>
    </w:p>
    <w:p w:rsidR="008E3F15" w:rsidRDefault="005F449A">
      <w:pPr>
        <w:ind w:left="2" w:right="111"/>
      </w:pPr>
      <w:r>
        <w:t>Если на догоспитальном этапе отсутствуют благоприятные условия для лечения или повышен риск осложнений при электроимпульсной терапии, предпочтительнее оставить аритмию с контролем ЧСС, а электроимпульсную терапию провести в стационаре. Достаточно часто син</w:t>
      </w:r>
      <w:r>
        <w:t>усовый ритм восстанавливается спонтанно в течение 24–48 ч.</w:t>
      </w:r>
    </w:p>
    <w:p w:rsidR="008E3F15" w:rsidRDefault="005F449A">
      <w:pPr>
        <w:spacing w:after="179"/>
        <w:ind w:left="2" w:right="15"/>
      </w:pPr>
      <w:r>
        <w:t>К быстрейшему восстановлению синусового ритма (предпочтительнее с помощью электроимпульсной терапии) необходимо стремиться в следующих случаях:</w:t>
      </w:r>
    </w:p>
    <w:p w:rsidR="008E3F15" w:rsidRDefault="005F449A">
      <w:pPr>
        <w:ind w:left="340" w:right="5075"/>
      </w:pPr>
      <w:r>
        <w:rPr>
          <w:rFonts w:ascii="Calibri" w:eastAsia="Calibri" w:hAnsi="Calibri" w:cs="Calibri"/>
          <w:noProof/>
          <w:color w:val="000000"/>
          <w:sz w:val="22"/>
        </w:rPr>
        <mc:AlternateContent>
          <mc:Choice Requires="wpg">
            <w:drawing>
              <wp:anchor distT="0" distB="0" distL="114300" distR="114300" simplePos="0" relativeHeight="251747328"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277916" name="Group 277916"/>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7087" name="Shape 7087"/>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089" name="Shape 7089"/>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091" name="Shape 7091"/>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099" name="Shape 7099"/>
                        <wps:cNvSpPr/>
                        <wps:spPr>
                          <a:xfrm>
                            <a:off x="0" y="6096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7916" style="width:4.5pt;height:52.5pt;position:absolute;mso-position-horizontal-relative:text;mso-position-horizontal:absolute;margin-left:16.5pt;mso-position-vertical-relative:text;margin-top:2.74219pt;" coordsize="571,6667">
                <v:shape id="Shape 7087" style="position:absolute;width:571;height:571;left:0;top:0;" coordsize="57150,57150" path="m28575,0c32364,0,36009,744,39510,2133c43011,3572,46101,5655,48781,8334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334c11049,5655,14139,3572,17640,2133c21141,744,24786,0,28575,0x">
                  <v:stroke weight="0pt" endcap="flat" joinstyle="miter" miterlimit="10" on="false" color="#000000" opacity="0"/>
                  <v:fill on="true" color="#333333"/>
                </v:shape>
                <v:shape id="Shape 7089" style="position:absolute;width:571;height:571;left:0;top:1524;" coordsize="57150,57150" path="m28575,0c32364,0,36009,744,39510,2133c43011,3572,46101,5655,48781,8334c51460,11013,53525,14039,54975,17562c56425,21034,57150,24755,57150,28575c57150,32296,56425,35917,54975,39439c53525,42912,51460,45988,48781,48716c46101,51346,43011,53429,39510,54818c36009,56307,32364,57051,28575,57150c24786,57051,21141,56307,17640,54918c14139,53429,11049,51346,8369,48716c5690,45988,3625,42912,2175,39439c725,35917,0,32296,0,28575c0,24755,725,21034,2175,17562c3625,14039,5690,11013,8369,8334c11049,5655,14139,3572,17640,2133c21141,744,24786,0,28575,0x">
                  <v:stroke weight="0pt" endcap="flat" joinstyle="miter" miterlimit="10" on="false" color="#000000" opacity="0"/>
                  <v:fill on="true" color="#333333"/>
                </v:shape>
                <v:shape id="Shape 7091" style="position:absolute;width:571;height:571;left:0;top:3048;" coordsize="57150,57150" path="m28575,0c32364,0,36009,645,39510,2084c43011,3572,46101,5655,48781,8334c51460,11013,53525,14039,54975,17562c56425,21034,57150,24755,57150,28575c57150,32296,56425,35917,54975,39439c53525,42912,51460,45988,48781,48716c46101,51346,43011,53429,39510,54818c36009,56307,32364,57051,28575,57150c24786,57051,21141,56307,17640,54918c14139,53429,11049,51346,8369,48716c5690,45988,3625,42912,2175,39439c725,35917,0,32296,0,28575c0,24755,725,21034,2175,17562c3625,14039,5690,11013,8369,8334c11049,5655,14139,3572,17640,2084c21141,645,24786,0,28575,0x">
                  <v:stroke weight="0pt" endcap="flat" joinstyle="miter" miterlimit="10" on="false" color="#000000" opacity="0"/>
                  <v:fill on="true" color="#333333"/>
                </v:shape>
                <v:shape id="Shape 7099" style="position:absolute;width:571;height:571;left:0;top:6096;" coordsize="57150,57150" path="m28575,0c32364,0,36009,744,39510,2133c43011,3572,46101,5655,48781,8334c51460,10914,53525,14039,54975,17562c56425,21034,57150,24705,57150,28575c57150,32345,56425,35917,54975,39439c53525,42912,51460,46038,48781,48716c46101,51346,43011,53429,39510,54918c36009,56307,32364,57051,28575,57150c24786,57051,21141,56307,17640,54918c14139,53429,11049,51346,8369,48716c5690,46038,3625,42912,2175,39439c725,35917,0,32345,0,28575c0,24705,725,21034,2175,17562c3625,14039,5690,10914,8369,8334c11049,5655,14139,3572,17640,2133c21141,744,24786,0,28575,0x">
                  <v:stroke weight="0pt" endcap="flat" joinstyle="miter" miterlimit="10" on="false" color="#000000" opacity="0"/>
                  <v:fill on="true" color="#333333"/>
                </v:shape>
                <w10:wrap type="square"/>
              </v:group>
            </w:pict>
          </mc:Fallback>
        </mc:AlternateContent>
      </w:r>
      <w:r>
        <w:t>сердечная астма, отек легких; кардиогенный шок;</w:t>
      </w:r>
    </w:p>
    <w:p w:rsidR="008E3F15" w:rsidRDefault="005F449A">
      <w:pPr>
        <w:spacing w:after="179"/>
        <w:ind w:left="340" w:right="15"/>
      </w:pPr>
      <w:r>
        <w:t xml:space="preserve">длительные ангинозные боли, признаки ишемии мио карда на ЭКГ (депрессия </w:t>
      </w:r>
      <w:r>
        <w:rPr>
          <w:i/>
        </w:rPr>
        <w:t>ST</w:t>
      </w:r>
      <w:r>
        <w:t xml:space="preserve">, подъем </w:t>
      </w:r>
      <w:r>
        <w:rPr>
          <w:i/>
        </w:rPr>
        <w:t>ST</w:t>
      </w:r>
      <w:r>
        <w:t xml:space="preserve">, отрицательный зубец </w:t>
      </w:r>
      <w:r>
        <w:rPr>
          <w:i/>
        </w:rPr>
        <w:t>Т</w:t>
      </w:r>
      <w:r>
        <w:t>); ЧСС &gt;250 в мин.</w:t>
      </w:r>
    </w:p>
    <w:p w:rsidR="008E3F15" w:rsidRDefault="005F449A">
      <w:pPr>
        <w:ind w:left="2" w:right="15"/>
      </w:pPr>
      <w:r>
        <w:t>Вместе с тем, если ФП регистрировалась до острого состояния, скорее всего восстановление синусового ритма не приведет к улучшению</w:t>
      </w:r>
      <w:r>
        <w:t>.</w:t>
      </w:r>
    </w:p>
    <w:p w:rsidR="008E3F15" w:rsidRDefault="005F449A">
      <w:pPr>
        <w:ind w:left="2" w:right="15"/>
      </w:pPr>
      <w:r>
        <w:t>Для быстрого контроля ЧСС применяют внутривенное введение β-адреноблокатора или антагониста кальция, замедляющих проведение в атриовентрикулярном соединении (</w:t>
      </w:r>
      <w:r>
        <w:rPr>
          <w:b/>
        </w:rPr>
        <w:t>табл. 4.3</w:t>
      </w:r>
      <w:r>
        <w:t>). Следует помнить об опасности такого подхода, особенно при лечении дигоксином и верап</w:t>
      </w:r>
      <w:r>
        <w:t xml:space="preserve">амилом, при синдроме Вольфа–Паркинсона–Уайта с быстрым дополнительным путем проведения (высокая ЧСС и широкие комплексы </w:t>
      </w:r>
      <w:r>
        <w:rPr>
          <w:i/>
        </w:rPr>
        <w:t>QRS</w:t>
      </w:r>
      <w:r>
        <w:t>) восстанавливают синусовый ритм прокаинамидом или пропафеноном.</w:t>
      </w:r>
    </w:p>
    <w:p w:rsidR="008E3F15" w:rsidRDefault="005F449A">
      <w:pPr>
        <w:spacing w:after="31"/>
        <w:ind w:left="2" w:right="15"/>
      </w:pPr>
      <w:r>
        <w:rPr>
          <w:b/>
        </w:rPr>
        <w:t xml:space="preserve">Таблица 4.3. </w:t>
      </w:r>
      <w:r>
        <w:t>Препараты для контроля частоты сокращений желудочков пр</w:t>
      </w:r>
      <w:r>
        <w:t>и фибрилляции предсердий (Miller J. et al., 2019, ESC, AHA/ACC/HRS)</w:t>
      </w:r>
    </w:p>
    <w:tbl>
      <w:tblPr>
        <w:tblStyle w:val="TableGrid"/>
        <w:tblW w:w="10485" w:type="dxa"/>
        <w:tblInd w:w="30" w:type="dxa"/>
        <w:tblCellMar>
          <w:top w:w="80" w:type="dxa"/>
          <w:left w:w="42" w:type="dxa"/>
          <w:bottom w:w="0" w:type="dxa"/>
          <w:right w:w="48" w:type="dxa"/>
        </w:tblCellMar>
        <w:tblLook w:val="04A0" w:firstRow="1" w:lastRow="0" w:firstColumn="1" w:lastColumn="0" w:noHBand="0" w:noVBand="1"/>
      </w:tblPr>
      <w:tblGrid>
        <w:gridCol w:w="1620"/>
        <w:gridCol w:w="2295"/>
        <w:gridCol w:w="1710"/>
        <w:gridCol w:w="4860"/>
      </w:tblGrid>
      <w:tr w:rsidR="008E3F15">
        <w:trPr>
          <w:trHeight w:val="570"/>
        </w:trPr>
        <w:tc>
          <w:tcPr>
            <w:tcW w:w="162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3" w:right="0" w:firstLine="0"/>
            </w:pPr>
            <w:r>
              <w:rPr>
                <w:b/>
              </w:rPr>
              <w:t>Препараты</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Нагрузочная доза, в/в</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Начало действия</w:t>
            </w:r>
          </w:p>
        </w:tc>
        <w:tc>
          <w:tcPr>
            <w:tcW w:w="48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Поддерживающая доза</w:t>
            </w:r>
          </w:p>
        </w:tc>
      </w:tr>
      <w:tr w:rsidR="008E3F15">
        <w:trPr>
          <w:trHeight w:val="330"/>
        </w:trPr>
        <w:tc>
          <w:tcPr>
            <w:tcW w:w="1620" w:type="dxa"/>
            <w:tcBorders>
              <w:top w:val="single" w:sz="6" w:space="0" w:color="000000"/>
              <w:left w:val="single" w:sz="6" w:space="0" w:color="000000"/>
              <w:bottom w:val="single" w:sz="6" w:space="0" w:color="000000"/>
              <w:right w:val="nil"/>
            </w:tcBorders>
          </w:tcPr>
          <w:p w:rsidR="008E3F15" w:rsidRDefault="005F449A">
            <w:pPr>
              <w:spacing w:after="0" w:line="259" w:lineRule="auto"/>
              <w:ind w:left="3" w:right="0" w:firstLine="0"/>
              <w:jc w:val="both"/>
            </w:pPr>
            <w:r>
              <w:rPr>
                <w:bdr w:val="single" w:sz="12" w:space="0" w:color="000000"/>
              </w:rPr>
              <w:t>Пропранолол</w:t>
            </w:r>
          </w:p>
        </w:tc>
        <w:tc>
          <w:tcPr>
            <w:tcW w:w="229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 мг</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5 мин</w:t>
            </w:r>
          </w:p>
        </w:tc>
        <w:tc>
          <w:tcPr>
            <w:tcW w:w="48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Внутрь: 10–40 мг 3 раза</w:t>
            </w:r>
          </w:p>
        </w:tc>
      </w:tr>
      <w:tr w:rsidR="008E3F15">
        <w:trPr>
          <w:trHeight w:val="570"/>
        </w:trPr>
        <w:tc>
          <w:tcPr>
            <w:tcW w:w="162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Метопролол</w:t>
            </w:r>
          </w:p>
        </w:tc>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2,5–5 мг</w:t>
            </w:r>
          </w:p>
        </w:tc>
        <w:tc>
          <w:tcPr>
            <w:tcW w:w="17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5 мин</w:t>
            </w:r>
          </w:p>
        </w:tc>
        <w:tc>
          <w:tcPr>
            <w:tcW w:w="48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Внутрь: 50–400 мг/сут сукцината, 25–100 мг дважды тартрата</w:t>
            </w:r>
          </w:p>
        </w:tc>
      </w:tr>
      <w:tr w:rsidR="008E3F15">
        <w:trPr>
          <w:trHeight w:val="330"/>
        </w:trPr>
        <w:tc>
          <w:tcPr>
            <w:tcW w:w="16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Атенолол</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5 мин</w:t>
            </w:r>
          </w:p>
        </w:tc>
        <w:tc>
          <w:tcPr>
            <w:tcW w:w="48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Внутрь: 25–200 мг/сут</w:t>
            </w:r>
          </w:p>
        </w:tc>
      </w:tr>
      <w:tr w:rsidR="008E3F15">
        <w:trPr>
          <w:trHeight w:val="810"/>
        </w:trPr>
        <w:tc>
          <w:tcPr>
            <w:tcW w:w="16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Верапамил</w:t>
            </w:r>
          </w:p>
        </w:tc>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5–10 мг за 5 мин</w:t>
            </w:r>
          </w:p>
        </w:tc>
        <w:tc>
          <w:tcPr>
            <w:tcW w:w="17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3–5 мин</w:t>
            </w:r>
          </w:p>
        </w:tc>
        <w:tc>
          <w:tcPr>
            <w:tcW w:w="48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477" w:firstLine="0"/>
            </w:pPr>
            <w:r>
              <w:t>В/в: 5–10 мг через 30 мин, 0,005 мг/кг в минуту</w:t>
            </w:r>
          </w:p>
          <w:p w:rsidR="008E3F15" w:rsidRDefault="005F449A">
            <w:pPr>
              <w:spacing w:after="0" w:line="259" w:lineRule="auto"/>
              <w:ind w:left="0" w:right="0" w:firstLine="0"/>
            </w:pPr>
            <w:r>
              <w:t>Внутрь: 120–480 мг/сут продленного</w:t>
            </w:r>
          </w:p>
        </w:tc>
      </w:tr>
      <w:tr w:rsidR="008E3F15">
        <w:trPr>
          <w:trHeight w:val="570"/>
        </w:trPr>
        <w:tc>
          <w:tcPr>
            <w:tcW w:w="16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Дигоксин</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247" w:firstLine="0"/>
            </w:pPr>
            <w:r>
              <w:t>0,5 мг, до 1,5 мг за 24 ч</w:t>
            </w:r>
          </w:p>
        </w:tc>
        <w:tc>
          <w:tcPr>
            <w:tcW w:w="17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≥60 мин</w:t>
            </w:r>
          </w:p>
        </w:tc>
        <w:tc>
          <w:tcPr>
            <w:tcW w:w="48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В/в, внутрь: 0,125–0,25 мг/сут</w:t>
            </w:r>
          </w:p>
        </w:tc>
      </w:tr>
      <w:tr w:rsidR="008E3F15">
        <w:trPr>
          <w:trHeight w:val="570"/>
        </w:trPr>
        <w:tc>
          <w:tcPr>
            <w:tcW w:w="16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Амиодарон</w:t>
            </w:r>
          </w:p>
        </w:tc>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 мг/кг или 300 мг за час</w:t>
            </w:r>
          </w:p>
        </w:tc>
        <w:tc>
          <w:tcPr>
            <w:tcW w:w="17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Часы–дни</w:t>
            </w:r>
          </w:p>
        </w:tc>
        <w:tc>
          <w:tcPr>
            <w:tcW w:w="48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В/в: 10–50 мг/ч</w:t>
            </w:r>
          </w:p>
          <w:p w:rsidR="008E3F15" w:rsidRDefault="005F449A">
            <w:pPr>
              <w:spacing w:after="0" w:line="259" w:lineRule="auto"/>
              <w:ind w:left="0" w:right="0" w:firstLine="0"/>
            </w:pPr>
            <w:r>
              <w:t>Внутрь: 200 мг/сут</w:t>
            </w:r>
          </w:p>
        </w:tc>
      </w:tr>
    </w:tbl>
    <w:p w:rsidR="008E3F15" w:rsidRDefault="005F449A">
      <w:pPr>
        <w:ind w:left="2" w:right="15"/>
      </w:pPr>
      <w:r>
        <w:t>На догоспитальном этапе купирование приступа возможно с помощью как внутривенных, так и пероральных средств (</w:t>
      </w:r>
      <w:r>
        <w:rPr>
          <w:b/>
        </w:rPr>
        <w:t>табл. 4.4</w:t>
      </w:r>
      <w:r>
        <w:t>). Чаще используют однократный (не делить на 2 раза, не разжевывать) прием пропафенона в дозе 600 мг при массе тела ≥70 кг и 450 мг остальным. Рекомендуют использовать пероральное купирование у пациентов с непродолжительными (до 48 ч) и нечастыми приступам</w:t>
      </w:r>
      <w:r>
        <w:t>и, без постоянной антиаритмической терапии, не имеющих выраженных заболеваний сердца.</w:t>
      </w:r>
    </w:p>
    <w:p w:rsidR="008E3F15" w:rsidRDefault="005F449A">
      <w:pPr>
        <w:spacing w:after="31"/>
        <w:ind w:left="2" w:right="15"/>
      </w:pPr>
      <w:r>
        <w:rPr>
          <w:b/>
        </w:rPr>
        <w:t xml:space="preserve">Таблица 4.4. </w:t>
      </w:r>
      <w:r>
        <w:t>Препараты для купирования фибрилляции предсердий (Miller J. et al., 2019; ESC, AHA/ACC/HRS)</w:t>
      </w:r>
    </w:p>
    <w:tbl>
      <w:tblPr>
        <w:tblStyle w:val="TableGrid"/>
        <w:tblW w:w="10485" w:type="dxa"/>
        <w:tblInd w:w="30" w:type="dxa"/>
        <w:tblCellMar>
          <w:top w:w="80" w:type="dxa"/>
          <w:left w:w="45" w:type="dxa"/>
          <w:bottom w:w="0" w:type="dxa"/>
          <w:right w:w="70" w:type="dxa"/>
        </w:tblCellMar>
        <w:tblLook w:val="04A0" w:firstRow="1" w:lastRow="0" w:firstColumn="1" w:lastColumn="0" w:noHBand="0" w:noVBand="1"/>
      </w:tblPr>
      <w:tblGrid>
        <w:gridCol w:w="1950"/>
        <w:gridCol w:w="4020"/>
        <w:gridCol w:w="3330"/>
        <w:gridCol w:w="1185"/>
      </w:tblGrid>
      <w:tr w:rsidR="008E3F15">
        <w:trPr>
          <w:trHeight w:val="570"/>
        </w:trPr>
        <w:tc>
          <w:tcPr>
            <w:tcW w:w="19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Препараты</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Схема</w:t>
            </w:r>
          </w:p>
        </w:tc>
        <w:tc>
          <w:tcPr>
            <w:tcW w:w="33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Время электроимпульсной терапии</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Эффект,</w:t>
            </w:r>
          </w:p>
          <w:p w:rsidR="008E3F15" w:rsidRDefault="005F449A">
            <w:pPr>
              <w:spacing w:after="0" w:line="259" w:lineRule="auto"/>
              <w:ind w:left="6" w:right="0" w:firstLine="0"/>
            </w:pPr>
            <w:r>
              <w:rPr>
                <w:b/>
              </w:rPr>
              <w:t>%</w:t>
            </w:r>
          </w:p>
        </w:tc>
      </w:tr>
      <w:tr w:rsidR="008E3F15">
        <w:trPr>
          <w:trHeight w:val="570"/>
        </w:trPr>
        <w:tc>
          <w:tcPr>
            <w:tcW w:w="19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Прокаинамид в/ в</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1000 мг, скорость 20–30 мг/мин</w:t>
            </w:r>
          </w:p>
        </w:tc>
        <w:tc>
          <w:tcPr>
            <w:tcW w:w="33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5 мин–5 ч</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20–65</w:t>
            </w:r>
          </w:p>
        </w:tc>
      </w:tr>
      <w:tr w:rsidR="008E3F15">
        <w:trPr>
          <w:trHeight w:val="330"/>
        </w:trPr>
        <w:tc>
          <w:tcPr>
            <w:tcW w:w="195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Пропафенон в/в</w:t>
            </w:r>
          </w:p>
        </w:tc>
        <w:tc>
          <w:tcPr>
            <w:tcW w:w="402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1,5–2 мг/кг за 10–20 мин</w:t>
            </w:r>
          </w:p>
        </w:tc>
        <w:tc>
          <w:tcPr>
            <w:tcW w:w="33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30 мин–2 ч</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45–90</w:t>
            </w:r>
          </w:p>
        </w:tc>
      </w:tr>
      <w:tr w:rsidR="008E3F15">
        <w:trPr>
          <w:trHeight w:val="570"/>
        </w:trPr>
        <w:tc>
          <w:tcPr>
            <w:tcW w:w="195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Амиодарон в/в</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300–450 мг или 5–7 мг/кг за 1–2 ч, далее 10–50 мг/ч 24 ч</w:t>
            </w:r>
          </w:p>
        </w:tc>
        <w:tc>
          <w:tcPr>
            <w:tcW w:w="33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6–24 ч</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40–80</w:t>
            </w:r>
          </w:p>
        </w:tc>
      </w:tr>
      <w:tr w:rsidR="008E3F15">
        <w:trPr>
          <w:trHeight w:val="570"/>
        </w:trPr>
        <w:tc>
          <w:tcPr>
            <w:tcW w:w="19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Пропафенон внутрь</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343" w:firstLine="0"/>
            </w:pPr>
            <w:r>
              <w:t>600 мг при массе тела ≥70 кг и 450 мг остальным однократно</w:t>
            </w:r>
          </w:p>
        </w:tc>
        <w:tc>
          <w:tcPr>
            <w:tcW w:w="33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2–8 ч</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45–80</w:t>
            </w:r>
          </w:p>
        </w:tc>
      </w:tr>
      <w:tr w:rsidR="008E3F15">
        <w:trPr>
          <w:trHeight w:val="570"/>
        </w:trPr>
        <w:tc>
          <w:tcPr>
            <w:tcW w:w="19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Амиодарон внутрь</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557" w:firstLine="0"/>
            </w:pPr>
            <w:r>
              <w:t>600–1800 мг/сут до дозы 10 г и далее 200–400 мг/сут</w:t>
            </w:r>
          </w:p>
        </w:tc>
        <w:tc>
          <w:tcPr>
            <w:tcW w:w="33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до 1–2 мес</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65–90</w:t>
            </w:r>
          </w:p>
        </w:tc>
      </w:tr>
    </w:tbl>
    <w:p w:rsidR="008E3F15" w:rsidRDefault="005F449A">
      <w:pPr>
        <w:ind w:left="2" w:right="15"/>
      </w:pPr>
      <w:r>
        <w:t>При высокой ЧСС при ФП или ТП целесообразно перед пропафеноном принять за ≥30 мин препарат, блокирующий АВ-соединение (пропранолол 20–40 мг или верапамил 80 мг). Внутривенное введение антиаритмических препаратов (пропафенон, прокаинамид) быстрее и эффектив</w:t>
      </w:r>
      <w:r>
        <w:t>нее восстанавливает синусовый ритм. В случае структурных изменений сердца рекомендуют восстанавливать синусовый ритм амиодароном, хотя сложно предсказать время электроимпульсной терапии.</w:t>
      </w:r>
    </w:p>
    <w:p w:rsidR="008E3F15" w:rsidRDefault="005F449A">
      <w:pPr>
        <w:spacing w:after="133" w:line="259" w:lineRule="auto"/>
        <w:ind w:right="0"/>
      </w:pPr>
      <w:r>
        <w:rPr>
          <w:i/>
        </w:rPr>
        <w:t>Показания к госпитализации: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48352" behindDoc="0" locked="0" layoutInCell="1" allowOverlap="1">
                <wp:simplePos x="0" y="0"/>
                <wp:positionH relativeFrom="column">
                  <wp:posOffset>209550</wp:posOffset>
                </wp:positionH>
                <wp:positionV relativeFrom="paragraph">
                  <wp:posOffset>34826</wp:posOffset>
                </wp:positionV>
                <wp:extent cx="57150" cy="819150"/>
                <wp:effectExtent l="0" t="0" r="0" b="0"/>
                <wp:wrapSquare wrapText="bothSides"/>
                <wp:docPr id="275975" name="Group 275975"/>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7261" name="Shape 7261"/>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63" name="Shape 7263"/>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65" name="Shape 7265"/>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67" name="Shape 7267"/>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69" name="Shape 7269"/>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71" name="Shape 7271"/>
                        <wps:cNvSpPr/>
                        <wps:spPr>
                          <a:xfrm>
                            <a:off x="0" y="7620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5975" style="width:4.5pt;height:64.5pt;position:absolute;mso-position-horizontal-relative:text;mso-position-horizontal:absolute;margin-left:16.5pt;mso-position-vertical-relative:text;margin-top:2.74219pt;" coordsize="571,8191">
                <v:shape id="Shape 7261" style="position:absolute;width:571;height:571;left:0;top:0;" coordsize="57150,57150" path="m28575,0c32364,0,36009,645,39510,2084c43011,3473,46101,5556,48781,8334c51460,10914,53525,14039,54975,17562c56425,21034,57150,24755,57150,28575c57150,32345,56425,35917,54975,39439c53525,42912,51460,45988,48781,48716c46101,51346,43011,53429,39510,54818c36009,56307,32364,57051,28575,57150c24786,57051,21141,56307,17640,54918c14139,53429,11049,51346,8369,48716c5690,45988,3625,42863,2175,39340c725,35917,0,32345,0,28575c0,24755,725,21034,2175,17562c3625,14039,5690,10914,8369,8334c11049,5556,14139,3473,17640,2084c21141,645,24786,0,28575,0x">
                  <v:stroke weight="0pt" endcap="flat" joinstyle="miter" miterlimit="4" on="false" color="#000000" opacity="0"/>
                  <v:fill on="true" color="#333333"/>
                </v:shape>
                <v:shape id="Shape 7263" style="position:absolute;width:571;height:571;left:0;top:1524;" coordsize="57150,57150" path="m28575,0c32364,0,36009,645,39510,2084c43011,3473,46101,5556,48781,8334c51460,10914,53525,14039,54975,17562c56425,21034,57150,24755,57150,28575c57150,32296,56425,35917,54975,39439c53525,42912,51460,45988,48781,48716c46101,51346,43011,53429,39510,54818c36009,56307,32364,57051,28575,57150c24786,57051,21141,56307,17640,54918c14139,53429,11049,51346,8369,48716c5690,45988,3625,42863,2175,39340c725,35868,0,32296,0,28575c0,24755,725,21034,2175,17562c3625,14039,5690,10914,8369,8334c11049,5556,14139,3473,17640,2084c21141,645,24786,0,28575,0x">
                  <v:stroke weight="0pt" endcap="flat" joinstyle="miter" miterlimit="4" on="false" color="#000000" opacity="0"/>
                  <v:fill on="true" color="#333333"/>
                </v:shape>
                <v:shape id="Shape 7265" style="position:absolute;width:571;height:571;left:0;top:3048;" coordsize="57150,57150" path="m28575,0c32364,0,36009,645,39510,2084c43011,3473,46101,5556,48781,8334c51460,10914,53525,14039,54975,17562c56425,21034,57150,24755,57150,28575c57150,32296,56425,35917,54975,39439c53525,42912,51460,46038,48781,48716c46101,51346,43011,53429,39510,54818c36009,56307,32364,57051,28575,57150c24786,57051,21141,56307,17640,54918c14139,53429,11049,51346,8369,48716c5690,46038,3625,42912,2175,39439c725,35917,0,32296,0,28575c0,24755,725,21034,2175,17562c3625,14039,5690,10914,8369,8334c11049,5556,14139,3473,17640,2084c21141,645,24786,0,28575,0x">
                  <v:stroke weight="0pt" endcap="flat" joinstyle="miter" miterlimit="4" on="false" color="#000000" opacity="0"/>
                  <v:fill on="true" color="#333333"/>
                </v:shape>
                <v:shape id="Shape 7267" style="position:absolute;width:571;height:571;left:0;top:4572;" coordsize="57150,57150" path="m28575,0c32364,0,36009,645,39510,2084c43011,3473,46101,5556,48781,8334c51460,10914,53525,14039,54975,17562c56425,21034,57150,24755,57150,28575c57150,32296,56425,35917,54975,39439c53525,42912,51460,45988,48781,48716c46101,51346,43011,53429,39510,54818c36009,56307,32364,57051,28575,57150c24786,57051,21141,56307,17640,54918c14139,53429,11049,51346,8369,48716c5690,45988,3625,42912,2175,39439c725,35917,0,32296,0,28575c0,24755,725,21034,2175,17562c3625,14039,5690,10914,8369,8334c11049,5556,14139,3473,17640,2084c21141,645,24786,0,28575,0x">
                  <v:stroke weight="0pt" endcap="flat" joinstyle="miter" miterlimit="4" on="false" color="#000000" opacity="0"/>
                  <v:fill on="true" color="#333333"/>
                </v:shape>
                <v:shape id="Shape 7269" style="position:absolute;width:571;height:571;left:0;top:6096;" coordsize="57150,57150" path="m28575,0c32364,0,36009,645,39510,2084c43011,3473,46101,5556,48781,8334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334c11049,5556,14139,3473,17640,2084c21141,645,24786,0,28575,0x">
                  <v:stroke weight="0pt" endcap="flat" joinstyle="miter" miterlimit="4" on="false" color="#000000" opacity="0"/>
                  <v:fill on="true" color="#333333"/>
                </v:shape>
                <v:shape id="Shape 7271" style="position:absolute;width:571;height:571;left:0;top:7620;" coordsize="57150,57150" path="m28575,0c32364,0,36009,744,39510,2133c43011,3572,46101,5655,48781,8334c51460,10914,53525,14039,54975,17562c56425,21034,57150,24705,57150,28575c57150,32345,56425,35917,54975,39439c53525,42912,51460,46038,48781,48716c46101,51395,43011,53479,39510,54918c36009,56406,32364,57150,28575,57150c24786,57150,21141,56406,17640,54918c14139,53479,11049,51395,8369,48716c5690,46038,3625,42912,2175,39439c725,35917,0,32345,0,28575c0,24705,725,21034,2175,17562c3625,14039,5690,10914,8369,8334c11049,5655,14139,3572,17640,2133c21141,744,24786,0,28575,0x">
                  <v:stroke weight="0pt" endcap="flat" joinstyle="miter" miterlimit="4" on="false" color="#000000" opacity="0"/>
                  <v:fill on="true" color="#333333"/>
                </v:shape>
                <w10:wrap type="square"/>
              </v:group>
            </w:pict>
          </mc:Fallback>
        </mc:AlternateContent>
      </w:r>
      <w:r>
        <w:t>впервые диагностированная ФП;</w:t>
      </w:r>
    </w:p>
    <w:p w:rsidR="008E3F15" w:rsidRDefault="005F449A">
      <w:pPr>
        <w:spacing w:after="359"/>
        <w:ind w:left="340" w:right="2261"/>
      </w:pPr>
      <w:r>
        <w:t>ФП, не поддающаяся медикаментозной электроимпульсной терапии; ФП с нарушениями гемодинамики или ишемией мио карда; часто рецидивирующая ФП; осложнения антиаритмической терапии; постоянная ФП при неадекватном контроле ЧСС, нарастании СН.</w:t>
      </w:r>
    </w:p>
    <w:p w:rsidR="008E3F15" w:rsidRDefault="005F449A">
      <w:pPr>
        <w:pStyle w:val="Heading1"/>
        <w:ind w:left="2"/>
      </w:pPr>
      <w:r>
        <w:t>Часть I. Сердечно-с</w:t>
      </w:r>
      <w:r>
        <w:t>осудистые болезни</w:t>
      </w:r>
    </w:p>
    <w:p w:rsidR="008E3F15" w:rsidRDefault="005F449A">
      <w:pPr>
        <w:spacing w:after="179"/>
        <w:ind w:left="2" w:right="5384"/>
      </w:pPr>
      <w:r>
        <w:t xml:space="preserve">Отделение интенсивной терапии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49376"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75976" name="Group 275976"/>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7276" name="Shape 7276"/>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78" name="Shape 7278"/>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80" name="Shape 7280"/>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82" name="Shape 7282"/>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5976" style="width:4.5pt;height:40.5pt;position:absolute;mso-position-horizontal-relative:text;mso-position-horizontal:absolute;margin-left:16.5pt;mso-position-vertical-relative:text;margin-top:2.74219pt;" coordsize="571,5143">
                <v:shape id="Shape 7276" style="position:absolute;width:571;height:571;left:0;top:0;" coordsize="57150,57150" path="m28575,0c32364,0,36009,645,39510,2084c43011,3572,46101,5655,48781,8334c51460,11013,53525,14039,54975,17562c56425,21034,57150,24755,57150,28575c57150,32345,56425,35917,54975,39439c53525,42912,51460,45988,48781,48716c46101,51346,43011,53429,39510,54818c36009,56307,32364,57051,28575,57150c24786,57051,21141,56307,17640,54818c14139,53429,11049,51346,8369,48716c5690,45988,3625,42912,2175,39439c725,35917,0,32345,0,28575c0,24755,725,21034,2175,17562c3625,14039,5690,11013,8369,8334c11049,5655,14139,3572,17640,2084c21141,645,24786,0,28575,0x">
                  <v:stroke weight="0pt" endcap="flat" joinstyle="miter" miterlimit="4" on="false" color="#000000" opacity="0"/>
                  <v:fill on="true" color="#333333"/>
                </v:shape>
                <v:shape id="Shape 7278" style="position:absolute;width:571;height:571;left:0;top:1524;" coordsize="57150,57150" path="m28575,0c32364,0,36009,645,39510,2084c43011,3473,46101,5556,48781,8334c51460,11013,53525,14039,54975,17562c56425,21034,57150,24755,57150,28575c57150,32345,56425,35917,54975,39340c53525,42863,51460,45988,48781,48716c46101,51346,43011,53429,39510,54818c36009,56406,32364,57150,28575,57150c24786,57150,21141,56406,17640,54818c14139,53429,11049,51346,8369,48716c5690,45988,3625,42863,2175,39340c725,35917,0,32345,0,28575c0,24755,725,21034,2175,17562c3625,14039,5690,11013,8369,8334c11049,5556,14139,3473,17640,2084c21141,645,24786,0,28575,0x">
                  <v:stroke weight="0pt" endcap="flat" joinstyle="miter" miterlimit="4" on="false" color="#000000" opacity="0"/>
                  <v:fill on="true" color="#333333"/>
                </v:shape>
                <v:shape id="Shape 7280" style="position:absolute;width:571;height:571;left:0;top:3048;" coordsize="57150,57150" path="m28575,0c32364,0,36009,645,39510,2084c43011,3473,46101,5556,48781,8334c51460,11013,53525,14039,54975,17562c56425,21034,57150,24755,57150,28575c57150,32345,56425,35917,54975,39439c53525,42912,51460,46038,48781,48716c46101,51346,43011,53429,39510,54818c36009,56307,32364,57051,28575,57150c24786,57051,21141,56307,17640,54818c14139,53429,11049,51346,8369,48716c5690,46038,3625,42912,2175,39439c725,35917,0,32345,0,28575c0,24755,725,21034,2175,17562c3625,14039,5690,11013,8369,8334c11049,5556,14139,3473,17640,2084c21141,645,24786,0,28575,0x">
                  <v:stroke weight="0pt" endcap="flat" joinstyle="miter" miterlimit="4" on="false" color="#000000" opacity="0"/>
                  <v:fill on="true" color="#333333"/>
                </v:shape>
                <v:shape id="Shape 7282" style="position:absolute;width:571;height:571;left:0;top:4572;" coordsize="57150,57150" path="m28575,0c32364,0,36009,645,39510,2084c43011,3473,46101,5556,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556,14139,3473,17640,2084c21141,645,24786,0,28575,0x">
                  <v:stroke weight="0pt" endcap="flat" joinstyle="miter" miterlimit="4" on="false" color="#000000" opacity="0"/>
                  <v:fill on="true" color="#333333"/>
                </v:shape>
                <w10:wrap type="square"/>
              </v:group>
            </w:pict>
          </mc:Fallback>
        </mc:AlternateContent>
      </w:r>
      <w:r>
        <w:t>Мониторирование ЭКГ, АД.</w:t>
      </w:r>
    </w:p>
    <w:p w:rsidR="008E3F15" w:rsidRDefault="005F449A">
      <w:pPr>
        <w:spacing w:after="31"/>
        <w:ind w:left="340" w:right="15"/>
      </w:pPr>
      <w:r>
        <w:t>Наличие брадикардии в анамнезе.</w:t>
      </w:r>
    </w:p>
    <w:p w:rsidR="008E3F15" w:rsidRDefault="005F449A">
      <w:pPr>
        <w:spacing w:after="179"/>
        <w:ind w:left="340" w:right="3140"/>
      </w:pPr>
      <w:r>
        <w:t>Эхокардиография трансторакальная, чреспищеводная. Шкала AF-CVS.</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0400"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75977" name="Group 275977"/>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7285" name="Shape 7285"/>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87" name="Shape 7287"/>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3990"/>
                                  <a:pt x="5690" y="1086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89" name="Shape 7289"/>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291" name="Shape 7291"/>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5977" style="width:4.5pt;height:40.5pt;position:absolute;mso-position-horizontal-relative:text;mso-position-horizontal:absolute;margin-left:16.5pt;mso-position-vertical-relative:text;margin-top:2.74219pt;" coordsize="571,5143">
                <v:shape id="Shape 7285" style="position:absolute;width:571;height:571;left:0;top:0;" coordsize="57150,57150" path="m28575,0c32364,0,36009,744,39510,2133c43011,3572,46101,5655,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655,14139,3572,17640,2133c21141,744,24786,0,28575,0x">
                  <v:stroke weight="0pt" endcap="flat" joinstyle="miter" miterlimit="4" on="false" color="#000000" opacity="0"/>
                  <v:fill on="true" color="#333333"/>
                </v:shape>
                <v:shape id="Shape 7287" style="position:absolute;width:571;height:571;left:0;top:1524;" coordsize="57150,57150" path="m28575,0c32364,0,36009,645,39510,2084c43011,3473,46101,5556,48781,8235c51460,10864,53525,13990,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3990,5690,10864,8369,8235c11049,5556,14139,3473,17640,2084c21141,645,24786,0,28575,0x">
                  <v:stroke weight="0pt" endcap="flat" joinstyle="miter" miterlimit="4" on="false" color="#000000" opacity="0"/>
                  <v:fill on="true" color="#333333"/>
                </v:shape>
                <v:shape id="Shape 7289" style="position:absolute;width:571;height:571;left:0;top:3048;" coordsize="57150,57150" path="m28575,0c32364,0,36009,744,39510,2133c43011,3572,46101,5655,48781,8334c51460,10914,53525,14039,54975,17562c56425,21034,57150,24755,57150,28575c57150,32296,56425,35917,54975,39439c53525,42912,51460,46038,48781,48716c46101,51346,43011,53429,39510,54918c36009,56307,32364,57051,28575,57150c24786,57051,21141,56307,17640,54918c14139,53429,11049,51346,8369,48716c5690,46038,3625,42912,2175,39439c725,35917,0,32296,0,28575c0,24755,725,21034,2175,17562c3625,14039,5690,10914,8369,8334c11049,5655,14139,3572,17640,2133c21141,744,24786,0,28575,0x">
                  <v:stroke weight="0pt" endcap="flat" joinstyle="miter" miterlimit="4" on="false" color="#000000" opacity="0"/>
                  <v:fill on="true" color="#333333"/>
                </v:shape>
                <v:shape id="Shape 7291" style="position:absolute;width:571;height:571;left:0;top:4572;" coordsize="57150,57150" path="m28575,0c32364,0,36009,744,39510,2133c43011,3572,46101,5655,48781,8334c51460,10914,53525,14039,54975,17562c56425,21034,57150,24705,57150,28575c57150,32296,56425,35917,54975,39439c53525,42912,51460,46038,48781,48716c46101,51395,43011,53479,39510,54918c36009,56307,32364,57051,28575,57150c24786,57051,21141,56307,17640,54918c14139,53479,11049,51395,8369,48716c5690,46038,3625,42912,2175,39439c725,35917,0,32296,0,28575c0,24705,725,21034,2175,17562c3625,14039,5690,10914,8369,8334c11049,5655,14139,3572,17640,2133c21141,744,24786,0,28575,0x">
                  <v:stroke weight="0pt" endcap="flat" joinstyle="miter" miterlimit="4" on="false" color="#000000" opacity="0"/>
                  <v:fill on="true" color="#333333"/>
                </v:shape>
                <w10:wrap type="square"/>
              </v:group>
            </w:pict>
          </mc:Fallback>
        </mc:AlternateContent>
      </w:r>
      <w:r>
        <w:t>Антиаритмические препараты.</w:t>
      </w:r>
    </w:p>
    <w:p w:rsidR="008E3F15" w:rsidRDefault="005F449A">
      <w:pPr>
        <w:spacing w:after="31"/>
        <w:ind w:left="340" w:right="15"/>
      </w:pPr>
      <w:r>
        <w:t>Контроль ЧСС.</w:t>
      </w:r>
    </w:p>
    <w:p w:rsidR="008E3F15" w:rsidRDefault="005F449A">
      <w:pPr>
        <w:spacing w:after="179"/>
        <w:ind w:left="340" w:right="4911"/>
      </w:pPr>
      <w:r>
        <w:t>Электроимпульсная терапия. Антикоагулянты.</w:t>
      </w:r>
    </w:p>
    <w:p w:rsidR="008E3F15" w:rsidRDefault="005F449A">
      <w:pPr>
        <w:ind w:left="2" w:right="15"/>
      </w:pPr>
      <w:r>
        <w:t>В отделении интенсивной терапии проводят восстановление синусового ритма с помощью лекарственных препаратов или электроимпульсной терапии. Для оценки риска ранних рецидивов ФП после электроимпульсной терапии можно</w:t>
      </w:r>
      <w:r>
        <w:t xml:space="preserve"> использовать шкалу AF-CVS. Проводя электроимпульсную терапию, нужно учитывать риск синдрома слабости синусового узла (брадикардия в анамнезе), в этом случае восстановление синусового ритма противопоказано.</w:t>
      </w:r>
    </w:p>
    <w:p w:rsidR="008E3F15" w:rsidRDefault="005F449A">
      <w:pPr>
        <w:ind w:left="2" w:right="673"/>
      </w:pPr>
      <w:r>
        <w:t>Электроимпульсную терапию можно провести немедлен</w:t>
      </w:r>
      <w:r>
        <w:t>но или подождать до 48 ч, контролируя ЧСС, рассчитывая на спонтанное восстановление синусового ритма (RACE 7 ACWAS).</w:t>
      </w:r>
    </w:p>
    <w:p w:rsidR="008E3F15" w:rsidRDefault="005F449A">
      <w:pPr>
        <w:spacing w:after="31"/>
        <w:ind w:left="2" w:right="15"/>
      </w:pPr>
      <w:r>
        <w:t>В случае экстренной электроимпульсной терапии при ФП длительностью &gt;48 ч</w:t>
      </w:r>
    </w:p>
    <w:p w:rsidR="008E3F15" w:rsidRDefault="005F449A">
      <w:pPr>
        <w:ind w:left="2" w:right="15"/>
      </w:pPr>
      <w:r>
        <w:t>и гемодинамических осложнениях (ангинозные боли, шок, отек легких)</w:t>
      </w:r>
      <w:r>
        <w:t xml:space="preserve"> назначают гепарин (инфузия НФГ или эноксапарина натрия 1 мг/кг 2 раза п/к) и одновременно оральный антикоагулянт с последующей отменой гепарина (см. рис. 4.4).</w:t>
      </w:r>
    </w:p>
    <w:p w:rsidR="008E3F15" w:rsidRDefault="005F449A">
      <w:pPr>
        <w:ind w:left="2" w:right="15"/>
      </w:pPr>
      <w:r>
        <w:t>Если нет показаний к экстренной Электроимпульсной терапии и длительность аритмии превышает 48 ч</w:t>
      </w:r>
      <w:r>
        <w:t>, то в течение 3 нед контролируют ЧСС и проводят антикоагулянтную</w:t>
      </w:r>
    </w:p>
    <w:p w:rsidR="008E3F15" w:rsidRDefault="005F449A">
      <w:pPr>
        <w:tabs>
          <w:tab w:val="center" w:pos="1792"/>
          <w:tab w:val="center" w:pos="3861"/>
          <w:tab w:val="center" w:pos="4560"/>
          <w:tab w:val="center" w:pos="5165"/>
          <w:tab w:val="center" w:pos="6589"/>
          <w:tab w:val="center" w:pos="7134"/>
          <w:tab w:val="center" w:pos="8515"/>
          <w:tab w:val="center" w:pos="9253"/>
        </w:tabs>
        <w:spacing w:after="31"/>
        <w:ind w:left="0" w:right="0" w:firstLine="0"/>
      </w:pPr>
      <w:r>
        <w:t>р</w:t>
      </w:r>
      <w:r>
        <w:tab/>
        <w:t>,</w:t>
      </w:r>
      <w:r>
        <w:tab/>
        <w:t>д</w:t>
      </w:r>
      <w:r>
        <w:tab/>
        <w:t>р</w:t>
      </w:r>
      <w:r>
        <w:tab/>
        <w:t>ру</w:t>
      </w:r>
      <w:r>
        <w:tab/>
        <w:t>р</w:t>
      </w:r>
      <w:r>
        <w:tab/>
        <w:t>д</w:t>
      </w:r>
      <w:r>
        <w:tab/>
        <w:t>у</w:t>
      </w:r>
      <w:r>
        <w:tab/>
        <w:t>у</w:t>
      </w:r>
    </w:p>
    <w:p w:rsidR="008E3F15" w:rsidRDefault="005F449A">
      <w:pPr>
        <w:ind w:left="2" w:right="15"/>
      </w:pPr>
      <w:r>
        <w:t>терапию, обычно в амбулаторных условиях. Затем пациент поступает в стационар для восстановления синусового ритма.</w:t>
      </w:r>
    </w:p>
    <w:p w:rsidR="008E3F15" w:rsidRDefault="005F449A">
      <w:pPr>
        <w:ind w:left="2" w:right="15"/>
      </w:pPr>
      <w:r>
        <w:t>Варфарин часто начинают с дозы 5 мг/сут и подбирают дозу до достижения целевого МНО 2,5 (2,0–3,0). В период развертывания эффекта варфарина (около 5 сут) рекомендуют НМГ (эноксапарин натрия 1 мг/кг 2 раза п/к).</w:t>
      </w:r>
    </w:p>
    <w:p w:rsidR="008E3F15" w:rsidRDefault="005F449A">
      <w:pPr>
        <w:ind w:left="2" w:right="15"/>
      </w:pPr>
      <w:r>
        <w:t>Также можно использовать апиксабан (5 мг 2 ра</w:t>
      </w:r>
      <w:r>
        <w:t>за), ривароксабан (20 мг 1 раз во время еды) и дабигатрана этексилат (150 мг 2 раза), действие которых разворачивается быстрее.</w:t>
      </w:r>
    </w:p>
    <w:p w:rsidR="008E3F15" w:rsidRDefault="005F449A">
      <w:pPr>
        <w:ind w:left="2" w:right="15"/>
      </w:pPr>
      <w:r>
        <w:t>Эффективность варфарина и прямых антикоагулянтов сопоставима (Telles-Garcia N. et al., 2018; Nazha B. et al., 2018).</w:t>
      </w:r>
    </w:p>
    <w:p w:rsidR="008E3F15" w:rsidRDefault="005F449A">
      <w:pPr>
        <w:ind w:left="2" w:right="15"/>
      </w:pPr>
      <w:r>
        <w:t>Возможна ра</w:t>
      </w:r>
      <w:r>
        <w:t>нняя электроимпульсная терапия без предварительной 3-недельной антикоагулянтной терапии у пациентов с отсутствием предсердных тромбов по данным чреспищеводной эхокардиографии.</w:t>
      </w:r>
    </w:p>
    <w:p w:rsidR="008E3F15" w:rsidRDefault="005F449A">
      <w:pPr>
        <w:ind w:left="2" w:right="490"/>
      </w:pPr>
      <w:r>
        <w:t>После электроимпульсной терапии продолжают прием антикоагулянтов в течение 4 нед</w:t>
      </w:r>
      <w:r>
        <w:t>, а при высоком риске инсульта — постоянно.</w:t>
      </w:r>
    </w:p>
    <w:p w:rsidR="008E3F15" w:rsidRDefault="005F449A">
      <w:pPr>
        <w:ind w:left="2" w:right="15"/>
      </w:pPr>
      <w:r>
        <w:t>Электроимпульсная терапия является наиболее эффективным методом восстановления синусового ритма, однако требует проведения кратковременной анестезии и условий палаты интенсивной терапии. Метод предпочтительнее пр</w:t>
      </w:r>
      <w:r>
        <w:t>и длительной ФП, наличии тяжелых осложнений, очень высокой ЧСС.</w:t>
      </w:r>
    </w:p>
    <w:p w:rsidR="008E3F15" w:rsidRDefault="005F449A">
      <w:pPr>
        <w:ind w:left="2" w:right="15"/>
      </w:pPr>
      <w:r>
        <w:t>Рекомендуемая энергия бифазного разряда составляет 100, 150, 200 Дж, или возможно сразу использовать максимальный разряд 200 Дж (ILCOR). Бифазный дефибриллятор позволяет снизить мощность разря</w:t>
      </w:r>
      <w:r>
        <w:t>да, повреждение кожи и мышц и увеличить эффективность электроимпульсной терапии (Gall N., Murgatroyd F., 2007).</w:t>
      </w:r>
    </w:p>
    <w:p w:rsidR="008E3F15" w:rsidRDefault="005F449A">
      <w:pPr>
        <w:ind w:left="2" w:right="460"/>
      </w:pPr>
      <w:r>
        <w:t>При длительной ФП (более 30 сут) целесообразно начинать электроимпульсную терапию с большого разряда — 200 Дж бифазного импульса. Интервал между</w:t>
      </w:r>
      <w:r>
        <w:t xml:space="preserve"> двумя последовательными разрядами не должен быть меньше 1 мин.</w:t>
      </w:r>
    </w:p>
    <w:p w:rsidR="008E3F15" w:rsidRDefault="005F449A">
      <w:pPr>
        <w:ind w:left="2" w:right="15"/>
      </w:pPr>
      <w:r>
        <w:t>Назначение перорального амиодарона в течение 1–6 нед перед электроимпульсной терапией может увеличить частоту восстановления и сохранения синусового ритма (Um K. et al., 2019). В кардиологичес</w:t>
      </w:r>
      <w:r>
        <w:t>ком отделении выясняют особенности аритмии, подбирают</w:t>
      </w:r>
    </w:p>
    <w:p w:rsidR="008E3F15" w:rsidRDefault="005F449A">
      <w:pPr>
        <w:spacing w:after="359"/>
        <w:ind w:left="2" w:right="15"/>
      </w:pPr>
      <w:r>
        <w:t>антиаритмические препараты для профилактики, оценивают длительность антикоагуляции, определяют показания к инвазивному лечению.</w:t>
      </w:r>
    </w:p>
    <w:p w:rsidR="008E3F15" w:rsidRDefault="005F449A">
      <w:pPr>
        <w:pStyle w:val="Heading1"/>
        <w:ind w:left="2"/>
      </w:pPr>
      <w:r>
        <w:t>Часть I. Сердечно-сосудистые болезни</w:t>
      </w:r>
    </w:p>
    <w:p w:rsidR="008E3F15" w:rsidRDefault="005F449A">
      <w:pPr>
        <w:spacing w:after="179"/>
        <w:ind w:left="2" w:right="5762"/>
      </w:pPr>
      <w:r>
        <w:t xml:space="preserve">Кардиологическое отделение </w:t>
      </w:r>
      <w:r>
        <w:rPr>
          <w:b/>
        </w:rPr>
        <w:t>Диагностик</w:t>
      </w:r>
      <w:r>
        <w:rPr>
          <w:b/>
        </w:rPr>
        <w:t>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1424" behindDoc="0" locked="0" layoutInCell="1" allowOverlap="1">
                <wp:simplePos x="0" y="0"/>
                <wp:positionH relativeFrom="column">
                  <wp:posOffset>209550</wp:posOffset>
                </wp:positionH>
                <wp:positionV relativeFrom="paragraph">
                  <wp:posOffset>34826</wp:posOffset>
                </wp:positionV>
                <wp:extent cx="57150" cy="695325"/>
                <wp:effectExtent l="0" t="0" r="0" b="0"/>
                <wp:wrapSquare wrapText="bothSides"/>
                <wp:docPr id="273525" name="Group 273525"/>
                <wp:cNvGraphicFramePr/>
                <a:graphic xmlns:a="http://schemas.openxmlformats.org/drawingml/2006/main">
                  <a:graphicData uri="http://schemas.microsoft.com/office/word/2010/wordprocessingGroup">
                    <wpg:wgp>
                      <wpg:cNvGrpSpPr/>
                      <wpg:grpSpPr>
                        <a:xfrm>
                          <a:off x="0" y="0"/>
                          <a:ext cx="57150" cy="695325"/>
                          <a:chOff x="0" y="0"/>
                          <a:chExt cx="57150" cy="695325"/>
                        </a:xfrm>
                      </wpg:grpSpPr>
                      <wps:wsp>
                        <wps:cNvPr id="7398" name="Shape 7398"/>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00" name="Shape 7400"/>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02" name="Shape 7402"/>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04" name="Shape 7404"/>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10" name="Shape 7410"/>
                        <wps:cNvSpPr/>
                        <wps:spPr>
                          <a:xfrm>
                            <a:off x="0" y="638175"/>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3525" style="width:4.5pt;height:54.75pt;position:absolute;mso-position-horizontal-relative:text;mso-position-horizontal:absolute;margin-left:16.5pt;mso-position-vertical-relative:text;margin-top:2.74219pt;" coordsize="571,6953">
                <v:shape id="Shape 7398" style="position:absolute;width:571;height:571;left:0;top:0;" coordsize="57150,57150" path="m28575,0c32364,0,36009,645,39510,2084c43011,3473,46101,5556,48781,8334c51460,10914,53525,14039,54975,17562c56425,21034,57150,24755,57150,28575c57150,32296,56425,35917,54975,39439c53525,42912,51460,45988,48781,48716c46101,51346,43011,53429,39510,54818c36009,56307,32364,57051,28575,57150c24786,57051,21141,56307,17640,54918c14139,53429,11049,51346,8369,48716c5690,45988,3625,42863,2175,39340c725,35868,0,32296,0,28575c0,24755,725,21034,2175,17562c3625,14039,5690,10914,8369,8334c11049,5556,14139,3473,17640,2084c21141,645,24786,0,28575,0x">
                  <v:stroke weight="0pt" endcap="flat" joinstyle="miter" miterlimit="10" on="false" color="#000000" opacity="0"/>
                  <v:fill on="true" color="#333333"/>
                </v:shape>
                <v:shape id="Shape 7400" style="position:absolute;width:571;height:571;left:0;top:1524;" coordsize="57150,57150" path="m28575,0c32364,0,36009,645,39510,2084c43011,3473,46101,5556,48781,8334c51460,10914,53525,14039,54975,17562c56425,21034,57150,24755,57150,28575c57150,32296,56425,35917,54975,39439c53525,42912,51460,45988,48781,48716c46101,51346,43011,53429,39510,54818c36009,56307,32364,57051,28575,57150c24786,57051,21141,56307,17640,54918c14139,53429,11049,51346,8369,48716c5690,45988,3625,42863,2175,39340c725,35868,0,32296,0,28575c0,24755,725,21034,2175,17562c3625,14039,5690,10914,8369,8334c11049,5556,14139,3473,17640,2084c21141,645,24786,0,28575,0x">
                  <v:stroke weight="0pt" endcap="flat" joinstyle="miter" miterlimit="10" on="false" color="#000000" opacity="0"/>
                  <v:fill on="true" color="#333333"/>
                </v:shape>
                <v:shape id="Shape 7402" style="position:absolute;width:571;height:571;left:0;top:3048;" coordsize="57150,57150" path="m28575,0c32364,0,36009,645,39510,2084c43011,3473,46101,5556,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556,14139,3473,17640,2084c21141,645,24786,0,28575,0x">
                  <v:stroke weight="0pt" endcap="flat" joinstyle="miter" miterlimit="10" on="false" color="#000000" opacity="0"/>
                  <v:fill on="true" color="#333333"/>
                </v:shape>
                <v:shape id="Shape 7404" style="position:absolute;width:571;height:571;left:0;top:4572;" coordsize="57150,57150" path="m28575,0c32364,0,36009,645,39510,2084c43011,3473,46101,5556,48781,8334c51460,10914,53525,14039,54975,17562c56425,21034,57150,24705,57150,28575c57150,32345,56425,35917,54975,39439c53525,42912,51460,46038,48781,48716c46101,51346,43011,53429,39510,54918c36009,56307,32364,57051,28575,57150c24786,57051,21141,56307,17640,54918c14139,53429,11049,51346,8369,48716c5690,46038,3625,42912,2175,39439c725,35917,0,32345,0,28575c0,24705,725,21034,2175,17562c3625,14039,5690,10914,8369,8334c11049,5556,14139,3473,17640,2084c21141,645,24786,0,28575,0x">
                  <v:stroke weight="0pt" endcap="flat" joinstyle="miter" miterlimit="10" on="false" color="#000000" opacity="0"/>
                  <v:fill on="true" color="#333333"/>
                </v:shape>
                <v:shape id="Shape 7410" style="position:absolute;width:571;height:571;left:0;top:6381;" coordsize="57150,57150" path="m28575,0c32364,0,36009,645,39510,2084c43011,3572,46101,5655,48781,8334c51460,11013,53525,14039,54975,17562c56425,21034,57150,24755,57150,28575c57150,32296,56425,35917,54975,39439c53525,42912,51460,45988,48781,48716c46101,51346,43011,53429,39510,54818c36009,56307,32364,57051,28575,57150c24786,57051,21141,56307,17640,54818c14139,53429,11049,51346,8369,48716c5690,45988,3625,42912,2175,39439c725,35917,0,32296,0,28575c0,24755,725,21034,2175,17562c3625,14039,5690,11013,8369,8334c11049,5655,14139,3572,17640,2084c21141,645,24786,0,28575,0x">
                  <v:stroke weight="0pt" endcap="flat" joinstyle="miter" miterlimit="10" on="false" color="#000000" opacity="0"/>
                  <v:fill on="true" color="#333333"/>
                </v:shape>
                <w10:wrap type="square"/>
              </v:group>
            </w:pict>
          </mc:Fallback>
        </mc:AlternateContent>
      </w:r>
      <w:r>
        <w:t>ЭКГ.</w:t>
      </w:r>
    </w:p>
    <w:p w:rsidR="008E3F15" w:rsidRDefault="005F449A">
      <w:pPr>
        <w:spacing w:after="31"/>
        <w:ind w:left="340" w:right="15"/>
      </w:pPr>
      <w:r>
        <w:t>Мониторирование ЭКГ.</w:t>
      </w:r>
    </w:p>
    <w:p w:rsidR="008E3F15" w:rsidRDefault="005F449A">
      <w:pPr>
        <w:spacing w:after="31"/>
        <w:ind w:left="340" w:right="15"/>
      </w:pPr>
      <w:r>
        <w:t>Эхокардиография.</w:t>
      </w:r>
    </w:p>
    <w:p w:rsidR="008E3F15" w:rsidRDefault="005F449A">
      <w:pPr>
        <w:spacing w:after="31"/>
        <w:ind w:left="340" w:right="15"/>
      </w:pPr>
      <w:r>
        <w:t>Шкалы CHA</w:t>
      </w:r>
      <w:r>
        <w:rPr>
          <w:sz w:val="31"/>
          <w:vertAlign w:val="subscript"/>
        </w:rPr>
        <w:t>2</w:t>
      </w:r>
      <w:r>
        <w:t>DS</w:t>
      </w:r>
      <w:r>
        <w:rPr>
          <w:sz w:val="31"/>
          <w:vertAlign w:val="subscript"/>
        </w:rPr>
        <w:t>2</w:t>
      </w:r>
      <w:r>
        <w:t>-VASc, HAS-BLED.</w:t>
      </w:r>
    </w:p>
    <w:p w:rsidR="008E3F15" w:rsidRDefault="005F449A">
      <w:pPr>
        <w:spacing w:after="157"/>
        <w:ind w:left="340" w:right="15"/>
      </w:pPr>
      <w:r>
        <w:t>ТТГ, свободные тироксин (Т</w:t>
      </w:r>
      <w:r>
        <w:rPr>
          <w:sz w:val="31"/>
          <w:vertAlign w:val="subscript"/>
        </w:rPr>
        <w:t>4</w:t>
      </w:r>
      <w:r>
        <w:t>), трийодтиронин (Т</w:t>
      </w:r>
      <w:r>
        <w:rPr>
          <w:sz w:val="31"/>
          <w:vertAlign w:val="subscript"/>
        </w:rPr>
        <w:t>3</w:t>
      </w:r>
      <w:r>
        <w:t>).</w:t>
      </w:r>
    </w:p>
    <w:p w:rsidR="008E3F15" w:rsidRDefault="005F449A">
      <w:pPr>
        <w:pStyle w:val="Heading2"/>
        <w:ind w:left="2"/>
      </w:pPr>
      <w:r>
        <w:t>Лечение</w:t>
      </w:r>
    </w:p>
    <w:p w:rsidR="008E3F15" w:rsidRDefault="005F449A">
      <w:pPr>
        <w:ind w:left="340" w:right="5486"/>
      </w:pPr>
      <w:r>
        <w:rPr>
          <w:rFonts w:ascii="Calibri" w:eastAsia="Calibri" w:hAnsi="Calibri" w:cs="Calibri"/>
          <w:noProof/>
          <w:color w:val="000000"/>
          <w:sz w:val="22"/>
        </w:rPr>
        <mc:AlternateContent>
          <mc:Choice Requires="wpg">
            <w:drawing>
              <wp:anchor distT="0" distB="0" distL="114300" distR="114300" simplePos="0" relativeHeight="251752448"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273527" name="Group 27352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7417" name="Shape 7417"/>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19" name="Shape 7419"/>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345"/>
                                  <a:pt x="56425" y="36016"/>
                                  <a:pt x="54975" y="39489"/>
                                </a:cubicBezTo>
                                <a:cubicBezTo>
                                  <a:pt x="53525" y="42912"/>
                                  <a:pt x="51460" y="4598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5988"/>
                                  <a:pt x="3625" y="42912"/>
                                  <a:pt x="2175" y="39489"/>
                                </a:cubicBezTo>
                                <a:cubicBezTo>
                                  <a:pt x="725" y="36016"/>
                                  <a:pt x="0" y="32345"/>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21" name="Shape 7421"/>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345"/>
                                  <a:pt x="56425" y="36016"/>
                                  <a:pt x="54975" y="39489"/>
                                </a:cubicBezTo>
                                <a:cubicBezTo>
                                  <a:pt x="53525" y="42912"/>
                                  <a:pt x="51460" y="4598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5988"/>
                                  <a:pt x="3625" y="42912"/>
                                  <a:pt x="2175" y="39489"/>
                                </a:cubicBezTo>
                                <a:cubicBezTo>
                                  <a:pt x="725" y="36016"/>
                                  <a:pt x="0" y="32345"/>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3527" style="width:4.5pt;height:28.5pt;position:absolute;mso-position-horizontal-relative:text;mso-position-horizontal:absolute;margin-left:16.5pt;mso-position-vertical-relative:text;margin-top:2.74219pt;" coordsize="571,3619">
                <v:shape id="Shape 7417" style="position:absolute;width:571;height:571;left:0;top:0;" coordsize="57150,57150" path="m28575,0c32364,0,36009,744,39510,2133c43011,3572,46101,5655,48781,8334c51460,10914,53525,14039,54975,17562c56425,21034,57150,24705,57150,28575c57150,32345,56425,35917,54975,39439c53525,42912,51460,46038,48781,48716c46101,51395,43011,53479,39510,54918c36009,56406,32364,57150,28575,57150c24786,57150,21141,56406,17640,54918c14139,53479,11049,51395,8369,48716c5690,46038,3625,42912,2175,39439c725,35917,0,32345,0,28575c0,24705,725,21034,2175,17562c3625,14039,5690,10914,8369,8334c11049,5655,14139,3572,17640,2133c21141,744,24786,0,28575,0x">
                  <v:stroke weight="0pt" endcap="flat" joinstyle="miter" miterlimit="10" on="false" color="#000000" opacity="0"/>
                  <v:fill on="true" color="#333333"/>
                </v:shape>
                <v:shape id="Shape 7419" style="position:absolute;width:571;height:571;left:0;top:1524;" coordsize="57150,57150" path="m28575,0c32364,0,36009,744,39510,2133c43011,3572,46101,5655,48781,8334c51460,10914,53525,14039,54975,17562c56425,21034,57150,24705,57150,28575c57150,32345,56425,36016,54975,39489c53525,42912,51460,45988,48781,48716c46101,51395,43011,53479,39510,54918c36009,56406,32364,57150,28575,57150c24786,57150,21141,56406,17640,54918c14139,53479,11049,51395,8369,48716c5690,45988,3625,42912,2175,39489c725,36016,0,32345,0,28575c0,24705,725,21034,2175,17562c3625,14039,5690,10914,8369,8334c11049,5655,14139,3572,17640,2133c21141,744,24786,0,28575,0x">
                  <v:stroke weight="0pt" endcap="flat" joinstyle="miter" miterlimit="10" on="false" color="#000000" opacity="0"/>
                  <v:fill on="true" color="#333333"/>
                </v:shape>
                <v:shape id="Shape 7421" style="position:absolute;width:571;height:571;left:0;top:3048;" coordsize="57150,57150" path="m28575,0c32364,0,36009,744,39510,2133c43011,3572,46101,5655,48781,8334c51460,10914,53525,14039,54975,17562c56425,21034,57150,24705,57150,28575c57150,32345,56425,36016,54975,39489c53525,42912,51460,45988,48781,48716c46101,51395,43011,53479,39510,54918c36009,56406,32364,57150,28575,57150c24786,57150,21141,56406,17640,54918c14139,53479,11049,51395,8369,48716c5690,45988,3625,42912,2175,39489c725,36016,0,32345,0,28575c0,24705,725,21034,2175,17562c3625,14039,5690,10914,8369,8334c11049,5655,14139,3572,17640,2133c21141,744,24786,0,28575,0x">
                  <v:stroke weight="0pt" endcap="flat" joinstyle="miter" miterlimit="10" on="false" color="#000000" opacity="0"/>
                  <v:fill on="true" color="#333333"/>
                </v:shape>
                <w10:wrap type="square"/>
              </v:group>
            </w:pict>
          </mc:Fallback>
        </mc:AlternateContent>
      </w:r>
      <w:r>
        <w:t>Антиаритмические препараты. Контроль ЧСС.</w:t>
      </w:r>
    </w:p>
    <w:p w:rsidR="008E3F15" w:rsidRDefault="005F449A">
      <w:pPr>
        <w:spacing w:after="165"/>
        <w:ind w:left="340" w:right="15"/>
      </w:pPr>
      <w:r>
        <w:t>Антикоагулянты</w:t>
      </w:r>
    </w:p>
    <w:p w:rsidR="008E3F15" w:rsidRDefault="005F449A">
      <w:pPr>
        <w:spacing w:after="179"/>
        <w:ind w:left="2" w:right="15"/>
      </w:pPr>
      <w:r>
        <w:rPr>
          <w:b/>
        </w:rPr>
        <w:t>Диагностика.</w:t>
      </w:r>
      <w:r>
        <w:t xml:space="preserve"> Для уточнения диагноза ФП целесообразно выяснить особенности аритмии (Туров А.Н.).</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3472" behindDoc="0" locked="0" layoutInCell="1" allowOverlap="1">
                <wp:simplePos x="0" y="0"/>
                <wp:positionH relativeFrom="column">
                  <wp:posOffset>209550</wp:posOffset>
                </wp:positionH>
                <wp:positionV relativeFrom="paragraph">
                  <wp:posOffset>34826</wp:posOffset>
                </wp:positionV>
                <wp:extent cx="57150" cy="1152525"/>
                <wp:effectExtent l="0" t="0" r="0" b="0"/>
                <wp:wrapSquare wrapText="bothSides"/>
                <wp:docPr id="273532" name="Group 273532"/>
                <wp:cNvGraphicFramePr/>
                <a:graphic xmlns:a="http://schemas.openxmlformats.org/drawingml/2006/main">
                  <a:graphicData uri="http://schemas.microsoft.com/office/word/2010/wordprocessingGroup">
                    <wpg:wgp>
                      <wpg:cNvGrpSpPr/>
                      <wpg:grpSpPr>
                        <a:xfrm>
                          <a:off x="0" y="0"/>
                          <a:ext cx="57150" cy="1152525"/>
                          <a:chOff x="0" y="0"/>
                          <a:chExt cx="57150" cy="1152525"/>
                        </a:xfrm>
                      </wpg:grpSpPr>
                      <wps:wsp>
                        <wps:cNvPr id="7426" name="Shape 7426"/>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28" name="Shape 7428"/>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30" name="Shape 7430"/>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33" name="Shape 7433"/>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39" name="Shape 7439"/>
                        <wps:cNvSpPr/>
                        <wps:spPr>
                          <a:xfrm>
                            <a:off x="0" y="790575"/>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7442" name="Shape 7442"/>
                        <wps:cNvSpPr/>
                        <wps:spPr>
                          <a:xfrm>
                            <a:off x="0" y="1095375"/>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3990"/>
                                  <a:pt x="54975" y="17463"/>
                                </a:cubicBezTo>
                                <a:cubicBezTo>
                                  <a:pt x="56425" y="20985"/>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0985"/>
                                  <a:pt x="2175" y="17463"/>
                                </a:cubicBezTo>
                                <a:cubicBezTo>
                                  <a:pt x="3625" y="13990"/>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3532" style="width:4.5pt;height:90.75pt;position:absolute;mso-position-horizontal-relative:text;mso-position-horizontal:absolute;margin-left:16.5pt;mso-position-vertical-relative:text;margin-top:2.74219pt;" coordsize="571,11525">
                <v:shape id="Shape 7426" style="position:absolute;width:571;height:571;left:0;top:0;" coordsize="57150,57150" path="m28575,0c32364,0,36009,645,39510,2084c43011,3473,46101,5556,48781,8334c51460,11013,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1013,8369,8334c11049,5556,14139,3473,17640,2084c21141,645,24786,0,28575,0x">
                  <v:stroke weight="0pt" endcap="flat" joinstyle="miter" miterlimit="10" on="false" color="#000000" opacity="0"/>
                  <v:fill on="true" color="#333333"/>
                </v:shape>
                <v:shape id="Shape 7428" style="position:absolute;width:571;height:571;left:0;top:1524;" coordsize="57150,57150" path="m28575,0c32364,0,36009,645,39510,2084c43011,3473,46101,5556,48781,8334c51460,11013,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1013,8369,8334c11049,5556,14139,3473,17640,2084c21141,645,24786,0,28575,0x">
                  <v:stroke weight="0pt" endcap="flat" joinstyle="miter" miterlimit="10" on="false" color="#000000" opacity="0"/>
                  <v:fill on="true" color="#333333"/>
                </v:shape>
                <v:shape id="Shape 7430" style="position:absolute;width:571;height:571;left:0;top:3048;" coordsize="57150,57150" path="m28575,0c32364,0,36009,645,39510,2084c43011,3473,46101,5556,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556,14139,3473,17640,2084c21141,645,24786,0,28575,0x">
                  <v:stroke weight="0pt" endcap="flat" joinstyle="miter" miterlimit="10" on="false" color="#000000" opacity="0"/>
                  <v:fill on="true" color="#333333"/>
                </v:shape>
                <v:shape id="Shape 7433" style="position:absolute;width:571;height:571;left:0;top:6096;" coordsize="57150,57150" path="m28575,0c32364,0,36009,645,39510,2084c43011,3473,46101,5556,48781,8334c51460,10914,53525,14039,54975,17562c56425,21034,57150,24755,57150,28575c57150,32345,56425,35917,54975,39439c53525,42912,51460,45988,48781,48716c46101,51346,43011,53429,39510,54918c36009,56307,32364,57051,28575,57150c24786,57051,21141,56307,17640,54918c14139,53429,11049,51346,8369,48716c5690,45988,3625,42912,2175,39439c725,35917,0,32345,0,28575c0,24755,725,21034,2175,17562c3625,14039,5690,10914,8369,8334c11049,5556,14139,3473,17640,2084c21141,645,24786,0,28575,0x">
                  <v:stroke weight="0pt" endcap="flat" joinstyle="miter" miterlimit="10" on="false" color="#000000" opacity="0"/>
                  <v:fill on="true" color="#333333"/>
                </v:shape>
                <v:shape id="Shape 7439" style="position:absolute;width:571;height:571;left:0;top:7905;"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10" on="false" color="#000000" opacity="0"/>
                  <v:fill on="true" color="#333333"/>
                </v:shape>
                <v:shape id="Shape 7442" style="position:absolute;width:571;height:571;left:0;top:10953;" coordsize="57150,57150" path="m28575,0c32364,0,36009,744,39510,2133c43011,3572,46101,5655,48781,8334c51460,10914,53525,13990,54975,17463c56425,20985,57150,24705,57150,28575c57150,32296,56425,35917,54975,39439c53525,42912,51460,45988,48781,48716c46101,51346,43011,53429,39510,54918c36009,56307,32364,57051,28575,57150c24786,57051,21141,56307,17640,54918c14139,53429,11049,51346,8369,48716c5690,45988,3625,42912,2175,39439c725,35917,0,32296,0,28575c0,24705,725,20985,2175,17463c3625,13990,5690,10914,8369,8334c11049,5655,14139,3572,17640,2133c21141,744,24786,0,28575,0x">
                  <v:stroke weight="0pt" endcap="flat" joinstyle="miter" miterlimit="10" on="false" color="#000000" opacity="0"/>
                  <v:fill on="true" color="#333333"/>
                </v:shape>
                <w10:wrap type="square"/>
              </v:group>
            </w:pict>
          </mc:Fallback>
        </mc:AlternateContent>
      </w:r>
      <w:r>
        <w:t>Возраст.</w:t>
      </w:r>
    </w:p>
    <w:p w:rsidR="008E3F15" w:rsidRDefault="005F449A">
      <w:pPr>
        <w:spacing w:after="31"/>
        <w:ind w:left="340" w:right="15"/>
      </w:pPr>
      <w:r>
        <w:t>Основное заболевание.</w:t>
      </w:r>
    </w:p>
    <w:p w:rsidR="008E3F15" w:rsidRDefault="005F449A">
      <w:pPr>
        <w:ind w:left="340" w:right="15"/>
      </w:pPr>
      <w:r>
        <w:t>Хирургическая коррекция основного заболевания (например, митральная комиссуротомия).</w:t>
      </w:r>
    </w:p>
    <w:p w:rsidR="008E3F15" w:rsidRDefault="005F449A">
      <w:pPr>
        <w:spacing w:after="31"/>
        <w:ind w:left="340" w:right="15"/>
      </w:pPr>
      <w:r>
        <w:t>ТТГ, Т</w:t>
      </w:r>
      <w:r>
        <w:rPr>
          <w:sz w:val="31"/>
          <w:vertAlign w:val="subscript"/>
        </w:rPr>
        <w:t>4</w:t>
      </w:r>
      <w:r>
        <w:t>, Т</w:t>
      </w:r>
      <w:r>
        <w:rPr>
          <w:sz w:val="31"/>
          <w:vertAlign w:val="subscript"/>
        </w:rPr>
        <w:t>3</w:t>
      </w:r>
      <w:r>
        <w:t xml:space="preserve"> (норма, гипертиреоз, гипотиреоз).</w:t>
      </w:r>
    </w:p>
    <w:p w:rsidR="008E3F15" w:rsidRDefault="005F449A">
      <w:pPr>
        <w:ind w:left="340" w:right="296"/>
      </w:pPr>
      <w:r>
        <w:t>Коморбидные заболевания (например, хроническая обструктивная болезнь легких или ХБП).</w:t>
      </w:r>
    </w:p>
    <w:p w:rsidR="008E3F15" w:rsidRDefault="005F449A">
      <w:pPr>
        <w:spacing w:after="179"/>
        <w:ind w:left="340" w:right="423"/>
      </w:pPr>
      <w:r>
        <w:t>Эхокардиография: ФВЛЖ (важно определить истинный показатель), размеры левого и правого предсердий, наличие тромбов в левом предсердии.</w:t>
      </w:r>
    </w:p>
    <w:p w:rsidR="008E3F15" w:rsidRDefault="005F449A">
      <w:pPr>
        <w:spacing w:line="259" w:lineRule="auto"/>
        <w:ind w:right="0"/>
      </w:pPr>
      <w:r>
        <w:rPr>
          <w:i/>
        </w:rPr>
        <w:t>Рецидивирующая ФП:</w:t>
      </w:r>
    </w:p>
    <w:p w:rsidR="008E3F15" w:rsidRDefault="005F449A">
      <w:pPr>
        <w:ind w:left="340" w:right="3354"/>
      </w:pPr>
      <w:r>
        <w:rPr>
          <w:rFonts w:ascii="Calibri" w:eastAsia="Calibri" w:hAnsi="Calibri" w:cs="Calibri"/>
          <w:noProof/>
          <w:color w:val="000000"/>
          <w:sz w:val="22"/>
        </w:rPr>
        <mc:AlternateContent>
          <mc:Choice Requires="wpg">
            <w:drawing>
              <wp:anchor distT="0" distB="0" distL="114300" distR="114300" simplePos="0" relativeHeight="251754496" behindDoc="0" locked="0" layoutInCell="1" allowOverlap="1">
                <wp:simplePos x="0" y="0"/>
                <wp:positionH relativeFrom="column">
                  <wp:posOffset>209550</wp:posOffset>
                </wp:positionH>
                <wp:positionV relativeFrom="paragraph">
                  <wp:posOffset>34826</wp:posOffset>
                </wp:positionV>
                <wp:extent cx="57150" cy="819150"/>
                <wp:effectExtent l="0" t="0" r="0" b="0"/>
                <wp:wrapSquare wrapText="bothSides"/>
                <wp:docPr id="281045" name="Group 281045"/>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7514" name="Shape 7514"/>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6016"/>
                                  <a:pt x="54975" y="3948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89"/>
                                </a:cubicBezTo>
                                <a:cubicBezTo>
                                  <a:pt x="725" y="36016"/>
                                  <a:pt x="0" y="32345"/>
                                  <a:pt x="0" y="28575"/>
                                </a:cubicBezTo>
                                <a:cubicBezTo>
                                  <a:pt x="0" y="24705"/>
                                  <a:pt x="725" y="20985"/>
                                  <a:pt x="2175" y="17463"/>
                                </a:cubicBezTo>
                                <a:cubicBezTo>
                                  <a:pt x="3625" y="13990"/>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16" name="Shape 7516"/>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3990"/>
                                  <a:pt x="54975" y="17463"/>
                                </a:cubicBezTo>
                                <a:cubicBezTo>
                                  <a:pt x="56425" y="20985"/>
                                  <a:pt x="57150" y="2470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296"/>
                                  <a:pt x="0" y="28575"/>
                                </a:cubicBezTo>
                                <a:cubicBezTo>
                                  <a:pt x="0" y="24705"/>
                                  <a:pt x="725" y="20985"/>
                                  <a:pt x="2175" y="17463"/>
                                </a:cubicBezTo>
                                <a:cubicBezTo>
                                  <a:pt x="3625" y="13990"/>
                                  <a:pt x="5690" y="10914"/>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18" name="Shape 7518"/>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21" name="Shape 7521"/>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23" name="Shape 7523"/>
                        <wps:cNvSpPr/>
                        <wps:spPr>
                          <a:xfrm>
                            <a:off x="0" y="7620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045" style="width:4.5pt;height:64.5pt;position:absolute;mso-position-horizontal-relative:text;mso-position-horizontal:absolute;margin-left:16.5pt;mso-position-vertical-relative:text;margin-top:2.74219pt;" coordsize="571,8191">
                <v:shape id="Shape 7514" style="position:absolute;width:571;height:571;left:0;top:0;" coordsize="57150,57150" path="m28575,0c32364,0,36009,744,39510,2133c43011,3572,46101,5655,48781,8334c51460,10914,53525,13990,54975,17463c56425,20985,57150,24705,57150,28575c57150,32345,56425,36016,54975,39489c53525,42912,51460,45988,48781,48716c46101,51346,43011,53429,39510,54918c36009,56307,32364,57051,28575,57150c24786,57051,21141,56307,17640,54918c14139,53429,11049,51346,8369,48716c5690,45988,3625,42912,2175,39489c725,36016,0,32345,0,28575c0,24705,725,20985,2175,17463c3625,13990,5690,10914,8369,8334c11049,5655,14139,3572,17640,2133c21141,744,24786,0,28575,0x">
                  <v:stroke weight="0pt" endcap="flat" joinstyle="miter" miterlimit="4" on="false" color="#000000" opacity="0"/>
                  <v:fill on="true" color="#333333"/>
                </v:shape>
                <v:shape id="Shape 7516" style="position:absolute;width:571;height:571;left:0;top:1524;" coordsize="57150,57150" path="m28575,0c32364,0,36009,645,39510,2084c43011,3572,46101,5655,48781,8334c51460,10914,53525,13990,54975,17463c56425,20985,57150,24705,57150,28575c57150,32296,56425,35917,54975,39439c53525,42912,51460,45988,48781,48716c46101,51346,43011,53429,39510,54818c36009,56307,32364,57051,28575,57150c24786,57051,21141,56307,17640,54818c14139,53429,11049,51346,8369,48716c5690,45988,3625,42912,2175,39439c725,35917,0,32296,0,28575c0,24705,725,20985,2175,17463c3625,13990,5690,10914,8369,8334c11049,5655,14139,3572,17640,2084c21141,645,24786,0,28575,0x">
                  <v:stroke weight="0pt" endcap="flat" joinstyle="miter" miterlimit="4" on="false" color="#000000" opacity="0"/>
                  <v:fill on="true" color="#333333"/>
                </v:shape>
                <v:shape id="Shape 7518" style="position:absolute;width:571;height:571;left:0;top:3048;" coordsize="57150,57150" path="m28575,0c32364,0,36009,645,39510,2084c43011,3572,46101,5655,48781,8334c51460,10914,53525,13990,54975,17463c56425,20985,57150,24705,57150,28575c57150,32345,56425,35917,54975,39439c53525,42912,51460,45988,48781,48716c46101,51346,43011,53429,39510,54818c36009,56307,32364,57051,28575,57150c24786,57051,21141,56307,17640,54818c14139,53429,11049,51346,8369,48716c5690,45988,3625,42912,2175,39439c725,35917,0,32345,0,28575c0,24705,725,20985,2175,17463c3625,13990,5690,10914,8369,8334c11049,5655,14139,3572,17640,2084c21141,645,24786,0,28575,0x">
                  <v:stroke weight="0pt" endcap="flat" joinstyle="miter" miterlimit="4" on="false" color="#000000" opacity="0"/>
                  <v:fill on="true" color="#333333"/>
                </v:shape>
                <v:shape id="Shape 7521" style="position:absolute;width:571;height:571;left:0;top:6096;" coordsize="57150,57150" path="m28575,0c32364,0,36009,645,39510,2084c43011,3473,46101,5556,48781,8334c51460,1091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914,8369,8334c11049,5556,14139,3473,17640,2084c21141,645,24786,0,28575,0x">
                  <v:stroke weight="0pt" endcap="flat" joinstyle="miter" miterlimit="4" on="false" color="#000000" opacity="0"/>
                  <v:fill on="true" color="#333333"/>
                </v:shape>
                <v:shape id="Shape 7523" style="position:absolute;width:571;height:571;left:0;top:7620;" coordsize="57150,57150" path="m28575,0c32364,0,36009,645,39510,2084c43011,3473,46101,5556,48781,8334c51460,11013,53525,14039,54975,17562c56425,21034,57150,24755,57150,28575c57150,32345,56425,35917,54975,39439c53525,42912,51460,46038,48781,48716c46101,51395,43011,53479,39510,54918c36009,56307,32364,57051,28575,57150c24786,57051,21141,56307,17640,54918c14139,53479,11049,51395,8369,48716c5690,46038,3625,42912,2175,39439c725,35917,0,32345,0,28575c0,24755,725,21034,2175,17562c3625,14039,5690,11013,8369,8334c11049,5556,14139,3473,17640,2084c21141,645,24786,0,28575,0x">
                  <v:stroke weight="0pt" endcap="flat" joinstyle="miter" miterlimit="4" on="false" color="#000000" opacity="0"/>
                  <v:fill on="true" color="#333333"/>
                </v:shape>
                <w10:wrap type="square"/>
              </v:group>
            </w:pict>
          </mc:Fallback>
        </mc:AlternateContent>
      </w:r>
      <w:r>
        <w:t>время первых пр</w:t>
      </w:r>
      <w:r>
        <w:t>оявлений аритмии; какие лекарственные препараты и дозы принимали ранее?</w:t>
      </w:r>
    </w:p>
    <w:p w:rsidR="008E3F15" w:rsidRDefault="005F449A">
      <w:pPr>
        <w:spacing w:after="31"/>
        <w:ind w:left="340" w:right="15"/>
      </w:pPr>
      <w:r>
        <w:t>частота пароксизмов на фоне терапии в течение последнего года (например, 3–</w:t>
      </w:r>
    </w:p>
    <w:p w:rsidR="008E3F15" w:rsidRDefault="005F449A">
      <w:pPr>
        <w:spacing w:after="31"/>
        <w:ind w:left="340" w:right="15"/>
      </w:pPr>
      <w:r>
        <w:t>5 приступов в месяц);</w:t>
      </w:r>
    </w:p>
    <w:p w:rsidR="008E3F15" w:rsidRDefault="005F449A">
      <w:pPr>
        <w:spacing w:after="179"/>
        <w:ind w:left="340" w:right="221"/>
      </w:pPr>
      <w:r>
        <w:t>средняя продолжительность пароксизма (например, 10–20 мин или 1–3 ч); имеются ли нарушения гемодинамики во время приступа (головокружение, обмороки, ангинозные боли, одышка, слабость, гипотония)?</w:t>
      </w:r>
    </w:p>
    <w:p w:rsidR="008E3F15" w:rsidRDefault="005F449A">
      <w:pPr>
        <w:spacing w:after="133" w:line="259" w:lineRule="auto"/>
        <w:ind w:right="0"/>
      </w:pPr>
      <w:r>
        <w:rPr>
          <w:i/>
        </w:rPr>
        <w:t>Постоянная ФП:</w:t>
      </w:r>
    </w:p>
    <w:p w:rsidR="008E3F15" w:rsidRDefault="005F449A">
      <w:pPr>
        <w:spacing w:after="179"/>
        <w:ind w:left="340" w:right="475"/>
      </w:pPr>
      <w:r>
        <w:rPr>
          <w:rFonts w:ascii="Calibri" w:eastAsia="Calibri" w:hAnsi="Calibri" w:cs="Calibri"/>
          <w:noProof/>
          <w:color w:val="000000"/>
          <w:sz w:val="22"/>
        </w:rPr>
        <mc:AlternateContent>
          <mc:Choice Requires="wpg">
            <w:drawing>
              <wp:anchor distT="0" distB="0" distL="114300" distR="114300" simplePos="0" relativeHeight="251755520"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281046" name="Group 281046"/>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7527" name="Shape 7527"/>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29" name="Shape 7529"/>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31" name="Shape 7531"/>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603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603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33" name="Shape 7533"/>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38" name="Shape 7538"/>
                        <wps:cNvSpPr/>
                        <wps:spPr>
                          <a:xfrm>
                            <a:off x="0" y="7620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540" name="Shape 7540"/>
                        <wps:cNvSpPr/>
                        <wps:spPr>
                          <a:xfrm>
                            <a:off x="0" y="914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046" style="width:4.5pt;height:76.5pt;position:absolute;mso-position-horizontal-relative:text;mso-position-horizontal:absolute;margin-left:16.5pt;mso-position-vertical-relative:text;margin-top:2.74219pt;" coordsize="571,9715">
                <v:shape id="Shape 7527" style="position:absolute;width:571;height:571;left:0;top:0;"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4" on="false" color="#000000" opacity="0"/>
                  <v:fill on="true" color="#333333"/>
                </v:shape>
                <v:shape id="Shape 7529" style="position:absolute;width:571;height:571;left:0;top:1524;" coordsize="57150,57150" path="m28575,0c32364,0,36009,744,39510,2133c43011,3572,46101,5655,48781,8334c51460,11013,53525,14139,54975,17611c56425,21134,57150,24755,57150,28575c57150,32296,56425,35917,54975,39439c53525,42912,51460,46038,48781,48716c46101,51346,43011,53429,39510,54918c36009,56307,32364,57051,28575,57150c24786,57051,21141,56307,17640,54918c14139,53429,11049,51346,8369,48716c5690,46038,3625,42912,2175,39439c725,35917,0,32296,0,28575c0,24755,725,21134,2175,17611c3625,14139,5690,11013,8369,8334c11049,5655,14139,3572,17640,2133c21141,744,24786,0,28575,0x">
                  <v:stroke weight="0pt" endcap="flat" joinstyle="miter" miterlimit="4" on="false" color="#000000" opacity="0"/>
                  <v:fill on="true" color="#333333"/>
                </v:shape>
                <v:shape id="Shape 7531" style="position:absolute;width:571;height:571;left:0;top:3048;" coordsize="57150,57150" path="m28575,0c32364,0,36009,744,39510,2133c43011,3572,46101,5655,48781,8334c51460,11013,53525,14139,54975,17611c56425,21134,57150,24755,57150,28575c57150,32296,56425,35917,54975,39439c53525,42912,51460,46038,48781,48716c46101,51346,43011,53429,39510,54918c36009,56307,32364,57051,28575,57150c24786,57051,21141,56307,17640,54918c14139,53429,11049,51346,8369,48716c5690,46038,3625,42912,2175,39439c725,35917,0,32296,0,28575c0,24755,725,21134,2175,17611c3625,14139,5690,11013,8369,8334c11049,5655,14139,3572,17640,2133c21141,744,24786,0,28575,0x">
                  <v:stroke weight="0pt" endcap="flat" joinstyle="miter" miterlimit="4" on="false" color="#000000" opacity="0"/>
                  <v:fill on="true" color="#333333"/>
                </v:shape>
                <v:shape id="Shape 7533" style="position:absolute;width:571;height:571;left:0;top:4572;" coordsize="57150,57150" path="m28575,0c32364,0,36009,744,39510,2133c43011,3572,46101,5655,48781,8334c51460,10914,53525,14039,54975,17562c56425,21034,57150,24705,57150,28575c57150,32296,56425,35917,54975,39439c53525,42912,51460,46038,48781,48716c46101,51395,43011,53479,39510,54918c36009,56307,32364,57051,28575,57150c24786,57051,21141,56307,17640,54918c14139,53479,11049,51395,8369,48716c5690,46038,3625,42912,2175,39439c725,35917,0,32296,0,28575c0,24705,725,21034,2175,17562c3625,14039,5690,10914,8369,8334c11049,5655,14139,3572,17640,2133c21141,744,24786,0,28575,0x">
                  <v:stroke weight="0pt" endcap="flat" joinstyle="miter" miterlimit="4" on="false" color="#000000" opacity="0"/>
                  <v:fill on="true" color="#333333"/>
                </v:shape>
                <v:shape id="Shape 7538" style="position:absolute;width:571;height:571;left:0;top:7620;" coordsize="57150,57150" path="m28575,0c32364,0,36009,744,39510,2133c43011,3572,46101,5655,48781,8334c51460,10914,53525,14039,54975,17562c56425,21034,57150,24705,57150,28575c57150,32296,56425,35917,54975,39439c53525,42912,51460,46038,48781,48716c46101,51395,43011,53479,39510,54918c36009,56307,32364,57051,28575,57150c24786,57051,21141,56307,17640,54918c14139,53479,11049,51395,8369,48716c5690,46038,3625,42912,2175,39439c725,35917,0,32296,0,28575c0,24705,725,21034,2175,17562c3625,14039,5690,10914,8369,8334c11049,5655,14139,3572,17640,2133c21141,744,24786,0,28575,0x">
                  <v:stroke weight="0pt" endcap="flat" joinstyle="miter" miterlimit="4" on="false" color="#000000" opacity="0"/>
                  <v:fill on="true" color="#333333"/>
                </v:shape>
                <v:shape id="Shape 7540" style="position:absolute;width:571;height:571;left:0;top:9144;" coordsize="57150,57150" path="m28575,0c32364,0,36009,744,39510,2133c43011,3572,46101,5655,48781,8334c51460,10914,53525,14039,54975,17562c56425,21034,57150,24705,57150,28575c57150,32296,56425,35917,54975,39439c53525,42912,51460,45988,48781,48716c46101,51395,43011,53479,39510,54918c36009,56307,32364,57051,28575,57150c24786,57051,21141,56307,17640,54918c14139,53479,11049,51395,8369,48716c5690,45988,3625,42912,2175,39439c725,35917,0,32296,0,28575c0,24705,725,21034,2175,17562c3625,14039,5690,10914,8369,8334c11049,5655,14139,3572,17640,2133c21141,744,24786,0,28575,0x">
                  <v:stroke weight="0pt" endcap="flat" joinstyle="miter" miterlimit="4" on="false" color="#000000" opacity="0"/>
                  <v:fill on="true" color="#333333"/>
                </v:shape>
                <w10:wrap type="square"/>
              </v:group>
            </w:pict>
          </mc:Fallback>
        </mc:AlternateContent>
      </w:r>
      <w:r>
        <w:t>длительность настоящего эпизода (например, 2</w:t>
      </w:r>
      <w:r>
        <w:t xml:space="preserve"> года); были ли приступы аритмии до хронизации? были ли попытки электроимпульсной терапии? мониторирование ЭКГ на фоне лекарственных препаратов — ЧСС средняя, ЧСС мин, ЧСС макс, </w:t>
      </w:r>
      <w:r>
        <w:rPr>
          <w:i/>
        </w:rPr>
        <w:t>RRmax</w:t>
      </w:r>
      <w:r>
        <w:t>, число пауз 2–3 с, число пауз &gt;3 с; какие препараты принимал во время мо</w:t>
      </w:r>
      <w:r>
        <w:t>ниторирования ЭКГ? имеются ли нарушения гемодинамики (аритмия асимптомна, СН)?</w:t>
      </w:r>
    </w:p>
    <w:p w:rsidR="008E3F15" w:rsidRDefault="005F449A">
      <w:pPr>
        <w:ind w:left="2" w:right="15"/>
      </w:pPr>
      <w:r>
        <w:rPr>
          <w:b/>
        </w:rPr>
        <w:t>Лечение.</w:t>
      </w:r>
      <w:r>
        <w:t xml:space="preserve"> Ведение пациентов с ФП зависит от формы аритмии, наличия и тяжести симптомов, вызванных нарушением ритма сердца. Существует два основных метода лечения рецидивов ФП: со</w:t>
      </w:r>
      <w:r>
        <w:t>хранение ФП с контролем ЧСС, восстановление и сохранение синусового ритма. По данным исследований (AFFIRM; PIAF; STAF), частота улучшения самочувствия, качество жизни, риск осложнений не отличались при обоих подходах.</w:t>
      </w:r>
    </w:p>
    <w:p w:rsidR="008E3F15" w:rsidRDefault="005F449A">
      <w:pPr>
        <w:ind w:left="2" w:right="15"/>
      </w:pPr>
      <w:r>
        <w:t>Критерии выбора той или иной тактики л</w:t>
      </w:r>
      <w:r>
        <w:t xml:space="preserve">ечения перечислены в </w:t>
      </w:r>
      <w:r>
        <w:rPr>
          <w:b/>
        </w:rPr>
        <w:t>табл. 4.5</w:t>
      </w:r>
      <w:r>
        <w:t>. Размеры и дисфункция левого предсердия тесно связаны с риском рецидивов ФП и тромбоэмболий</w:t>
      </w:r>
    </w:p>
    <w:p w:rsidR="008E3F15" w:rsidRDefault="005F449A">
      <w:pPr>
        <w:spacing w:after="31"/>
        <w:ind w:left="2" w:right="15"/>
      </w:pPr>
      <w:r>
        <w:t>(Thangjui S. et al., 2021).</w:t>
      </w:r>
    </w:p>
    <w:p w:rsidR="008E3F15" w:rsidRDefault="005F449A">
      <w:pPr>
        <w:spacing w:after="31"/>
        <w:ind w:left="2" w:right="15"/>
      </w:pPr>
      <w:r>
        <w:rPr>
          <w:b/>
        </w:rPr>
        <w:t xml:space="preserve">Таблица 4.5. </w:t>
      </w:r>
      <w:r>
        <w:t>Факторы выбора тактики лечения фибрилляции предсердий</w:t>
      </w:r>
    </w:p>
    <w:tbl>
      <w:tblPr>
        <w:tblStyle w:val="TableGrid"/>
        <w:tblW w:w="10485" w:type="dxa"/>
        <w:tblInd w:w="30" w:type="dxa"/>
        <w:tblCellMar>
          <w:top w:w="80" w:type="dxa"/>
          <w:left w:w="38" w:type="dxa"/>
          <w:bottom w:w="15" w:type="dxa"/>
          <w:right w:w="54" w:type="dxa"/>
        </w:tblCellMar>
        <w:tblLook w:val="04A0" w:firstRow="1" w:lastRow="0" w:firstColumn="1" w:lastColumn="0" w:noHBand="0" w:noVBand="1"/>
      </w:tblPr>
      <w:tblGrid>
        <w:gridCol w:w="2760"/>
        <w:gridCol w:w="4155"/>
        <w:gridCol w:w="3570"/>
      </w:tblGrid>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Фактор</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Контроль синусового ритма</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Контр</w:t>
            </w:r>
            <w:r>
              <w:rPr>
                <w:b/>
              </w:rPr>
              <w:t>оль ЧСС</w:t>
            </w:r>
          </w:p>
        </w:tc>
      </w:tr>
      <w:tr w:rsidR="008E3F15">
        <w:trPr>
          <w:trHeight w:val="570"/>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Клиническая картина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Выраженные симптомы, несмотря на адекватный контроль ЧСС</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Хорошее самочувствие при адекватном контроле ЧСС</w:t>
            </w:r>
          </w:p>
        </w:tc>
      </w:tr>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Коморбидность</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Нет, невыраженная</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Выраженная</w:t>
            </w:r>
          </w:p>
        </w:tc>
      </w:tr>
      <w:tr w:rsidR="008E3F15">
        <w:trPr>
          <w:trHeight w:val="6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27" w:firstLine="0"/>
            </w:pPr>
            <w:r>
              <w:t>Кардиомиопатия левого предсердия</w:t>
            </w:r>
          </w:p>
        </w:tc>
        <w:tc>
          <w:tcPr>
            <w:tcW w:w="415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8" w:right="0" w:firstLine="0"/>
            </w:pPr>
            <w:r>
              <w:t>Размер &lt;45 мм, индекс &lt;34 мл/м</w:t>
            </w:r>
            <w:r>
              <w:rPr>
                <w:sz w:val="31"/>
                <w:vertAlign w:val="superscript"/>
              </w:rPr>
              <w:t>2</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972" w:firstLine="0"/>
            </w:pPr>
            <w:r>
              <w:t>Размер &gt;50 мм, индекс &gt;42 мл/м</w:t>
            </w:r>
            <w:r>
              <w:rPr>
                <w:sz w:val="31"/>
                <w:vertAlign w:val="superscript"/>
              </w:rPr>
              <w:t>2</w:t>
            </w:r>
          </w:p>
        </w:tc>
      </w:tr>
      <w:tr w:rsidR="008E3F15">
        <w:trPr>
          <w:trHeight w:val="57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Состояние левого желудочка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Гипертрофия, нормальная функция или легкая дисфункция</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283" w:firstLine="0"/>
            </w:pPr>
            <w:r>
              <w:t>Выраженная дилатация и систолическая дисфункция</w:t>
            </w:r>
          </w:p>
        </w:tc>
      </w:tr>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Длительность ФП</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&lt;1 года</w:t>
            </w:r>
          </w:p>
        </w:tc>
        <w:tc>
          <w:tcPr>
            <w:tcW w:w="357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&gt;1 года</w:t>
            </w:r>
          </w:p>
        </w:tc>
      </w:tr>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Возраст</w:t>
            </w:r>
          </w:p>
        </w:tc>
        <w:tc>
          <w:tcPr>
            <w:tcW w:w="415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t>Молодые, активные</w:t>
            </w:r>
          </w:p>
        </w:tc>
        <w:tc>
          <w:tcPr>
            <w:tcW w:w="357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Возраст &gt;65 лет, малоактивные</w:t>
            </w:r>
          </w:p>
        </w:tc>
      </w:tr>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Форма ФП</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Пароксизмальная</w:t>
            </w:r>
          </w:p>
        </w:tc>
        <w:tc>
          <w:tcPr>
            <w:tcW w:w="35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Персистирующая</w:t>
            </w:r>
          </w:p>
        </w:tc>
      </w:tr>
      <w:tr w:rsidR="008E3F15">
        <w:trPr>
          <w:trHeight w:val="570"/>
        </w:trPr>
        <w:tc>
          <w:tcPr>
            <w:tcW w:w="27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Брадиаритмия</w:t>
            </w:r>
          </w:p>
        </w:tc>
        <w:tc>
          <w:tcPr>
            <w:tcW w:w="41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Нет</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Дисфункция синусового узла, АВ-блокада 2–3-й степени</w:t>
            </w:r>
          </w:p>
        </w:tc>
      </w:tr>
      <w:tr w:rsidR="008E3F15">
        <w:trPr>
          <w:trHeight w:val="33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Риск кровотечений</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Высокий</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Низкий</w:t>
            </w:r>
          </w:p>
        </w:tc>
      </w:tr>
      <w:tr w:rsidR="008E3F15">
        <w:trPr>
          <w:trHeight w:val="570"/>
        </w:trPr>
        <w:tc>
          <w:tcPr>
            <w:tcW w:w="27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Сохранение синусового ритма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Хороший профилактический эф фект антиаритмических препаратов</w:t>
            </w:r>
          </w:p>
        </w:tc>
        <w:tc>
          <w:tcPr>
            <w:tcW w:w="3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Трудности сохранения синусового ритма</w:t>
            </w:r>
          </w:p>
        </w:tc>
      </w:tr>
    </w:tbl>
    <w:p w:rsidR="008E3F15" w:rsidRDefault="005F449A">
      <w:pPr>
        <w:ind w:left="2" w:right="113"/>
      </w:pPr>
      <w:r>
        <w:rPr>
          <w:i/>
        </w:rPr>
        <w:t>Контроль частоты желудочковых сокращений.</w:t>
      </w:r>
      <w:r>
        <w:t xml:space="preserve"> Многие пациенты лучше переносят постоянную ФП, чем рецидивирующую аритмию. Поэтому если профилактическая антиаритмическая терапия малоэффективна, то рекомендуется просто контр</w:t>
      </w:r>
      <w:r>
        <w:t>олировать ЧСС. С целью контроля ЧСС обычно назначают β-адреноблокаторы, блокаторы кальциевых каналов (верапамил, дилтиазем) (</w:t>
      </w:r>
      <w:r>
        <w:rPr>
          <w:b/>
        </w:rPr>
        <w:t>табл. 4.6</w:t>
      </w:r>
      <w:r>
        <w:t>). Блокаторы кальциевых каналов не показаны при СНнФВ. Дигоксин слабее контролирует ЧСС, чем β-адреноблокаторы и верапамил</w:t>
      </w:r>
      <w:r>
        <w:t>, и нельзя исключить повышение смертности.</w:t>
      </w:r>
    </w:p>
    <w:p w:rsidR="008E3F15" w:rsidRDefault="005F449A">
      <w:pPr>
        <w:spacing w:after="31"/>
        <w:ind w:left="2" w:right="15"/>
      </w:pPr>
      <w:r>
        <w:rPr>
          <w:b/>
        </w:rPr>
        <w:t xml:space="preserve">Таблица 4.6. </w:t>
      </w:r>
      <w:r>
        <w:t>Пероральные препараты для контроля частоты сердечных сокращений при фибрилляции предсердий</w:t>
      </w:r>
    </w:p>
    <w:tbl>
      <w:tblPr>
        <w:tblStyle w:val="TableGrid"/>
        <w:tblW w:w="9225" w:type="dxa"/>
        <w:tblInd w:w="30" w:type="dxa"/>
        <w:tblCellMar>
          <w:top w:w="58" w:type="dxa"/>
          <w:left w:w="44" w:type="dxa"/>
          <w:bottom w:w="0" w:type="dxa"/>
          <w:right w:w="46" w:type="dxa"/>
        </w:tblCellMar>
        <w:tblLook w:val="04A0" w:firstRow="1" w:lastRow="0" w:firstColumn="1" w:lastColumn="0" w:noHBand="0" w:noVBand="1"/>
      </w:tblPr>
      <w:tblGrid>
        <w:gridCol w:w="15"/>
        <w:gridCol w:w="1470"/>
        <w:gridCol w:w="15"/>
        <w:gridCol w:w="7725"/>
        <w:gridCol w:w="15"/>
      </w:tblGrid>
      <w:tr w:rsidR="008E3F15">
        <w:trPr>
          <w:gridAfter w:val="1"/>
          <w:wAfter w:w="15" w:type="dxa"/>
          <w:trHeight w:val="330"/>
        </w:trPr>
        <w:tc>
          <w:tcPr>
            <w:tcW w:w="1485"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1" w:right="0" w:firstLine="0"/>
              <w:jc w:val="both"/>
            </w:pPr>
            <w:r>
              <w:rPr>
                <w:b/>
                <w:bdr w:val="single" w:sz="12" w:space="0" w:color="000000"/>
              </w:rPr>
              <w:t>Препараты</w:t>
            </w:r>
          </w:p>
        </w:tc>
        <w:tc>
          <w:tcPr>
            <w:tcW w:w="7740"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Доза внутрь</w:t>
            </w:r>
          </w:p>
        </w:tc>
      </w:tr>
      <w:tr w:rsidR="008E3F15">
        <w:trPr>
          <w:gridAfter w:val="1"/>
          <w:wAfter w:w="15" w:type="dxa"/>
          <w:trHeight w:val="330"/>
        </w:trPr>
        <w:tc>
          <w:tcPr>
            <w:tcW w:w="922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β-Адреноблокаторы</w:t>
            </w:r>
          </w:p>
        </w:tc>
      </w:tr>
      <w:tr w:rsidR="008E3F15">
        <w:trPr>
          <w:gridAfter w:val="1"/>
          <w:wAfter w:w="15" w:type="dxa"/>
          <w:trHeight w:val="308"/>
        </w:trPr>
        <w:tc>
          <w:tcPr>
            <w:tcW w:w="1485" w:type="dxa"/>
            <w:gridSpan w:val="2"/>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0" w:firstLine="0"/>
            </w:pPr>
            <w:r>
              <w:t>Атенолол</w:t>
            </w:r>
          </w:p>
        </w:tc>
        <w:tc>
          <w:tcPr>
            <w:tcW w:w="7740" w:type="dxa"/>
            <w:gridSpan w:val="2"/>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50–200 мг однократно</w:t>
            </w:r>
          </w:p>
        </w:tc>
      </w:tr>
      <w:tr w:rsidR="008E3F15">
        <w:trPr>
          <w:gridAfter w:val="1"/>
          <w:wAfter w:w="15" w:type="dxa"/>
          <w:trHeight w:val="375"/>
        </w:trPr>
        <w:tc>
          <w:tcPr>
            <w:tcW w:w="9225" w:type="dxa"/>
            <w:gridSpan w:val="4"/>
            <w:tcBorders>
              <w:top w:val="single" w:sz="6" w:space="0" w:color="000000"/>
              <w:left w:val="single" w:sz="6" w:space="0" w:color="000000"/>
              <w:bottom w:val="nil"/>
              <w:right w:val="single" w:sz="6" w:space="0" w:color="000000"/>
            </w:tcBorders>
          </w:tcPr>
          <w:p w:rsidR="008E3F15" w:rsidRDefault="005F449A">
            <w:pPr>
              <w:spacing w:after="0" w:line="259" w:lineRule="auto"/>
              <w:ind w:left="1" w:right="0" w:firstLine="0"/>
            </w:pPr>
            <w:r>
              <w:rPr>
                <w:bdr w:val="single" w:sz="12" w:space="0" w:color="000000"/>
              </w:rPr>
              <w:t>Метопролол 50–100 мг 2 раза в день, продленная форма 100–200 мг однократно</w:t>
            </w:r>
          </w:p>
        </w:tc>
      </w:tr>
      <w:tr w:rsidR="008E3F15">
        <w:trPr>
          <w:gridAfter w:val="1"/>
          <w:wAfter w:w="15" w:type="dxa"/>
          <w:trHeight w:val="308"/>
        </w:trPr>
        <w:tc>
          <w:tcPr>
            <w:tcW w:w="1485" w:type="dxa"/>
            <w:gridSpan w:val="2"/>
            <w:vMerge w:val="restart"/>
            <w:tcBorders>
              <w:top w:val="nil"/>
              <w:left w:val="single" w:sz="6" w:space="0" w:color="000000"/>
              <w:bottom w:val="nil"/>
              <w:right w:val="nil"/>
            </w:tcBorders>
          </w:tcPr>
          <w:p w:rsidR="008E3F15" w:rsidRDefault="005F449A">
            <w:pPr>
              <w:spacing w:after="0" w:line="259" w:lineRule="auto"/>
              <w:ind w:left="1" w:right="0" w:firstLine="0"/>
              <w:jc w:val="both"/>
            </w:pPr>
            <w:r>
              <w:rPr>
                <w:bdr w:val="single" w:sz="12" w:space="0" w:color="000000"/>
              </w:rPr>
              <w:t>Карведилол</w:t>
            </w:r>
          </w:p>
          <w:p w:rsidR="008E3F15" w:rsidRDefault="005F449A">
            <w:pPr>
              <w:spacing w:after="0" w:line="259" w:lineRule="auto"/>
              <w:ind w:left="1" w:right="0" w:firstLine="0"/>
              <w:jc w:val="both"/>
            </w:pPr>
            <w:r>
              <w:rPr>
                <w:bdr w:val="single" w:sz="12" w:space="0" w:color="000000"/>
              </w:rPr>
              <w:t>Бисопролол</w:t>
            </w:r>
          </w:p>
        </w:tc>
        <w:tc>
          <w:tcPr>
            <w:tcW w:w="7740" w:type="dxa"/>
            <w:gridSpan w:val="2"/>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12,5–25 мг 2 раза в день</w:t>
            </w:r>
          </w:p>
        </w:tc>
      </w:tr>
      <w:tr w:rsidR="008E3F15">
        <w:trPr>
          <w:gridAfter w:val="1"/>
          <w:wAfter w:w="15" w:type="dxa"/>
          <w:trHeight w:val="308"/>
        </w:trPr>
        <w:tc>
          <w:tcPr>
            <w:tcW w:w="0" w:type="auto"/>
            <w:gridSpan w:val="2"/>
            <w:vMerge/>
            <w:tcBorders>
              <w:top w:val="nil"/>
              <w:left w:val="single" w:sz="6" w:space="0" w:color="000000"/>
              <w:bottom w:val="nil"/>
              <w:right w:val="nil"/>
            </w:tcBorders>
          </w:tcPr>
          <w:p w:rsidR="008E3F15" w:rsidRDefault="008E3F15">
            <w:pPr>
              <w:spacing w:after="160" w:line="259" w:lineRule="auto"/>
              <w:ind w:left="0" w:right="0" w:firstLine="0"/>
            </w:pPr>
          </w:p>
        </w:tc>
        <w:tc>
          <w:tcPr>
            <w:tcW w:w="7740" w:type="dxa"/>
            <w:gridSpan w:val="2"/>
            <w:tcBorders>
              <w:top w:val="double" w:sz="6" w:space="0" w:color="000000"/>
              <w:left w:val="single" w:sz="6" w:space="0" w:color="000000"/>
              <w:bottom w:val="single" w:sz="6" w:space="0" w:color="000000"/>
              <w:right w:val="double" w:sz="6" w:space="0" w:color="000000"/>
            </w:tcBorders>
          </w:tcPr>
          <w:p w:rsidR="008E3F15" w:rsidRDefault="005F449A">
            <w:pPr>
              <w:spacing w:after="0" w:line="259" w:lineRule="auto"/>
              <w:ind w:left="0" w:right="0" w:firstLine="0"/>
            </w:pPr>
            <w:r>
              <w:t>5–10 мг однократно</w:t>
            </w:r>
          </w:p>
        </w:tc>
      </w:tr>
      <w:tr w:rsidR="008E3F15">
        <w:trPr>
          <w:gridAfter w:val="1"/>
          <w:wAfter w:w="15" w:type="dxa"/>
          <w:trHeight w:val="128"/>
        </w:trPr>
        <w:tc>
          <w:tcPr>
            <w:tcW w:w="0" w:type="auto"/>
            <w:gridSpan w:val="2"/>
            <w:vMerge/>
            <w:tcBorders>
              <w:top w:val="nil"/>
              <w:left w:val="single" w:sz="6" w:space="0" w:color="000000"/>
              <w:bottom w:val="nil"/>
              <w:right w:val="nil"/>
            </w:tcBorders>
          </w:tcPr>
          <w:p w:rsidR="008E3F15" w:rsidRDefault="008E3F15">
            <w:pPr>
              <w:spacing w:after="160" w:line="259" w:lineRule="auto"/>
              <w:ind w:left="0" w:right="0" w:firstLine="0"/>
            </w:pPr>
          </w:p>
        </w:tc>
        <w:tc>
          <w:tcPr>
            <w:tcW w:w="7740" w:type="dxa"/>
            <w:gridSpan w:val="2"/>
            <w:tcBorders>
              <w:top w:val="single" w:sz="6" w:space="0" w:color="000000"/>
              <w:left w:val="nil"/>
              <w:bottom w:val="nil"/>
              <w:right w:val="single" w:sz="6" w:space="0" w:color="000000"/>
            </w:tcBorders>
          </w:tcPr>
          <w:p w:rsidR="008E3F15" w:rsidRDefault="008E3F15">
            <w:pPr>
              <w:spacing w:after="160" w:line="259" w:lineRule="auto"/>
              <w:ind w:left="0" w:right="0" w:firstLine="0"/>
            </w:pPr>
          </w:p>
        </w:tc>
      </w:tr>
      <w:tr w:rsidR="008E3F15">
        <w:trPr>
          <w:gridBefore w:val="1"/>
          <w:wBefore w:w="15" w:type="dxa"/>
          <w:trHeight w:val="285"/>
        </w:trPr>
        <w:tc>
          <w:tcPr>
            <w:tcW w:w="9225" w:type="dxa"/>
            <w:gridSpan w:val="4"/>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0" w:firstLine="0"/>
            </w:pPr>
            <w:r>
              <w:rPr>
                <w:b/>
              </w:rPr>
              <w:t>Другие препараты</w:t>
            </w:r>
          </w:p>
        </w:tc>
      </w:tr>
      <w:tr w:rsidR="008E3F15">
        <w:trPr>
          <w:gridBefore w:val="1"/>
          <w:wBefore w:w="15" w:type="dxa"/>
          <w:trHeight w:val="375"/>
        </w:trPr>
        <w:tc>
          <w:tcPr>
            <w:tcW w:w="9225" w:type="dxa"/>
            <w:gridSpan w:val="4"/>
            <w:tcBorders>
              <w:top w:val="single" w:sz="6" w:space="0" w:color="000000"/>
              <w:left w:val="single" w:sz="6" w:space="0" w:color="000000"/>
              <w:bottom w:val="single" w:sz="6" w:space="0" w:color="000000"/>
              <w:right w:val="single" w:sz="6" w:space="0" w:color="000000"/>
            </w:tcBorders>
          </w:tcPr>
          <w:p w:rsidR="008E3F15" w:rsidRDefault="005F449A">
            <w:pPr>
              <w:tabs>
                <w:tab w:val="right" w:pos="9135"/>
              </w:tabs>
              <w:spacing w:after="0" w:line="259" w:lineRule="auto"/>
              <w:ind w:left="0" w:right="0" w:firstLine="0"/>
            </w:pPr>
            <w:r>
              <w:rPr>
                <w:bdr w:val="single" w:sz="12" w:space="0" w:color="000000"/>
              </w:rPr>
              <w:t>Верапамил</w:t>
            </w:r>
            <w:r>
              <w:rPr>
                <w:bdr w:val="single" w:sz="12" w:space="0" w:color="000000"/>
              </w:rPr>
              <w:tab/>
              <w:t>40–80 мг 2–3 раза в день, продленная форма 120–360 мг однократно</w:t>
            </w:r>
          </w:p>
        </w:tc>
      </w:tr>
      <w:tr w:rsidR="008E3F15">
        <w:trPr>
          <w:gridBefore w:val="1"/>
          <w:wBefore w:w="15" w:type="dxa"/>
          <w:trHeight w:val="308"/>
        </w:trPr>
        <w:tc>
          <w:tcPr>
            <w:tcW w:w="1485" w:type="dxa"/>
            <w:gridSpan w:val="2"/>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Дилтиазем</w:t>
            </w:r>
          </w:p>
        </w:tc>
        <w:tc>
          <w:tcPr>
            <w:tcW w:w="7740" w:type="dxa"/>
            <w:gridSpan w:val="2"/>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 мг 3 раза в день, продленная форма 120–360 мг однократно</w:t>
            </w:r>
          </w:p>
        </w:tc>
      </w:tr>
      <w:tr w:rsidR="008E3F15">
        <w:trPr>
          <w:gridBefore w:val="1"/>
          <w:wBefore w:w="15" w:type="dxa"/>
          <w:trHeight w:val="330"/>
        </w:trPr>
        <w:tc>
          <w:tcPr>
            <w:tcW w:w="1485" w:type="dxa"/>
            <w:gridSpan w:val="2"/>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0" w:firstLine="0"/>
            </w:pPr>
            <w:r>
              <w:t>Дигоксин</w:t>
            </w:r>
          </w:p>
        </w:tc>
        <w:tc>
          <w:tcPr>
            <w:tcW w:w="774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0,125–0,5 мг однократно</w:t>
            </w:r>
          </w:p>
        </w:tc>
      </w:tr>
      <w:tr w:rsidR="008E3F15">
        <w:trPr>
          <w:gridBefore w:val="1"/>
          <w:wBefore w:w="15" w:type="dxa"/>
          <w:trHeight w:val="330"/>
        </w:trPr>
        <w:tc>
          <w:tcPr>
            <w:tcW w:w="1485"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1" w:right="0" w:firstLine="0"/>
            </w:pPr>
            <w:r>
              <w:rPr>
                <w:bdr w:val="single" w:sz="12" w:space="0" w:color="000000"/>
              </w:rPr>
              <w:t>Амиодарон</w:t>
            </w:r>
          </w:p>
        </w:tc>
        <w:tc>
          <w:tcPr>
            <w:tcW w:w="7740" w:type="dxa"/>
            <w:gridSpan w:val="2"/>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200 мг однократно</w:t>
            </w:r>
          </w:p>
        </w:tc>
      </w:tr>
    </w:tbl>
    <w:p w:rsidR="008E3F15" w:rsidRDefault="005F449A">
      <w:pPr>
        <w:pStyle w:val="Heading1"/>
        <w:ind w:left="2"/>
      </w:pPr>
      <w:r>
        <w:t>Часть I. Сердечно-сосудистые болезни</w:t>
      </w:r>
    </w:p>
    <w:p w:rsidR="008E3F15" w:rsidRDefault="005F449A">
      <w:pPr>
        <w:ind w:left="2" w:right="15"/>
      </w:pPr>
      <w:r>
        <w:t>Для длительного лечения целесообразно выбирать препарат с однократным приемом. У ряда пациентов, особенно с ТП, может потребоваться назначение комбинации препаратов. ЧСС считается контролируемой, когда она варьирует между 60 и 80 в мин в покое и 90–115 в м</w:t>
      </w:r>
      <w:r>
        <w:t xml:space="preserve">ин — при умеренной физической нагрузке. Если повышенная ЧСС не вызывает симптомов, то возможен мягкий контроль с ЧСС в покое менее 110 в мин (RACE II). </w:t>
      </w:r>
      <w:r>
        <w:rPr>
          <w:i/>
        </w:rPr>
        <w:t>Профилактическая антиаритмическая терапия</w:t>
      </w:r>
      <w:r>
        <w:t>. Длительная профилактика ФП осуществляется с помощью антиаритм</w:t>
      </w:r>
      <w:r>
        <w:t xml:space="preserve">ических препаратов, перечисленных в </w:t>
      </w:r>
      <w:r>
        <w:rPr>
          <w:b/>
        </w:rPr>
        <w:t>табл. 4.7</w:t>
      </w:r>
      <w:r>
        <w:t>. Подбор лечения обычно занимает длительное время с эмпирическим выбором препарата, подбором дозы, заменой при частых рецидивах ФП.</w:t>
      </w:r>
    </w:p>
    <w:p w:rsidR="008E3F15" w:rsidRDefault="005F449A">
      <w:pPr>
        <w:spacing w:after="31"/>
        <w:ind w:left="2" w:right="15"/>
      </w:pPr>
      <w:r>
        <w:rPr>
          <w:b/>
        </w:rPr>
        <w:t xml:space="preserve">Таблица 4.7. </w:t>
      </w:r>
      <w:r>
        <w:t>Препараты для профилактики фибрилляции предсердий (ESC, AHA/ACC/HRS, РКО/ВНОА/АССХ)</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7785"/>
        <w:gridCol w:w="2700"/>
      </w:tblGrid>
      <w:tr w:rsidR="008E3F15">
        <w:trPr>
          <w:trHeight w:val="3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Препараты</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Суточные дозы</w:t>
            </w:r>
          </w:p>
        </w:tc>
      </w:tr>
      <w:tr w:rsidR="008E3F15">
        <w:trPr>
          <w:trHeight w:val="3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Пропафенон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150–300 мг 3 раза</w:t>
            </w:r>
          </w:p>
        </w:tc>
      </w:tr>
      <w:tr w:rsidR="008E3F15">
        <w:trPr>
          <w:trHeight w:val="3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Лаппаконитина гидробромид</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25–50 мг 3 раза</w:t>
            </w:r>
          </w:p>
        </w:tc>
      </w:tr>
      <w:tr w:rsidR="008E3F15">
        <w:trPr>
          <w:trHeight w:val="6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Диэтиламинопропионилэтоксикарбониламинофенотиазин (Этацизин</w:t>
            </w:r>
            <w:r>
              <w:rPr>
                <w:sz w:val="31"/>
                <w:vertAlign w:val="superscript"/>
              </w:rPr>
              <w:t>♠</w:t>
            </w:r>
            <w:r>
              <w:t>)</w:t>
            </w:r>
          </w:p>
        </w:tc>
        <w:tc>
          <w:tcPr>
            <w:tcW w:w="27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50–75 мг 3 раза</w:t>
            </w:r>
          </w:p>
        </w:tc>
      </w:tr>
      <w:tr w:rsidR="008E3F15">
        <w:trPr>
          <w:trHeight w:val="570"/>
        </w:trPr>
        <w:tc>
          <w:tcPr>
            <w:tcW w:w="77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Амиодарон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600 мг 1 мес, затем</w:t>
            </w:r>
          </w:p>
          <w:p w:rsidR="008E3F15" w:rsidRDefault="005F449A">
            <w:pPr>
              <w:spacing w:after="0" w:line="259" w:lineRule="auto"/>
              <w:ind w:left="2" w:right="0" w:firstLine="0"/>
            </w:pPr>
            <w:r>
              <w:t>200 мг</w:t>
            </w:r>
          </w:p>
        </w:tc>
      </w:tr>
      <w:tr w:rsidR="008E3F15">
        <w:trPr>
          <w:trHeight w:val="3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Соталол</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80–160 мг 2 раза</w:t>
            </w:r>
          </w:p>
        </w:tc>
      </w:tr>
      <w:tr w:rsidR="008E3F15">
        <w:trPr>
          <w:trHeight w:val="330"/>
        </w:trPr>
        <w:tc>
          <w:tcPr>
            <w:tcW w:w="77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Ранолазин</w:t>
            </w:r>
          </w:p>
        </w:tc>
        <w:tc>
          <w:tcPr>
            <w:tcW w:w="27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500–1000 мг 2 раза</w:t>
            </w:r>
          </w:p>
        </w:tc>
      </w:tr>
    </w:tbl>
    <w:p w:rsidR="008E3F15" w:rsidRDefault="005F449A">
      <w:pPr>
        <w:ind w:left="2" w:right="1233"/>
      </w:pPr>
      <w:r>
        <w:t>В случае выраженных заболеваний сердца нежелательны пропафенон, Этацизин</w:t>
      </w:r>
      <w:r>
        <w:rPr>
          <w:sz w:val="31"/>
          <w:vertAlign w:val="superscript"/>
        </w:rPr>
        <w:t xml:space="preserve">♠ </w:t>
      </w:r>
      <w:r>
        <w:t>и лаппаконитина гидробромид.</w:t>
      </w:r>
    </w:p>
    <w:p w:rsidR="008E3F15" w:rsidRDefault="005F449A">
      <w:pPr>
        <w:ind w:left="2" w:right="15"/>
      </w:pPr>
      <w:r>
        <w:t>У пациентов с выраженной гипертрофией левого желудочка (индекс массы мио карда ≥149 г/ м</w:t>
      </w:r>
      <w:r>
        <w:rPr>
          <w:sz w:val="31"/>
          <w:vertAlign w:val="superscript"/>
        </w:rPr>
        <w:t>2</w:t>
      </w:r>
      <w:r>
        <w:t xml:space="preserve"> у мужчин и ≥122 г/м</w:t>
      </w:r>
      <w:r>
        <w:rPr>
          <w:sz w:val="31"/>
          <w:vertAlign w:val="superscript"/>
        </w:rPr>
        <w:t xml:space="preserve">2 </w:t>
      </w:r>
      <w:r>
        <w:t xml:space="preserve">у женщин ASE/EAE) и СН можно использовать только амиодарон. При коронарной болезни целесообразно назначение соталола, ранолазина или амиодарона. </w:t>
      </w:r>
      <w:r>
        <w:t>В случае связи ФП с физической или психоэмоциональной нагрузкой могут быть эффективны β-адреноблокаторы и соталол, а при ночой или постпрандиальной ФП — лаппаконитина гидробромид.</w:t>
      </w:r>
    </w:p>
    <w:p w:rsidR="008E3F15" w:rsidRDefault="005F449A">
      <w:pPr>
        <w:spacing w:after="359"/>
        <w:ind w:left="2" w:right="15"/>
      </w:pPr>
      <w:r>
        <w:t>Противотромботическое лечение при наличии показаний проводится с помощью вар</w:t>
      </w:r>
      <w:r>
        <w:t>фарина или прямых оральных антикоагулянтов и рассмотрено ниже.</w:t>
      </w:r>
    </w:p>
    <w:p w:rsidR="008E3F15" w:rsidRDefault="005F449A">
      <w:pPr>
        <w:pStyle w:val="Heading1"/>
        <w:ind w:left="2"/>
      </w:pPr>
      <w:r>
        <w:t>Часть I. Сердечно-сосудистые болезни</w:t>
      </w:r>
    </w:p>
    <w:p w:rsidR="008E3F15" w:rsidRDefault="005F449A">
      <w:pPr>
        <w:spacing w:after="179"/>
        <w:ind w:left="2" w:right="6454"/>
      </w:pPr>
      <w:r>
        <w:t xml:space="preserve">Амбулаторное лечение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6544"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279306" name="Group 279306"/>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7741" name="Shape 7741"/>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743" name="Shape 7743"/>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746" name="Shape 7746"/>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748" name="Shape 7748"/>
                        <wps:cNvSpPr/>
                        <wps:spPr>
                          <a:xfrm>
                            <a:off x="0" y="6096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9306" style="width:4.5pt;height:52.5pt;position:absolute;mso-position-horizontal-relative:text;mso-position-horizontal:absolute;margin-left:16.5pt;mso-position-vertical-relative:text;margin-top:2.74219pt;" coordsize="571,6667">
                <v:shape id="Shape 7741" style="position:absolute;width:571;height:571;left:0;top:0;" coordsize="57150,57150" path="m28575,0c32364,0,36009,744,39510,2133c43011,3572,46101,5655,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655,14139,3572,17640,2133c21141,744,24786,0,28575,0x">
                  <v:stroke weight="0pt" endcap="flat" joinstyle="miter" miterlimit="4" on="false" color="#000000" opacity="0"/>
                  <v:fill on="true" color="#333333"/>
                </v:shape>
                <v:shape id="Shape 7743" style="position:absolute;width:571;height:571;left:0;top:1524;" coordsize="57150,57150" path="m28575,0c32364,0,36009,744,39510,2133c43011,3572,46101,5655,48781,8334c51460,10914,53525,14039,54975,17562c56425,21034,57150,24755,57150,28575c57150,32296,56425,35917,54975,39439c53525,42912,51460,46038,48781,48716c46101,51346,43011,53429,39510,54818c36009,56307,32364,57051,28575,57150c24786,57051,21141,56307,17640,54818c14139,53429,11049,51346,8369,48716c5690,46038,3625,42912,2175,39439c725,35917,0,32296,0,28575c0,24755,725,21034,2175,17562c3625,14039,5690,10914,8369,8334c11049,5655,14139,3572,17640,2133c21141,744,24786,0,28575,0x">
                  <v:stroke weight="0pt" endcap="flat" joinstyle="miter" miterlimit="4" on="false" color="#000000" opacity="0"/>
                  <v:fill on="true" color="#333333"/>
                </v:shape>
                <v:shape id="Shape 7746" style="position:absolute;width:571;height:571;left:0;top:4572;" coordsize="57150,57150" path="m28575,0c32364,0,36009,744,39510,2133c43011,3572,46101,5655,48781,8334c51460,11013,53525,14139,54975,17611c56425,21134,57150,24755,57150,28575c57150,32296,56425,35917,54975,39439c53525,42912,51460,46038,48781,48716c46101,51395,43011,53479,39510,54918c36009,56307,32364,57051,28575,57150c24786,57051,21141,56307,17640,54918c14139,53479,11049,51395,8369,48716c5690,46038,3625,42912,2175,39439c725,35917,0,32296,0,28575c0,24755,725,21134,2175,17611c3625,14139,5690,11013,8369,8334c11049,5655,14139,3572,17640,2133c21141,744,24786,0,28575,0x">
                  <v:stroke weight="0pt" endcap="flat" joinstyle="miter" miterlimit="4" on="false" color="#000000" opacity="0"/>
                  <v:fill on="true" color="#333333"/>
                </v:shape>
                <v:shape id="Shape 7748" style="position:absolute;width:571;height:571;left:0;top:6096;" coordsize="57150,57150" path="m28575,0c32364,0,36009,744,39510,2133c43011,3572,46101,5655,48781,8334c51460,11013,53525,14139,54975,17611c56425,21134,57150,24755,57150,28575c57150,32296,56425,35917,54975,39439c53525,42912,51460,46038,48781,48716c46101,51395,43011,53479,39510,54918c36009,56307,32364,57051,28575,57150c24786,57051,21141,56307,17640,54918c14139,53479,11049,51395,8369,48716c5690,46038,3625,42912,2175,39439c725,35917,0,32296,0,28575c0,24755,725,21134,2175,17611c3625,14139,5690,11013,8369,8334c11049,5655,14139,3572,17640,2133c21141,744,24786,0,28575,0x">
                  <v:stroke weight="0pt" endcap="flat" joinstyle="miter" miterlimit="4" on="false" color="#000000" opacity="0"/>
                  <v:fill on="true" color="#333333"/>
                </v:shape>
                <w10:wrap type="square"/>
              </v:group>
            </w:pict>
          </mc:Fallback>
        </mc:AlternateContent>
      </w:r>
      <w:r>
        <w:t>ЭКГ.</w:t>
      </w:r>
    </w:p>
    <w:p w:rsidR="008E3F15" w:rsidRDefault="005F449A">
      <w:pPr>
        <w:ind w:left="340" w:right="813"/>
      </w:pPr>
      <w:r>
        <w:t>Длительное мониторирование ЭКГ, мобильные электрокардиографы, тонометры с детектором ФП.</w:t>
      </w:r>
    </w:p>
    <w:p w:rsidR="008E3F15" w:rsidRDefault="005F449A">
      <w:pPr>
        <w:spacing w:after="31"/>
        <w:ind w:left="340" w:right="15"/>
      </w:pPr>
      <w:r>
        <w:t>Эхокардиография.</w:t>
      </w:r>
    </w:p>
    <w:p w:rsidR="008E3F15" w:rsidRDefault="005F449A">
      <w:pPr>
        <w:spacing w:after="165"/>
        <w:ind w:left="340" w:right="15"/>
      </w:pPr>
      <w:r>
        <w:t>Шкалы CHA2DS2-VASc, HAS-BLED.</w:t>
      </w:r>
    </w:p>
    <w:p w:rsidR="008E3F15" w:rsidRDefault="005F449A">
      <w:pPr>
        <w:spacing w:after="0" w:line="259" w:lineRule="auto"/>
        <w:ind w:left="0" w:right="0" w:firstLine="0"/>
      </w:pPr>
      <w:r>
        <w:t xml:space="preserve"> </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7568"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279308" name="Group 279308"/>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7752" name="Shape 7752"/>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754" name="Shape 7754"/>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7756" name="Shape 7756"/>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235"/>
                                </a:cubicBezTo>
                                <a:cubicBezTo>
                                  <a:pt x="51460" y="10914"/>
                                  <a:pt x="53525" y="13990"/>
                                  <a:pt x="54975" y="17463"/>
                                </a:cubicBezTo>
                                <a:cubicBezTo>
                                  <a:pt x="56425" y="21034"/>
                                  <a:pt x="57150" y="24755"/>
                                  <a:pt x="57150" y="28575"/>
                                </a:cubicBezTo>
                                <a:cubicBezTo>
                                  <a:pt x="57150" y="32345"/>
                                  <a:pt x="56425" y="36016"/>
                                  <a:pt x="54975" y="3948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89"/>
                                </a:cubicBezTo>
                                <a:cubicBezTo>
                                  <a:pt x="725" y="36016"/>
                                  <a:pt x="0" y="32345"/>
                                  <a:pt x="0" y="28575"/>
                                </a:cubicBezTo>
                                <a:cubicBezTo>
                                  <a:pt x="0" y="24755"/>
                                  <a:pt x="725" y="21034"/>
                                  <a:pt x="2175" y="17463"/>
                                </a:cubicBezTo>
                                <a:cubicBezTo>
                                  <a:pt x="3625" y="13990"/>
                                  <a:pt x="5690" y="10914"/>
                                  <a:pt x="8369" y="8235"/>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9308" style="width:4.5pt;height:28.5pt;position:absolute;mso-position-horizontal-relative:text;mso-position-horizontal:absolute;margin-left:16.5pt;mso-position-vertical-relative:text;margin-top:2.74219pt;" coordsize="571,3619">
                <v:shape id="Shape 7752" style="position:absolute;width:571;height:571;left:0;top:0;" coordsize="57150,57150" path="m28575,0c32364,0,36009,744,39510,2133c43011,3572,46101,5655,48781,8334c51460,11013,53525,14139,54975,17611c56425,21134,57150,24755,57150,28575c57150,32296,56425,35917,54975,39439c53525,42912,51460,45988,48781,48716c46101,51395,43011,53479,39510,54918c36009,56307,32364,57051,28575,57150c24786,57051,21141,56307,17640,54918c14139,53479,11049,51395,8369,48716c5690,45988,3625,42912,2175,39439c725,35917,0,32296,0,28575c0,24755,725,21134,2175,17611c3625,14139,5690,11013,8369,8334c11049,5655,14139,3572,17640,2133c21141,744,24786,0,28575,0x">
                  <v:stroke weight="0pt" endcap="flat" joinstyle="miter" miterlimit="4" on="false" color="#000000" opacity="0"/>
                  <v:fill on="true" color="#333333"/>
                </v:shape>
                <v:shape id="Shape 7754" style="position:absolute;width:571;height:571;left:0;top:1524;"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4" on="false" color="#000000" opacity="0"/>
                  <v:fill on="true" color="#333333"/>
                </v:shape>
                <v:shape id="Shape 7756" style="position:absolute;width:571;height:571;left:0;top:3048;" coordsize="57150,57150" path="m28575,0c32364,0,36009,744,39510,2133c43011,3572,46101,5655,48781,8235c51460,10914,53525,13990,54975,17463c56425,21034,57150,24755,57150,28575c57150,32345,56425,36016,54975,39489c53525,42912,51460,45988,48781,48716c46101,51346,43011,53429,39510,54918c36009,56307,32364,57051,28575,57150c24786,57051,21141,56307,17640,54918c14139,53429,11049,51346,8369,48716c5690,45988,3625,42912,2175,39489c725,36016,0,32345,0,28575c0,24755,725,21034,2175,17463c3625,13990,5690,10914,8369,8235c11049,5655,14139,3572,17640,2133c21141,744,24786,0,28575,0x">
                  <v:stroke weight="0pt" endcap="flat" joinstyle="miter" miterlimit="4" on="false" color="#000000" opacity="0"/>
                  <v:fill on="true" color="#333333"/>
                </v:shape>
                <w10:wrap type="square"/>
              </v:group>
            </w:pict>
          </mc:Fallback>
        </mc:AlternateContent>
      </w:r>
      <w:r>
        <w:t>Антиаритмические препараты.</w:t>
      </w:r>
    </w:p>
    <w:p w:rsidR="008E3F15" w:rsidRDefault="005F449A">
      <w:pPr>
        <w:spacing w:after="31"/>
        <w:ind w:left="340" w:right="15"/>
      </w:pPr>
      <w:r>
        <w:t>Контроль ЧСС.</w:t>
      </w:r>
    </w:p>
    <w:p w:rsidR="008E3F15" w:rsidRDefault="005F449A">
      <w:pPr>
        <w:spacing w:after="31"/>
        <w:ind w:left="340" w:right="15"/>
      </w:pPr>
      <w:r>
        <w:t>Оральные антикоагулянты.</w:t>
      </w:r>
    </w:p>
    <w:p w:rsidR="008E3F15" w:rsidRDefault="005F449A">
      <w:pPr>
        <w:ind w:left="2" w:right="15"/>
      </w:pPr>
      <w:r>
        <w:t>Системное лечение пациентов ФП в рамках АВС-подхода (профилактика инсульта антикоагулянтами, лучший контроль симптомов аритмии, лечение коморбидност</w:t>
      </w:r>
      <w:r>
        <w:t>и) может снизить частоту осложнений, смертности и стоимость лечения (Pastori D. et al., 2019; Yoon M. et al., 2019).</w:t>
      </w:r>
    </w:p>
    <w:p w:rsidR="008E3F15" w:rsidRDefault="005F449A">
      <w:pPr>
        <w:ind w:left="2" w:right="15"/>
      </w:pPr>
      <w:r>
        <w:t>На амбулаторном этапе важно определиться с подходом к длительному лечению ФП: ожидание приступа и его купирование (обычно с помощью пропафе</w:t>
      </w:r>
      <w:r>
        <w:t>нона), либо профилактика с помощью антиаритмической терапии или абляции, либо контроль желудочковых сокращений (</w:t>
      </w:r>
      <w:r>
        <w:rPr>
          <w:b/>
        </w:rPr>
        <w:t>табл. 4.8</w:t>
      </w:r>
      <w:r>
        <w:t xml:space="preserve">, </w:t>
      </w:r>
      <w:r>
        <w:rPr>
          <w:b/>
        </w:rPr>
        <w:t>рис. 4.3</w:t>
      </w:r>
      <w:r>
        <w:t xml:space="preserve">, </w:t>
      </w:r>
      <w:r>
        <w:rPr>
          <w:b/>
        </w:rPr>
        <w:t>4.4</w:t>
      </w:r>
      <w:r>
        <w:t>).</w:t>
      </w:r>
    </w:p>
    <w:p w:rsidR="008E3F15" w:rsidRDefault="005F449A">
      <w:pPr>
        <w:spacing w:after="31"/>
        <w:ind w:left="2" w:right="15"/>
      </w:pPr>
      <w:r>
        <w:rPr>
          <w:b/>
        </w:rPr>
        <w:t xml:space="preserve">Таблица 4.8. </w:t>
      </w:r>
      <w:r>
        <w:t>Амбулаторное лечение фибрилляции предсердий</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3045"/>
        <w:gridCol w:w="3555"/>
        <w:gridCol w:w="3885"/>
      </w:tblGrid>
      <w:tr w:rsidR="008E3F15">
        <w:trPr>
          <w:trHeight w:val="330"/>
        </w:trPr>
        <w:tc>
          <w:tcPr>
            <w:tcW w:w="3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Тип ФП</w:t>
            </w: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Течение</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b/>
              </w:rPr>
              <w:t>Лечение</w:t>
            </w:r>
          </w:p>
        </w:tc>
      </w:tr>
      <w:tr w:rsidR="008E3F15">
        <w:trPr>
          <w:trHeight w:val="810"/>
        </w:trPr>
        <w:tc>
          <w:tcPr>
            <w:tcW w:w="30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Впервые</w:t>
            </w:r>
          </w:p>
          <w:p w:rsidR="008E3F15" w:rsidRDefault="005F449A">
            <w:pPr>
              <w:spacing w:after="0" w:line="259" w:lineRule="auto"/>
              <w:ind w:left="0" w:right="0" w:firstLine="0"/>
            </w:pPr>
            <w:r>
              <w:t>диагностированная ФП</w:t>
            </w: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Восстановление синусового ритма спонтанное или после электроимпульсной терапии</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253" w:firstLine="0"/>
            </w:pPr>
            <w:r>
              <w:t>На 1 мес назначаются антиаритмические препараты и антитромботическая терапия</w:t>
            </w:r>
          </w:p>
        </w:tc>
      </w:tr>
      <w:tr w:rsidR="008E3F15">
        <w:trPr>
          <w:trHeight w:val="330"/>
        </w:trPr>
        <w:tc>
          <w:tcPr>
            <w:tcW w:w="304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Рецидивирующая ФП без антиаритмических препаратов</w:t>
            </w: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Бессимптомная ФП</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Контроль ЧСС</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69" w:firstLine="0"/>
            </w:pPr>
            <w:r>
              <w:t>Симптомные приступы реже 1 раза в 3 мес</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Купирование ФП или контроль ЧСС</w:t>
            </w:r>
          </w:p>
        </w:tc>
      </w:tr>
      <w:tr w:rsidR="008E3F15">
        <w:trPr>
          <w:trHeight w:val="81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5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60" w:firstLine="0"/>
            </w:pPr>
            <w:r>
              <w:t>Симптомные приступы чаще 1 раза в 3 мес</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Длительно антиаритмические препараты, а при неэффективности — абляция</w:t>
            </w:r>
          </w:p>
        </w:tc>
      </w:tr>
      <w:tr w:rsidR="008E3F15">
        <w:trPr>
          <w:trHeight w:val="1050"/>
        </w:trPr>
        <w:tc>
          <w:tcPr>
            <w:tcW w:w="304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Рецидивирующая ФП</w:t>
            </w:r>
          </w:p>
          <w:p w:rsidR="008E3F15" w:rsidRDefault="005F449A">
            <w:pPr>
              <w:spacing w:after="0" w:line="259" w:lineRule="auto"/>
              <w:ind w:left="0" w:right="0" w:firstLine="0"/>
            </w:pPr>
            <w:r>
              <w:t>на фоне антиаритмических препаратов</w:t>
            </w:r>
          </w:p>
        </w:tc>
        <w:tc>
          <w:tcPr>
            <w:tcW w:w="35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402" w:firstLine="0"/>
            </w:pPr>
            <w:r>
              <w:t>Бессимптомная ФП или симптомные приступы реже 1 раза в 3 мес</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Подбор антиаритмических</w:t>
            </w:r>
          </w:p>
          <w:p w:rsidR="008E3F15" w:rsidRDefault="005F449A">
            <w:pPr>
              <w:spacing w:after="0" w:line="216" w:lineRule="auto"/>
              <w:ind w:left="5" w:right="0" w:firstLine="0"/>
            </w:pPr>
            <w:r>
              <w:t>препаратов, а при неэффективности — абляция.</w:t>
            </w:r>
          </w:p>
          <w:p w:rsidR="008E3F15" w:rsidRDefault="005F449A">
            <w:pPr>
              <w:spacing w:after="0" w:line="259" w:lineRule="auto"/>
              <w:ind w:left="5" w:right="0" w:firstLine="0"/>
            </w:pPr>
            <w:r>
              <w:t>Контроль ЧСС</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60" w:firstLine="0"/>
            </w:pPr>
            <w:r>
              <w:t>Симптомные приступы чаще 1 раза в 3 мес</w:t>
            </w:r>
          </w:p>
        </w:tc>
        <w:tc>
          <w:tcPr>
            <w:tcW w:w="38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Абляция или контроль ЧСС</w:t>
            </w:r>
          </w:p>
        </w:tc>
      </w:tr>
      <w:tr w:rsidR="008E3F15">
        <w:trPr>
          <w:trHeight w:val="330"/>
        </w:trPr>
        <w:tc>
          <w:tcPr>
            <w:tcW w:w="3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Постоянная ФП</w:t>
            </w:r>
          </w:p>
        </w:tc>
        <w:tc>
          <w:tcPr>
            <w:tcW w:w="35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w:t>
            </w:r>
          </w:p>
        </w:tc>
        <w:tc>
          <w:tcPr>
            <w:tcW w:w="3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Контроль ЧСС</w:t>
            </w:r>
          </w:p>
        </w:tc>
      </w:tr>
    </w:tbl>
    <w:p w:rsidR="008E3F15" w:rsidRDefault="005F449A">
      <w:pPr>
        <w:spacing w:after="65" w:line="259" w:lineRule="auto"/>
        <w:ind w:left="0" w:right="0" w:firstLine="0"/>
      </w:pPr>
      <w:r>
        <w:rPr>
          <w:noProof/>
        </w:rPr>
        <w:drawing>
          <wp:inline distT="0" distB="0" distL="0" distR="0">
            <wp:extent cx="5057775" cy="3524250"/>
            <wp:effectExtent l="0" t="0" r="0" b="0"/>
            <wp:docPr id="7875" name="Picture 7875"/>
            <wp:cNvGraphicFramePr/>
            <a:graphic xmlns:a="http://schemas.openxmlformats.org/drawingml/2006/main">
              <a:graphicData uri="http://schemas.openxmlformats.org/drawingml/2006/picture">
                <pic:pic xmlns:pic="http://schemas.openxmlformats.org/drawingml/2006/picture">
                  <pic:nvPicPr>
                    <pic:cNvPr id="7875" name="Picture 7875"/>
                    <pic:cNvPicPr/>
                  </pic:nvPicPr>
                  <pic:blipFill>
                    <a:blip r:embed="rId81"/>
                    <a:stretch>
                      <a:fillRect/>
                    </a:stretch>
                  </pic:blipFill>
                  <pic:spPr>
                    <a:xfrm>
                      <a:off x="0" y="0"/>
                      <a:ext cx="5057775" cy="3524250"/>
                    </a:xfrm>
                    <a:prstGeom prst="rect">
                      <a:avLst/>
                    </a:prstGeom>
                  </pic:spPr>
                </pic:pic>
              </a:graphicData>
            </a:graphic>
          </wp:inline>
        </w:drawing>
      </w:r>
    </w:p>
    <w:p w:rsidR="008E3F15" w:rsidRDefault="005F449A">
      <w:pPr>
        <w:spacing w:after="31"/>
        <w:ind w:left="2" w:right="15"/>
      </w:pPr>
      <w:r>
        <w:rPr>
          <w:b/>
        </w:rPr>
        <w:t xml:space="preserve">Рис. 4.3. </w:t>
      </w:r>
      <w:r>
        <w:t>Выбор лекарственного контроля фибрилляции предсердий</w:t>
      </w:r>
    </w:p>
    <w:p w:rsidR="008E3F15" w:rsidRDefault="005F449A">
      <w:pPr>
        <w:spacing w:after="65" w:line="259" w:lineRule="auto"/>
        <w:ind w:left="0" w:right="0" w:firstLine="0"/>
      </w:pPr>
      <w:r>
        <w:rPr>
          <w:noProof/>
        </w:rPr>
        <w:drawing>
          <wp:inline distT="0" distB="0" distL="0" distR="0">
            <wp:extent cx="5057775" cy="2562225"/>
            <wp:effectExtent l="0" t="0" r="0" b="0"/>
            <wp:docPr id="7893" name="Picture 7893"/>
            <wp:cNvGraphicFramePr/>
            <a:graphic xmlns:a="http://schemas.openxmlformats.org/drawingml/2006/main">
              <a:graphicData uri="http://schemas.openxmlformats.org/drawingml/2006/picture">
                <pic:pic xmlns:pic="http://schemas.openxmlformats.org/drawingml/2006/picture">
                  <pic:nvPicPr>
                    <pic:cNvPr id="7893" name="Picture 7893"/>
                    <pic:cNvPicPr/>
                  </pic:nvPicPr>
                  <pic:blipFill>
                    <a:blip r:embed="rId82"/>
                    <a:stretch>
                      <a:fillRect/>
                    </a:stretch>
                  </pic:blipFill>
                  <pic:spPr>
                    <a:xfrm>
                      <a:off x="0" y="0"/>
                      <a:ext cx="5057775" cy="2562225"/>
                    </a:xfrm>
                    <a:prstGeom prst="rect">
                      <a:avLst/>
                    </a:prstGeom>
                  </pic:spPr>
                </pic:pic>
              </a:graphicData>
            </a:graphic>
          </wp:inline>
        </w:drawing>
      </w:r>
    </w:p>
    <w:p w:rsidR="008E3F15" w:rsidRDefault="005F449A">
      <w:pPr>
        <w:spacing w:after="31"/>
        <w:ind w:left="2" w:right="15"/>
      </w:pPr>
      <w:r>
        <w:rPr>
          <w:b/>
        </w:rPr>
        <w:t xml:space="preserve">Рис. 4.4. </w:t>
      </w:r>
      <w:r>
        <w:t>Схема подбора профилактической антиаритмической терапии</w:t>
      </w:r>
    </w:p>
    <w:p w:rsidR="008E3F15" w:rsidRDefault="005F449A">
      <w:pPr>
        <w:ind w:left="2" w:right="75"/>
      </w:pPr>
      <w:r>
        <w:t>Контроль сердечного ритма позволяет повысить качество жизни и может снизить смертность и частоту инсульта у пациентов с сердечно-сосуди</w:t>
      </w:r>
      <w:r>
        <w:t>стыми рисками (EAST-AFNET 4). Ввиду повышенной токсичности (дисфункции щитовидной железы, фотодерматиты, пневмонит) амиодарон целесообразно использовать при неэффективности или невозможности приема других антиаритмиков. Эффективность антиаритмического лече</w:t>
      </w:r>
      <w:r>
        <w:t>ния можно контролировать по симптомным эпизодам, снижающим качество жизни, однако в большинстве случаев ФП не сопровождается симптомами.</w:t>
      </w:r>
    </w:p>
    <w:p w:rsidR="008E3F15" w:rsidRDefault="005F449A">
      <w:pPr>
        <w:ind w:left="2" w:right="15"/>
      </w:pPr>
      <w:r>
        <w:t>В лечении аритмии могут помочь меры по контролю факторов риска аритмии — алкоголя, курения, артериальной гипертензии, о</w:t>
      </w:r>
      <w:r>
        <w:t>жирения, низкой физической активности, нарушений электролитного баланса, ОАС, влияния других коморбидных заболеваний (LEGACY; ARREST-AF; CARDIO-FIT).</w:t>
      </w:r>
    </w:p>
    <w:p w:rsidR="008E3F15" w:rsidRDefault="005F449A">
      <w:pPr>
        <w:ind w:left="2" w:right="234"/>
      </w:pPr>
      <w:r>
        <w:t>Важное значение имеет адекватный контроль АД при артериальной гипертензии, поскольку повышение АД, особенн</w:t>
      </w:r>
      <w:r>
        <w:t>о &gt;180/110 мм рт.ст., увеличивает риск внутричерепных кровоизлияний. При автоматическом измерении АД при текущей ФП следует ориентироваться на АДс, так как уровень диастолического АД часто переоценивается (Stergiou G. et al., 2012). Предпочтительнее исполь</w:t>
      </w:r>
      <w:r>
        <w:t>зовать ручное измерение, основанное на тонах Короткова. Мониторинг суточного АД может быть приемлем при ЧСС в диапазоне 60–100 в мин (Giantin V. et al., 2013).</w:t>
      </w:r>
    </w:p>
    <w:p w:rsidR="008E3F15" w:rsidRDefault="005F449A">
      <w:pPr>
        <w:ind w:left="2" w:right="15"/>
      </w:pPr>
      <w:r>
        <w:t>иАПФ, БРА, аМКР могут снизить рецидивы ФП у пациентов с ХСН, однако использовать эти препараты б</w:t>
      </w:r>
      <w:r>
        <w:t>ез дополнительных показаний не рекомендуется.</w:t>
      </w:r>
    </w:p>
    <w:p w:rsidR="008E3F15" w:rsidRDefault="005F449A">
      <w:pPr>
        <w:spacing w:after="359"/>
        <w:ind w:left="2" w:right="15"/>
      </w:pPr>
      <w:r>
        <w:t>По-видимому, статины недостаточно эффективны, а омега-3 полиненасыщенные жирные кислоты могут даже повысить риск рецидивов ФП (Gencer B. et al., 2021; AFFORD; Bang C. et al., 2013).</w:t>
      </w:r>
    </w:p>
    <w:p w:rsidR="008E3F15" w:rsidRDefault="005F449A">
      <w:pPr>
        <w:pStyle w:val="Heading1"/>
        <w:ind w:left="2"/>
      </w:pPr>
      <w:r>
        <w:t>Часть I. Сердечно-сосудистые</w:t>
      </w:r>
      <w:r>
        <w:t xml:space="preserve"> болезни</w:t>
      </w:r>
    </w:p>
    <w:p w:rsidR="008E3F15" w:rsidRDefault="005F449A">
      <w:pPr>
        <w:spacing w:after="31"/>
        <w:ind w:left="2" w:right="15"/>
      </w:pPr>
      <w:r>
        <w:t>Профилактика тромбоэмболий</w:t>
      </w:r>
    </w:p>
    <w:p w:rsidR="008E3F15" w:rsidRDefault="005F449A">
      <w:pPr>
        <w:ind w:left="2" w:right="15"/>
      </w:pPr>
      <w:r>
        <w:t>ФП рецидивирующая и постоянная, симптомная и бессимптомная является частой причиной тромбоэмболий, которые в 75–88% случаев проявляются церебральными инсультами. Системные тромбоэмболии локализуются чаще в нижних конечностях (58%), реже в мезентериальных с</w:t>
      </w:r>
      <w:r>
        <w:t>осудах (31%) и верхних конечностях (10%) (Bekwelem W. et al., 2015). По данным Фремингемского исследования, при неревматической ФП риск тромбоэмболий повышается в 6 раз, а при ревматической этиологии — в 18 раз (Benjamin E. et al., 1994). Около 20% ишемиче</w:t>
      </w:r>
      <w:r>
        <w:t>ских инсультов обусловлены кардиогенными эмболиями вследствие ФП. Инсульт можно заподозрить по внезапному появлению онемения или слабости лица, руки или ноги, спутанности сознания, проблемам речи или понимания, нарушениям при ходьбе, головокружению, потере</w:t>
      </w:r>
      <w:r>
        <w:t xml:space="preserve"> баланса или координации, проблемам зрения на один или оба глаза</w:t>
      </w:r>
    </w:p>
    <w:p w:rsidR="008E3F15" w:rsidRDefault="005F449A">
      <w:pPr>
        <w:spacing w:after="31"/>
        <w:ind w:left="2" w:right="15"/>
      </w:pPr>
      <w:r>
        <w:t>(ICSI).</w:t>
      </w:r>
    </w:p>
    <w:p w:rsidR="008E3F15" w:rsidRDefault="005F449A">
      <w:pPr>
        <w:ind w:left="2" w:right="15"/>
      </w:pPr>
      <w:r>
        <w:t>В случаях кратковременного эпизода неврологической дисфункции вследствие очаговой ишемии мозга, не связанной со стойким церебральным инфарктом (по данным магнитнорезонансной томографи</w:t>
      </w:r>
      <w:r>
        <w:t>и методом диффузионно-взвешенных изображений, неконтрастной КТ), диагностируется транзиторная ишемическая атака, частота которой существенно недооценивается.</w:t>
      </w:r>
    </w:p>
    <w:p w:rsidR="008E3F15" w:rsidRDefault="005F449A">
      <w:pPr>
        <w:ind w:left="2" w:right="15"/>
      </w:pPr>
      <w:r>
        <w:t>Важно отметить возможность латентных повреждений головного мозга (28–90%) у пациентов с ФП без инс</w:t>
      </w:r>
      <w:r>
        <w:t>ульта в анамнезе (Haeusler K. et al., 2014).</w:t>
      </w:r>
    </w:p>
    <w:p w:rsidR="008E3F15" w:rsidRDefault="005F449A">
      <w:pPr>
        <w:ind w:left="2" w:right="90"/>
      </w:pPr>
      <w:r>
        <w:t>При криптогенных инсультах, которые составляют почти треть всех инсультов, длительная или повторная регистрация ЭКГ позволяет в 10–15% выявить ФП (EMBRACE; Sanna T. et al., 2014).</w:t>
      </w:r>
    </w:p>
    <w:p w:rsidR="008E3F15" w:rsidRDefault="005F449A">
      <w:pPr>
        <w:ind w:left="2" w:right="102"/>
      </w:pPr>
      <w:r>
        <w:t>Частота инсультов коррелирует с</w:t>
      </w:r>
      <w:r>
        <w:t xml:space="preserve"> длительностью ФП. В отличие от коротких эпизодов &lt;20 c, приступы &gt;6 мин ассоциируются с увеличением риска тромбоэмболий, при этом риск выше у пациентов с персистирующей ФП по сравнению с пароксизмальной (ARISTOTLE, ENGAGEAF, ROCKET-AF, RATE; Uittenbogaart</w:t>
      </w:r>
      <w:r>
        <w:t xml:space="preserve"> S. et al., 2019).</w:t>
      </w:r>
    </w:p>
    <w:p w:rsidR="008E3F15" w:rsidRDefault="005F449A">
      <w:pPr>
        <w:ind w:left="2" w:right="15"/>
      </w:pPr>
      <w:r>
        <w:rPr>
          <w:b/>
        </w:rPr>
        <w:t>Прогноз инсульта.</w:t>
      </w:r>
      <w:r>
        <w:t xml:space="preserve"> Для оценки риска ишемического инсульта у пациентов с ФП используется шкала CHA2DS2-VASc (</w:t>
      </w:r>
      <w:r>
        <w:rPr>
          <w:b/>
        </w:rPr>
        <w:t>рис. 4.5</w:t>
      </w:r>
      <w:r>
        <w:t>). Последняя модификация шкалы включает гипертрофическую кардиомиопатию и коронарные стенозы ≥50%. Вместе с тем есть основания рекомендовать оральные антикоагулянты всем пациентом с ФП и гипертрофической кардиомиопатией, независимо от возраста и шкалы CHA2</w:t>
      </w:r>
      <w:r>
        <w:t>DS2-VASc (Tsuda T. et al., 2019; Jung H. et al., 2019). Назначение оральных антикоагулянтов рекомендуют при шкале ≥2 независимо от пола, что соответствует риску инсульта выше 1–2% в год (Quinn G. et al., 2017).</w:t>
      </w:r>
    </w:p>
    <w:p w:rsidR="008E3F15" w:rsidRDefault="005F449A">
      <w:pPr>
        <w:ind w:left="2" w:right="328"/>
      </w:pPr>
      <w:r>
        <w:t xml:space="preserve">Пациентам с низким риском (0 баллов у мужчин </w:t>
      </w:r>
      <w:r>
        <w:t xml:space="preserve">и 1 балл у женщин) лечение антитромботическими препаратами можно не проводить, если нет других показаний. При использовании шкал важно понимать их возможности и ограничения (Белялов Ф.И., 2022). Так, в прогностические шкалы включены далеко не все факторы, </w:t>
      </w:r>
      <w:r>
        <w:t>влияющие на риск тромбоэмболий и кровотечений. Например, риск тромбоэмболий тесно связан с нагрузкой ФП, а митральная регургитация снижает риск тромбоза в левом предсердии.</w:t>
      </w:r>
    </w:p>
    <w:p w:rsidR="008E3F15" w:rsidRDefault="005F449A">
      <w:pPr>
        <w:ind w:left="2" w:right="15"/>
      </w:pPr>
      <w:r>
        <w:rPr>
          <w:b/>
        </w:rPr>
        <w:t>Оральные антикоагулянты</w:t>
      </w:r>
      <w:r>
        <w:t>используются при неклапанной (без умеренного/выраженного мит</w:t>
      </w:r>
      <w:r>
        <w:t xml:space="preserve">рального стеноза) ФП, не связанной с обратимыми причинами (пневмония, гипертиреоз, хирургия и т.д.), на основе оценки риска тромбоэмболий (см. </w:t>
      </w:r>
      <w:r>
        <w:rPr>
          <w:b/>
        </w:rPr>
        <w:t>рис. 4.5</w:t>
      </w:r>
      <w:r>
        <w:t>).</w:t>
      </w:r>
    </w:p>
    <w:p w:rsidR="008E3F15" w:rsidRDefault="005F449A">
      <w:pPr>
        <w:spacing w:after="68" w:line="259" w:lineRule="auto"/>
        <w:ind w:left="0" w:right="0" w:firstLine="0"/>
      </w:pPr>
      <w:r>
        <w:rPr>
          <w:noProof/>
        </w:rPr>
        <w:drawing>
          <wp:inline distT="0" distB="0" distL="0" distR="0">
            <wp:extent cx="5057775" cy="3676650"/>
            <wp:effectExtent l="0" t="0" r="0" b="0"/>
            <wp:docPr id="7994" name="Picture 7994"/>
            <wp:cNvGraphicFramePr/>
            <a:graphic xmlns:a="http://schemas.openxmlformats.org/drawingml/2006/main">
              <a:graphicData uri="http://schemas.openxmlformats.org/drawingml/2006/picture">
                <pic:pic xmlns:pic="http://schemas.openxmlformats.org/drawingml/2006/picture">
                  <pic:nvPicPr>
                    <pic:cNvPr id="7994" name="Picture 7994"/>
                    <pic:cNvPicPr/>
                  </pic:nvPicPr>
                  <pic:blipFill>
                    <a:blip r:embed="rId83"/>
                    <a:stretch>
                      <a:fillRect/>
                    </a:stretch>
                  </pic:blipFill>
                  <pic:spPr>
                    <a:xfrm>
                      <a:off x="0" y="0"/>
                      <a:ext cx="5057775" cy="3676650"/>
                    </a:xfrm>
                    <a:prstGeom prst="rect">
                      <a:avLst/>
                    </a:prstGeom>
                  </pic:spPr>
                </pic:pic>
              </a:graphicData>
            </a:graphic>
          </wp:inline>
        </w:drawing>
      </w:r>
    </w:p>
    <w:p w:rsidR="008E3F15" w:rsidRDefault="005F449A">
      <w:pPr>
        <w:spacing w:after="31"/>
        <w:ind w:left="2" w:right="15"/>
      </w:pPr>
      <w:r>
        <w:rPr>
          <w:b/>
        </w:rPr>
        <w:t xml:space="preserve">Рис. 4.5. </w:t>
      </w:r>
      <w:r>
        <w:t>Выбор антикоагулянтов в зависимости от шкалы CHA</w:t>
      </w:r>
      <w:r>
        <w:rPr>
          <w:sz w:val="31"/>
          <w:vertAlign w:val="subscript"/>
        </w:rPr>
        <w:t>2</w:t>
      </w:r>
      <w:r>
        <w:t>DS</w:t>
      </w:r>
      <w:r>
        <w:rPr>
          <w:sz w:val="31"/>
          <w:vertAlign w:val="subscript"/>
        </w:rPr>
        <w:t>2</w:t>
      </w:r>
      <w:r>
        <w:t>-VASc</w:t>
      </w:r>
    </w:p>
    <w:p w:rsidR="008E3F15" w:rsidRDefault="005F449A">
      <w:pPr>
        <w:ind w:left="2" w:right="15"/>
      </w:pPr>
      <w:r>
        <w:t>С целью профилактики инсультов и</w:t>
      </w:r>
      <w:r>
        <w:t xml:space="preserve"> тромбоэмболии предпочтительнее прямые оральные антикоагулянты (апиксабан 5 мг 2 раза, дабигатрана этексилат 150 мг 2 раза, ривароксабан</w:t>
      </w:r>
    </w:p>
    <w:p w:rsidR="008E3F15" w:rsidRDefault="005F449A">
      <w:pPr>
        <w:ind w:left="2" w:right="15"/>
      </w:pPr>
      <w:r>
        <w:t>20 мг 1 раз во время еды, эдоксабан 30–60 мг 1 раз), которые не хуже варфарина предупреждают тромбоэмболии/инсульты, ре</w:t>
      </w:r>
      <w:r>
        <w:t>же вызывают внутричерепные кровоизлияния, меньше зависят от питания и приема других лекарственных препаратов, не требуют постоянного лабораторного контроля, хотя существенно дороже.</w:t>
      </w:r>
    </w:p>
    <w:p w:rsidR="008E3F15" w:rsidRDefault="005F449A">
      <w:pPr>
        <w:ind w:left="2" w:right="826"/>
      </w:pPr>
      <w:r>
        <w:t>Ривароксабан в дозе 15 мг против обычной дозы 20 мг изучался только для па</w:t>
      </w:r>
      <w:r>
        <w:t>циентов с клиренсом креатинина 30–59 мл/мин (ROCKET-AF,</w:t>
      </w:r>
      <w:r>
        <w:rPr>
          <w:b/>
        </w:rPr>
        <w:t xml:space="preserve"> табл. 4.9</w:t>
      </w:r>
      <w:r>
        <w:t>). Следует отметить, что коррекция доз антикоагулянтов в зависимости от дисфункции почек осуществляется по клиренсу креатинина, а не рСКФ.</w:t>
      </w:r>
    </w:p>
    <w:p w:rsidR="008E3F15" w:rsidRDefault="005F449A">
      <w:pPr>
        <w:spacing w:after="31"/>
        <w:ind w:left="2" w:right="15"/>
      </w:pPr>
      <w:r>
        <w:rPr>
          <w:b/>
        </w:rPr>
        <w:t xml:space="preserve">Таблица 4.9. </w:t>
      </w:r>
      <w:r>
        <w:t xml:space="preserve">Антикоагулянтная терапия в зависимости </w:t>
      </w:r>
      <w:r>
        <w:t>от стадии хронической болезни почек</w:t>
      </w:r>
    </w:p>
    <w:p w:rsidR="008E3F15" w:rsidRDefault="005F449A">
      <w:pPr>
        <w:spacing w:after="31"/>
        <w:ind w:left="2" w:right="15"/>
      </w:pPr>
      <w:r>
        <w:t>(EHRA)</w:t>
      </w:r>
    </w:p>
    <w:tbl>
      <w:tblPr>
        <w:tblStyle w:val="TableGrid"/>
        <w:tblW w:w="10485" w:type="dxa"/>
        <w:tblInd w:w="30" w:type="dxa"/>
        <w:tblCellMar>
          <w:top w:w="58" w:type="dxa"/>
          <w:left w:w="40" w:type="dxa"/>
          <w:bottom w:w="0" w:type="dxa"/>
          <w:right w:w="50" w:type="dxa"/>
        </w:tblCellMar>
        <w:tblLook w:val="04A0" w:firstRow="1" w:lastRow="0" w:firstColumn="1" w:lastColumn="0" w:noHBand="0" w:noVBand="1"/>
      </w:tblPr>
      <w:tblGrid>
        <w:gridCol w:w="915"/>
        <w:gridCol w:w="2265"/>
        <w:gridCol w:w="7305"/>
      </w:tblGrid>
      <w:tr w:rsidR="008E3F15">
        <w:trPr>
          <w:trHeight w:val="63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jc w:val="both"/>
            </w:pPr>
            <w:r>
              <w:rPr>
                <w:b/>
              </w:rPr>
              <w:t>Стадия</w:t>
            </w:r>
          </w:p>
        </w:tc>
        <w:tc>
          <w:tcPr>
            <w:tcW w:w="2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рСКФ</w:t>
            </w:r>
            <w:r>
              <w:t xml:space="preserve"> </w:t>
            </w:r>
            <w:r>
              <w:rPr>
                <w:b/>
              </w:rPr>
              <w:t>мл/ мин/1,73 м</w:t>
            </w:r>
            <w:r>
              <w:rPr>
                <w:b/>
                <w:sz w:val="31"/>
                <w:vertAlign w:val="superscript"/>
              </w:rPr>
              <w:t>2</w:t>
            </w:r>
          </w:p>
        </w:tc>
        <w:tc>
          <w:tcPr>
            <w:tcW w:w="73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Антикоагулянты</w:t>
            </w:r>
          </w:p>
        </w:tc>
      </w:tr>
      <w:tr w:rsidR="008E3F15">
        <w:trPr>
          <w:trHeight w:val="308"/>
        </w:trPr>
        <w:tc>
          <w:tcPr>
            <w:tcW w:w="9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С1</w:t>
            </w:r>
          </w:p>
        </w:tc>
        <w:tc>
          <w:tcPr>
            <w:tcW w:w="22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≥90</w:t>
            </w:r>
          </w:p>
        </w:tc>
        <w:tc>
          <w:tcPr>
            <w:tcW w:w="730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5" w:right="0" w:firstLine="0"/>
            </w:pPr>
            <w:r>
              <w:t>Любые</w:t>
            </w:r>
          </w:p>
        </w:tc>
      </w:tr>
      <w:tr w:rsidR="008E3F15">
        <w:trPr>
          <w:trHeight w:val="218"/>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08"/>
        </w:trPr>
        <w:tc>
          <w:tcPr>
            <w:tcW w:w="9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С2</w:t>
            </w:r>
          </w:p>
        </w:tc>
        <w:tc>
          <w:tcPr>
            <w:tcW w:w="22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60–89</w:t>
            </w:r>
          </w:p>
        </w:tc>
        <w:tc>
          <w:tcPr>
            <w:tcW w:w="730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Любые</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С3а</w:t>
            </w:r>
          </w:p>
        </w:tc>
        <w:tc>
          <w:tcPr>
            <w:tcW w:w="2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45–59</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Любые, ривароксабан 15 мг</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С3б</w:t>
            </w:r>
          </w:p>
        </w:tc>
        <w:tc>
          <w:tcPr>
            <w:tcW w:w="22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30–44</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Варфарин, апиксабан 5 мг 2 раза, дабигатрана этексилат 110 мг 2 раза, ривароксабан 15 мг</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С4</w:t>
            </w:r>
          </w:p>
        </w:tc>
        <w:tc>
          <w:tcPr>
            <w:tcW w:w="22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15–29</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1017" w:firstLine="0"/>
            </w:pPr>
            <w:r>
              <w:t>Варфарин, апиксабан 2,5 мг 2 раза (возраст ≥80 лет или вес ≤60 кг), ривароксабан 15 мг</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С5</w:t>
            </w:r>
          </w:p>
        </w:tc>
        <w:tc>
          <w:tcPr>
            <w:tcW w:w="2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&lt;15</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Индивидуальный подход</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С5д</w:t>
            </w:r>
          </w:p>
        </w:tc>
        <w:tc>
          <w:tcPr>
            <w:tcW w:w="2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Диализ</w:t>
            </w:r>
          </w:p>
        </w:tc>
        <w:tc>
          <w:tcPr>
            <w:tcW w:w="73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Польза неочевидна</w:t>
            </w:r>
          </w:p>
        </w:tc>
      </w:tr>
    </w:tbl>
    <w:p w:rsidR="008E3F15" w:rsidRDefault="005F449A">
      <w:pPr>
        <w:spacing w:after="359"/>
        <w:ind w:left="2" w:right="139"/>
      </w:pPr>
      <w:r>
        <w:t>Использование прямых антикоагулянтов в дозах меньше рекомендованных, нередкое в практической медицине, сопровождается повышением риска инсульта и смерти (Arbel R. et al., 2019).</w:t>
      </w:r>
    </w:p>
    <w:p w:rsidR="008E3F15" w:rsidRDefault="005F449A">
      <w:pPr>
        <w:pStyle w:val="Heading1"/>
        <w:ind w:left="2"/>
      </w:pPr>
      <w:r>
        <w:t>Часть I. Сердечно-сосудистые болезни</w:t>
      </w:r>
    </w:p>
    <w:p w:rsidR="008E3F15" w:rsidRDefault="005F449A">
      <w:pPr>
        <w:ind w:left="2" w:right="489"/>
      </w:pPr>
      <w:r>
        <w:t>В случаях имплантации искусственного клапана сердца, митрального стеноза, почечной недостаточности, болезни печени стадии С по Чайлд–Пью, беременности II–III триместра и лактации, наследственных тромбофилий, необходимости лабораторного контроля антикоагуля</w:t>
      </w:r>
      <w:r>
        <w:t>ции, а также при ограниченных финансовых возможностях из оральных антикоагулянтов используют варфарин.</w:t>
      </w:r>
    </w:p>
    <w:p w:rsidR="008E3F15" w:rsidRDefault="005F449A">
      <w:pPr>
        <w:ind w:left="2" w:right="757"/>
      </w:pPr>
      <w:r>
        <w:t>По данным корейского наблюдательного исследования, прямые антикоагулянты имеют близкую частоту инсульта и кровотечений по сравнению с варфарином у пациен</w:t>
      </w:r>
      <w:r>
        <w:t>тов с гипертрофической кардиомиопатией (Jung H. et al., 2019).</w:t>
      </w:r>
    </w:p>
    <w:p w:rsidR="008E3F15" w:rsidRDefault="005F449A">
      <w:pPr>
        <w:ind w:left="2" w:right="158"/>
      </w:pPr>
      <w:r>
        <w:t>Дозу варфарина подбирают, чтобы поддерживать МНО на уровне 2,5 (2,0–3,0). В случае рецидивирующих тромбоэмболий у пациентов, получающих варфарин, терапия может быть усилена до МНО 3,0–3,5 или препарат заменен на прямые оральные антикоагулянты. Обычно терап</w:t>
      </w:r>
      <w:r>
        <w:t>евтическая доза варфарина составляет 5–7,5 мг/сут, но у некоторых пациентов с очень высоким риском тромбоэмболий при резистентности к варфарину доза может достигать 20 мг/сут и даже более.</w:t>
      </w:r>
    </w:p>
    <w:p w:rsidR="008E3F15" w:rsidRDefault="005F449A">
      <w:pPr>
        <w:ind w:left="2" w:right="15"/>
      </w:pPr>
      <w:r>
        <w:t>Подбор дозы варфарина с помощью фармакогенетического тестирования н</w:t>
      </w:r>
      <w:r>
        <w:t>е выявил существенных преимуществ перед обычным эмпирическим подбором дозы (Dahal K. et al., 2015; COAG; EU-PACT).</w:t>
      </w:r>
    </w:p>
    <w:p w:rsidR="008E3F15" w:rsidRDefault="005F449A">
      <w:pPr>
        <w:ind w:left="2" w:right="15"/>
      </w:pPr>
      <w:r>
        <w:t>Следует учитывать влияние питания (продукты, содержащие витамин К</w:t>
      </w:r>
      <w:r>
        <w:rPr>
          <w:sz w:val="31"/>
          <w:vertAlign w:val="subscript"/>
        </w:rPr>
        <w:t>1</w:t>
      </w:r>
      <w:r>
        <w:t>: белокочанная капуста, шпинат, салат, горох, зеленые бобы, фасоль, зеленый</w:t>
      </w:r>
      <w:r>
        <w:t xml:space="preserve"> чай, оливковое масло, — снижают эффект) и лекарственных препаратов (амиодарон, ципрофлоксацин, макролиды повышают эффект) на активность варфарина.</w:t>
      </w:r>
    </w:p>
    <w:p w:rsidR="008E3F15" w:rsidRDefault="005F449A">
      <w:pPr>
        <w:ind w:left="2" w:right="15"/>
      </w:pPr>
      <w:r>
        <w:t>Важно добиваться устойчивого контроля МНО с ежемесячным контролем показателя. При стабильных показателях МНО</w:t>
      </w:r>
      <w:r>
        <w:t xml:space="preserve"> в течение полугода возможен более редкий контроль, например раз в 3 мес (Witt D. et al., 2009). Рекомендации по лечению варфарином при неоптимальных значениях МНО представлены в </w:t>
      </w:r>
      <w:r>
        <w:rPr>
          <w:b/>
        </w:rPr>
        <w:t>табл. 3.6</w:t>
      </w:r>
      <w:r>
        <w:t>.</w:t>
      </w:r>
    </w:p>
    <w:p w:rsidR="008E3F15" w:rsidRDefault="005F449A">
      <w:pPr>
        <w:ind w:left="2" w:right="96"/>
      </w:pPr>
      <w:r>
        <w:t xml:space="preserve">Удобно пользоваться портативными устройствами для самооценки МНО, </w:t>
      </w:r>
      <w:r>
        <w:t>однако такая диагностика требует дополнительных ресурсов. Еженедельный самоконтроль по сравнению с ежемесячным определением МНО в клинической лаборатории не увеличил риска инсульта и не снизил риска кровотечений и смертности (THINRS).</w:t>
      </w:r>
    </w:p>
    <w:p w:rsidR="008E3F15" w:rsidRDefault="005F449A">
      <w:pPr>
        <w:ind w:left="2" w:right="1469"/>
      </w:pPr>
      <w:r>
        <w:rPr>
          <w:b/>
        </w:rPr>
        <w:t xml:space="preserve">Антиагреганты. </w:t>
      </w:r>
      <w:r>
        <w:t>У паци</w:t>
      </w:r>
      <w:r>
        <w:t>ентов с ФП и повышенным риском инсульта в сочетании с коронарным событием рекомендуется прием орального антикоагулянта и 1–</w:t>
      </w:r>
    </w:p>
    <w:p w:rsidR="008E3F15" w:rsidRDefault="005F449A">
      <w:pPr>
        <w:ind w:left="2" w:right="232"/>
      </w:pPr>
      <w:r>
        <w:t>2 антиагрегантов (</w:t>
      </w:r>
      <w:r>
        <w:rPr>
          <w:b/>
        </w:rPr>
        <w:t>рис. 4.6</w:t>
      </w:r>
      <w:r>
        <w:t>). При высоком риске кровотечения предпочтительнее варфарин с МНО 2,0–2,5, апиксабан, дабигатрана этексила</w:t>
      </w:r>
      <w:r>
        <w:t>т 110 мг, ривароксабан 15 мг.</w:t>
      </w:r>
    </w:p>
    <w:p w:rsidR="008E3F15" w:rsidRDefault="005F449A">
      <w:pPr>
        <w:spacing w:after="65" w:line="259" w:lineRule="auto"/>
        <w:ind w:left="0" w:right="0" w:firstLine="0"/>
      </w:pPr>
      <w:r>
        <w:rPr>
          <w:noProof/>
        </w:rPr>
        <w:drawing>
          <wp:inline distT="0" distB="0" distL="0" distR="0">
            <wp:extent cx="5057775" cy="2981325"/>
            <wp:effectExtent l="0" t="0" r="0" b="0"/>
            <wp:docPr id="8165" name="Picture 8165"/>
            <wp:cNvGraphicFramePr/>
            <a:graphic xmlns:a="http://schemas.openxmlformats.org/drawingml/2006/main">
              <a:graphicData uri="http://schemas.openxmlformats.org/drawingml/2006/picture">
                <pic:pic xmlns:pic="http://schemas.openxmlformats.org/drawingml/2006/picture">
                  <pic:nvPicPr>
                    <pic:cNvPr id="8165" name="Picture 8165"/>
                    <pic:cNvPicPr/>
                  </pic:nvPicPr>
                  <pic:blipFill>
                    <a:blip r:embed="rId84"/>
                    <a:stretch>
                      <a:fillRect/>
                    </a:stretch>
                  </pic:blipFill>
                  <pic:spPr>
                    <a:xfrm>
                      <a:off x="0" y="0"/>
                      <a:ext cx="5057775" cy="2981325"/>
                    </a:xfrm>
                    <a:prstGeom prst="rect">
                      <a:avLst/>
                    </a:prstGeom>
                  </pic:spPr>
                </pic:pic>
              </a:graphicData>
            </a:graphic>
          </wp:inline>
        </w:drawing>
      </w:r>
    </w:p>
    <w:p w:rsidR="008E3F15" w:rsidRDefault="005F449A">
      <w:pPr>
        <w:ind w:left="2" w:right="1405"/>
      </w:pPr>
      <w:r>
        <w:rPr>
          <w:b/>
        </w:rPr>
        <w:t xml:space="preserve">Рис. 4.6. </w:t>
      </w:r>
      <w:r>
        <w:t>Антитромботическая терапия у пациентов с фибрилляцией предсердий и коронарными синдромами (ESC). ОАК — оральный антикоагулянт</w:t>
      </w:r>
    </w:p>
    <w:p w:rsidR="008E3F15" w:rsidRDefault="005F449A">
      <w:pPr>
        <w:ind w:left="2" w:right="15"/>
      </w:pPr>
      <w:r>
        <w:t>Комбинация АСК (75–100 мг) и клопидогрела (75 мг) снизила риск инсультов на 28% по сравн</w:t>
      </w:r>
      <w:r>
        <w:t>ению с монотерапией АСК, однако на 57% увеличился риск больших кровотечений (ACTIVE-A). В группе варфарина инсульты встречались на 40% реже, чем при двойной антиагрегантной терапии (ACTIVE-W). Комбинированная терапия антиагрегантами может быть целесообразн</w:t>
      </w:r>
      <w:r>
        <w:t>а при высоком риске инсульта и невозможности назначить оральные антикоагулянты или установить предсердный окклюдер, если риск кровотечений невысок. Следует отметить, что у пациентов с ФП, как и у других людей, возможны</w:t>
      </w:r>
    </w:p>
    <w:p w:rsidR="008E3F15" w:rsidRDefault="005F449A">
      <w:pPr>
        <w:ind w:left="2" w:right="15"/>
      </w:pPr>
      <w:r>
        <w:t>некардиоэмболические ишемические инсу</w:t>
      </w:r>
      <w:r>
        <w:t>льты. Для вторичной и первичной (асимптомный каротидный стеноз) профилактики последних рекомендована АСК (AHA/ASA; Ambrosi P. et al., 2017).</w:t>
      </w:r>
    </w:p>
    <w:p w:rsidR="008E3F15" w:rsidRDefault="005F449A">
      <w:pPr>
        <w:ind w:left="2" w:right="15"/>
      </w:pPr>
      <w:r>
        <w:rPr>
          <w:b/>
        </w:rPr>
        <w:t>Кровотечения.</w:t>
      </w:r>
      <w:r>
        <w:t xml:space="preserve"> При выборе перорального антикоагулянта следует оценивать риски кровотечений и возможное влияние на ко</w:t>
      </w:r>
      <w:r>
        <w:t>морбидные заболевания и состояния.</w:t>
      </w:r>
    </w:p>
    <w:p w:rsidR="008E3F15" w:rsidRDefault="005F449A">
      <w:pPr>
        <w:ind w:left="2" w:right="436"/>
      </w:pPr>
      <w:r>
        <w:t xml:space="preserve">Для оценки риска кровотечений при лечении оральными антикоагулянтами рекомендуют шкалу HAS-BLED (Pisters R. et al., 2010, см. </w:t>
      </w:r>
      <w:r>
        <w:rPr>
          <w:b/>
        </w:rPr>
        <w:t>табл. 4.9</w:t>
      </w:r>
      <w:r>
        <w:t>). При сумме баллов ≥3 требуется тщательно взвесить пользу/риск применения антикоагуля</w:t>
      </w:r>
      <w:r>
        <w:t>нтов. В то же время шкала имеет низкую C-статистику, что указывает на невысокую предсказательную точность и ограниченную применимость (Burgess S. et al., 2013; Kiviniemi T. et al., 2014).</w:t>
      </w:r>
    </w:p>
    <w:p w:rsidR="008E3F15" w:rsidRDefault="005F449A">
      <w:pPr>
        <w:ind w:left="2" w:right="15"/>
      </w:pPr>
      <w:r>
        <w:t>В рекомендациях Национального института клинического усовершенствова</w:t>
      </w:r>
      <w:r>
        <w:t>ния предпочтение отдают шкале кровотечений ORBIT, которая может точнее предсказывать абсолютный риск кровотечений и более специфична.</w:t>
      </w:r>
    </w:p>
    <w:p w:rsidR="008E3F15" w:rsidRDefault="005F449A">
      <w:pPr>
        <w:ind w:left="2" w:right="15"/>
      </w:pPr>
      <w:r>
        <w:t>При назначении антикоагулянтов также следует учитывать следующие противопоказания (NHS, с дополнениями).</w:t>
      </w:r>
    </w:p>
    <w:p w:rsidR="008E3F15" w:rsidRDefault="005F449A">
      <w:pPr>
        <w:spacing w:line="278" w:lineRule="auto"/>
        <w:ind w:left="592" w:right="5867" w:hanging="600"/>
      </w:pPr>
      <w:r>
        <w:rPr>
          <w:rFonts w:ascii="Calibri" w:eastAsia="Calibri" w:hAnsi="Calibri" w:cs="Calibri"/>
          <w:noProof/>
          <w:color w:val="000000"/>
          <w:sz w:val="22"/>
        </w:rPr>
        <mc:AlternateContent>
          <mc:Choice Requires="wpg">
            <w:drawing>
              <wp:anchor distT="0" distB="0" distL="114300" distR="114300" simplePos="0" relativeHeight="251758592" behindDoc="0" locked="0" layoutInCell="1" allowOverlap="1">
                <wp:simplePos x="0" y="0"/>
                <wp:positionH relativeFrom="column">
                  <wp:posOffset>209550</wp:posOffset>
                </wp:positionH>
                <wp:positionV relativeFrom="paragraph">
                  <wp:posOffset>339626</wp:posOffset>
                </wp:positionV>
                <wp:extent cx="57150" cy="1666875"/>
                <wp:effectExtent l="0" t="0" r="0" b="0"/>
                <wp:wrapSquare wrapText="bothSides"/>
                <wp:docPr id="275447" name="Group 275447"/>
                <wp:cNvGraphicFramePr/>
                <a:graphic xmlns:a="http://schemas.openxmlformats.org/drawingml/2006/main">
                  <a:graphicData uri="http://schemas.microsoft.com/office/word/2010/wordprocessingGroup">
                    <wpg:wgp>
                      <wpg:cNvGrpSpPr/>
                      <wpg:grpSpPr>
                        <a:xfrm>
                          <a:off x="0" y="0"/>
                          <a:ext cx="57150" cy="1666875"/>
                          <a:chOff x="0" y="0"/>
                          <a:chExt cx="57150" cy="1666875"/>
                        </a:xfrm>
                      </wpg:grpSpPr>
                      <wps:wsp>
                        <wps:cNvPr id="8195" name="Shape 8195"/>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197" name="Shape 8197"/>
                        <wps:cNvSpPr/>
                        <wps:spPr>
                          <a:xfrm>
                            <a:off x="0" y="1905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01" name="Shape 8201"/>
                        <wps:cNvSpPr/>
                        <wps:spPr>
                          <a:xfrm>
                            <a:off x="0" y="3429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04" name="Shape 8204"/>
                        <wps:cNvSpPr/>
                        <wps:spPr>
                          <a:xfrm>
                            <a:off x="0" y="6477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8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8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06" name="Shape 8206"/>
                        <wps:cNvSpPr/>
                        <wps:spPr>
                          <a:xfrm>
                            <a:off x="0" y="8001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09" name="Shape 8209"/>
                        <wps:cNvSpPr/>
                        <wps:spPr>
                          <a:xfrm>
                            <a:off x="0" y="11049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11" name="Shape 8211"/>
                        <wps:cNvSpPr/>
                        <wps:spPr>
                          <a:xfrm>
                            <a:off x="0" y="12573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14" name="Shape 8214"/>
                        <wps:cNvSpPr/>
                        <wps:spPr>
                          <a:xfrm>
                            <a:off x="0" y="1609725"/>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5447" style="width:4.5pt;height:131.25pt;position:absolute;mso-position-horizontal-relative:text;mso-position-horizontal:absolute;margin-left:16.5pt;mso-position-vertical-relative:text;margin-top:26.7422pt;" coordsize="571,16668">
                <v:shape id="Shape 8195" style="position:absolute;width:571;height:571;left:0;top:0;" coordsize="57150,57150" path="m28575,0c32364,0,36009,645,39510,2084c43011,3473,46101,5556,48781,8235c51460,10914,53525,14039,54975,17562c56425,21034,57150,24755,57150,28575c57150,32296,56425,35917,54975,39439c53525,42912,51460,45988,48781,48716c46101,51346,43011,53429,39510,54818c36009,56257,32364,57051,28575,57150c24786,57051,21141,56257,17640,54818c14139,53429,11049,51346,8369,48716c5690,45988,3625,42912,2175,39439c725,35917,0,32296,0,28575c0,24755,725,21034,2175,17562c3625,14039,5690,10914,8369,8235c11049,5556,14139,3473,17640,2084c21141,645,24786,0,28575,0x">
                  <v:stroke weight="0pt" endcap="flat" joinstyle="miter" miterlimit="10" on="false" color="#000000" opacity="0"/>
                  <v:fill on="true" color="#333333"/>
                </v:shape>
                <v:shape id="Shape 8197" style="position:absolute;width:571;height:571;left:0;top:1905;" coordsize="57150,57150" path="m28575,0c32364,0,36009,645,39510,2084c43011,3572,46101,5655,48781,8334c51460,11013,53525,14039,54975,17562c56425,21034,57150,24755,57150,28575c57150,32345,56425,35917,54975,39439c53525,42912,51460,45988,48781,48716c46101,51346,43011,53429,39510,54818c36009,56406,32364,57150,28575,57150c24786,57150,21141,56406,17640,54818c14139,53429,11049,51346,8369,48716c5690,45988,3625,42912,2175,39439c725,35917,0,32345,0,28575c0,24755,725,21034,2175,17562c3625,14039,5690,11013,8369,8334c11049,5655,14139,3572,17640,2084c21141,645,24786,0,28575,0x">
                  <v:stroke weight="0pt" endcap="flat" joinstyle="miter" miterlimit="10" on="false" color="#000000" opacity="0"/>
                  <v:fill on="true" color="#333333"/>
                </v:shape>
                <v:shape id="Shape 8201" style="position:absolute;width:571;height:571;left:0;top:3429;" coordsize="57150,57150" path="m28575,0c32364,0,36009,645,39510,2084c43011,3473,46101,5556,48781,8334c51460,11013,53525,14039,54975,17562c56425,21034,57150,24755,57150,28575c57150,32345,56425,35917,54975,39340c53525,42863,51460,45988,48781,48716c46101,51346,43011,53429,39510,54818c36009,56406,32364,57150,28575,57150c24786,57150,21141,56406,17640,54818c14139,53429,11049,51346,8369,48716c5690,45988,3625,42863,2175,39340c725,35917,0,32345,0,28575c0,24755,725,21034,2175,17562c3625,14039,5690,11013,8369,8334c11049,5556,14139,3473,17640,2084c21141,645,24786,0,28575,0x">
                  <v:stroke weight="0pt" endcap="flat" joinstyle="miter" miterlimit="10" on="false" color="#000000" opacity="0"/>
                  <v:fill on="true" color="#333333"/>
                </v:shape>
                <v:shape id="Shape 8204" style="position:absolute;width:571;height:571;left:0;top:6477;" coordsize="57150,57150" path="m28575,0c32364,0,36009,645,39510,2084c43011,3473,46101,5556,48781,8334c51460,10914,53525,13990,54975,17463c56425,20985,57150,24705,57150,28575c57150,32345,56425,35917,54975,39439c53525,42912,51460,46038,48781,48816c46101,51395,43011,53479,39510,54918c36009,56307,32364,57051,28575,57150c24786,57051,21141,56307,17640,54918c14139,53479,11049,51395,8369,48816c5690,46038,3625,42912,2175,39439c725,35917,0,32345,0,28575c0,24705,725,20985,2175,17463c3625,13990,5690,10914,8369,8334c11049,5556,14139,3473,17640,2084c21141,645,24786,0,28575,0x">
                  <v:stroke weight="0pt" endcap="flat" joinstyle="miter" miterlimit="10" on="false" color="#000000" opacity="0"/>
                  <v:fill on="true" color="#333333"/>
                </v:shape>
                <v:shape id="Shape 8206" style="position:absolute;width:571;height:571;left:0;top:8001;" coordsize="57150,57150" path="m28575,0c32364,0,36009,645,39510,2084c43011,3473,46101,5556,48781,8334c51460,1091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914,8369,8334c11049,5556,14139,3473,17640,2084c21141,645,24786,0,28575,0x">
                  <v:stroke weight="0pt" endcap="flat" joinstyle="miter" miterlimit="10" on="false" color="#000000" opacity="0"/>
                  <v:fill on="true" color="#333333"/>
                </v:shape>
                <v:shape id="Shape 8209" style="position:absolute;width:571;height:571;left:0;top:11049;" coordsize="57150,57150" path="m28575,0c32364,0,36009,744,39510,2133c43011,3572,46101,5655,48781,8334c51460,10914,53525,14039,54975,17562c56425,21034,57150,24755,57150,28575c57150,32345,56425,35917,54975,39439c53525,42912,51460,46038,48781,48716c46101,51395,43011,53479,39510,54918c36009,56307,32364,57051,28575,57150c24786,57051,21141,56307,17640,54918c14139,53479,11049,51395,8369,48716c5690,46038,3625,42912,2175,39439c725,35917,0,32345,0,28575c0,24755,725,21034,2175,17562c3625,14039,5690,10914,8369,8334c11049,5655,14139,3572,17640,2133c21141,744,24786,0,28575,0x">
                  <v:stroke weight="0pt" endcap="flat" joinstyle="miter" miterlimit="10" on="false" color="#000000" opacity="0"/>
                  <v:fill on="true" color="#333333"/>
                </v:shape>
                <v:shape id="Shape 8211" style="position:absolute;width:571;height:571;left:0;top:12573;" coordsize="57150,57150" path="m28575,0c32364,0,36009,744,39510,2133c43011,3572,46101,5655,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655,14139,3572,17640,2133c21141,744,24786,0,28575,0x">
                  <v:stroke weight="0pt" endcap="flat" joinstyle="miter" miterlimit="10" on="false" color="#000000" opacity="0"/>
                  <v:fill on="true" color="#333333"/>
                </v:shape>
                <v:shape id="Shape 8214" style="position:absolute;width:571;height:571;left:0;top:16097;" coordsize="57150,57150" path="m28575,0c32364,0,36009,645,39510,2084c43011,3473,46101,5556,48781,8334c51460,11013,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1013,8369,8334c11049,5556,14139,3473,17640,2084c21141,645,24786,0,28575,0x">
                  <v:stroke weight="0pt" endcap="flat" joinstyle="miter" miterlimit="10" on="false" color="#000000" opacity="0"/>
                  <v:fill on="true" color="#333333"/>
                </v:shape>
                <w10:wrap type="square"/>
              </v:group>
            </w:pict>
          </mc:Fallback>
        </mc:AlternateContent>
      </w:r>
      <w:r>
        <w:rPr>
          <w:i/>
        </w:rPr>
        <w:t>Абсолютные проти</w:t>
      </w:r>
      <w:r>
        <w:rPr>
          <w:i/>
        </w:rPr>
        <w:t xml:space="preserve">вопоказания: </w:t>
      </w:r>
      <w:r>
        <w:t>большой варикоз в пищеводе; тромбоцитопения &lt;50×10</w:t>
      </w:r>
      <w:r>
        <w:rPr>
          <w:sz w:val="31"/>
          <w:vertAlign w:val="superscript"/>
        </w:rPr>
        <w:t>9</w:t>
      </w:r>
      <w:r>
        <w:t>/л;</w:t>
      </w:r>
    </w:p>
    <w:p w:rsidR="008E3F15" w:rsidRDefault="005F449A">
      <w:pPr>
        <w:ind w:left="340" w:right="217"/>
      </w:pPr>
      <w:r>
        <w:t>до 72 ч после большой операции с риском тяжелых кровотечений — отложить прием с повторной оценкой;</w:t>
      </w:r>
    </w:p>
    <w:p w:rsidR="008E3F15" w:rsidRDefault="005F449A">
      <w:pPr>
        <w:spacing w:after="31"/>
        <w:ind w:left="340" w:right="15"/>
      </w:pPr>
      <w:r>
        <w:t>документированная гиперчувствительность к препарату;</w:t>
      </w:r>
    </w:p>
    <w:p w:rsidR="008E3F15" w:rsidRDefault="005F449A">
      <w:pPr>
        <w:ind w:left="340" w:right="15"/>
      </w:pPr>
      <w:r>
        <w:t>острое большое кровотечение — отложить прием, повторная оценка риска тромбоэмболии/кровотечения в течение 3 мес;</w:t>
      </w:r>
    </w:p>
    <w:p w:rsidR="008E3F15" w:rsidRDefault="005F449A">
      <w:pPr>
        <w:spacing w:after="31"/>
        <w:ind w:left="340" w:right="15"/>
      </w:pPr>
      <w:r>
        <w:t>декомпенсированная болезнь печени или МНО &gt;1,5 (для антикоагулянтов);</w:t>
      </w:r>
    </w:p>
    <w:p w:rsidR="008E3F15" w:rsidRDefault="005F449A">
      <w:pPr>
        <w:spacing w:after="141"/>
        <w:ind w:left="340" w:right="15"/>
      </w:pPr>
      <w:r>
        <w:t xml:space="preserve">беременность (для варфарина — I триместр, 1 мес до предполагаемых родов, </w:t>
      </w:r>
      <w:r>
        <w:t>48 ч после родов); тяжелая дисфункция почек (рСКФ &lt;15–30 мл/мин/1,73 м</w:t>
      </w:r>
      <w:r>
        <w:rPr>
          <w:sz w:val="31"/>
          <w:vertAlign w:val="superscript"/>
        </w:rPr>
        <w:t>2</w:t>
      </w:r>
      <w:r>
        <w:t xml:space="preserve"> или диализ).</w:t>
      </w:r>
    </w:p>
    <w:p w:rsidR="008E3F15" w:rsidRDefault="005F449A">
      <w:pPr>
        <w:spacing w:after="133" w:line="259" w:lineRule="auto"/>
        <w:ind w:right="0"/>
      </w:pPr>
      <w:r>
        <w:rPr>
          <w:i/>
        </w:rPr>
        <w:t>Относительные противопоказания: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59616"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275448" name="Group 27544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8219" name="Shape 8219"/>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21" name="Shape 8221"/>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868"/>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24" name="Shape 8224"/>
                        <wps:cNvSpPr/>
                        <wps:spPr>
                          <a:xfrm>
                            <a:off x="0" y="457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5448" style="width:4.5pt;height:40.5pt;position:absolute;mso-position-horizontal-relative:text;mso-position-horizontal:absolute;margin-left:16.5pt;mso-position-vertical-relative:text;margin-top:2.74219pt;" coordsize="571,5143">
                <v:shape id="Shape 8219" style="position:absolute;width:571;height:571;left:0;top:0;" coordsize="57150,57150" path="m28575,0c32364,0,36009,744,39510,2133c43011,3572,46101,5655,48781,8334c51460,10914,53525,14039,54975,17562c56425,21034,57150,24755,57150,28575c57150,32345,56425,35917,54975,39340c53525,42863,51460,45889,48781,48667c46101,51246,43011,53330,39510,54818c36009,56307,32364,57051,28575,57150c24786,57051,21141,56307,17640,54818c14139,53330,11049,51246,8369,48667c5690,45889,3625,42863,2175,39340c725,35917,0,32345,0,28575c0,24755,725,21034,2175,17562c3625,14039,5690,10914,8369,8334c11049,5655,14139,3572,17640,2133c21141,744,24786,0,28575,0x">
                  <v:stroke weight="0pt" endcap="flat" joinstyle="miter" miterlimit="10" on="false" color="#000000" opacity="0"/>
                  <v:fill on="true" color="#333333"/>
                </v:shape>
                <v:shape id="Shape 8221" style="position:absolute;width:571;height:571;left:0;top:1524;" coordsize="57150,57150" path="m28575,0c32364,0,36009,744,39510,2133c43011,3572,46101,5655,48781,8334c51460,10914,53525,14039,54975,17562c56425,21034,57150,24755,57150,28575c57150,32296,56425,35868,54975,39340c53525,42863,51460,45889,48781,48667c46101,51246,43011,53330,39510,54818c36009,56307,32364,57051,28575,57150c24786,57051,21141,56307,17640,54818c14139,53330,11049,51246,8369,48667c5690,45889,3625,42863,2175,39340c725,35868,0,32296,0,28575c0,24755,725,21034,2175,17562c3625,14039,5690,10914,8369,8334c11049,5655,14139,3572,17640,2133c21141,744,24786,0,28575,0x">
                  <v:stroke weight="0pt" endcap="flat" joinstyle="miter" miterlimit="10" on="false" color="#000000" opacity="0"/>
                  <v:fill on="true" color="#333333"/>
                </v:shape>
                <v:shape id="Shape 8224" style="position:absolute;width:571;height:571;left:0;top:4572;" coordsize="57150,57150" path="m28575,0c32364,0,36009,744,39510,2133c43011,3572,46101,5655,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655,14139,3572,17640,2133c21141,744,24786,0,28575,0x">
                  <v:stroke weight="0pt" endcap="flat" joinstyle="miter" miterlimit="10" on="false" color="#000000" opacity="0"/>
                  <v:fill on="true" color="#333333"/>
                </v:shape>
                <w10:wrap type="square"/>
              </v:group>
            </w:pict>
          </mc:Fallback>
        </mc:AlternateContent>
      </w:r>
      <w:r>
        <w:t>предшествующие внутричерепные кровоизлияния;</w:t>
      </w:r>
    </w:p>
    <w:p w:rsidR="008E3F15" w:rsidRDefault="005F449A">
      <w:pPr>
        <w:ind w:left="340" w:right="15"/>
      </w:pPr>
      <w:r>
        <w:t>большие внечерепные кровотечения до 6 мес, если причина не может быть определена или устранен</w:t>
      </w:r>
      <w:r>
        <w:t>а;</w:t>
      </w:r>
    </w:p>
    <w:p w:rsidR="008E3F15" w:rsidRDefault="005F449A">
      <w:pPr>
        <w:ind w:left="340" w:right="15"/>
      </w:pPr>
      <w:r>
        <w:t>документированная гастроинтестинальная язва до 3 мес. При лечении антитромботическими препаратами добавить ингибиторы протонной помпы;</w:t>
      </w:r>
    </w:p>
    <w:p w:rsidR="008E3F15" w:rsidRDefault="008E3F15">
      <w:pPr>
        <w:sectPr w:rsidR="008E3F15">
          <w:headerReference w:type="even" r:id="rId85"/>
          <w:headerReference w:type="default" r:id="rId86"/>
          <w:footerReference w:type="even" r:id="rId87"/>
          <w:footerReference w:type="default" r:id="rId88"/>
          <w:headerReference w:type="first" r:id="rId89"/>
          <w:footerReference w:type="first" r:id="rId90"/>
          <w:pgSz w:w="11899" w:h="16838"/>
          <w:pgMar w:top="350" w:right="665" w:bottom="518" w:left="690" w:header="334" w:footer="290" w:gutter="0"/>
          <w:cols w:space="720"/>
        </w:sectPr>
      </w:pPr>
    </w:p>
    <w:p w:rsidR="008E3F15" w:rsidRDefault="005F449A">
      <w:pPr>
        <w:ind w:left="610" w:right="1355"/>
      </w:pPr>
      <w:r>
        <w:t>недавние повторные падения у пациентов с высоким риском кровотечения в случаях ≥3 факторов риска из следующих:</w:t>
      </w:r>
    </w:p>
    <w:p w:rsidR="008E3F15" w:rsidRDefault="005F449A">
      <w:pPr>
        <w:spacing w:after="31"/>
        <w:ind w:left="340" w:right="15"/>
      </w:pPr>
      <w:r>
        <w:t>возраст &gt;65 лет;</w:t>
      </w:r>
    </w:p>
    <w:p w:rsidR="008E3F15" w:rsidRDefault="005F449A">
      <w:pPr>
        <w:spacing w:after="31"/>
        <w:ind w:left="340" w:right="15"/>
      </w:pPr>
      <w:r>
        <w:t>кровотечение в анамнезе или предрасположенность к кровотечен</w:t>
      </w:r>
      <w:r>
        <w:t>ию</w:t>
      </w:r>
    </w:p>
    <w:p w:rsidR="008E3F15" w:rsidRDefault="005F449A">
      <w:pPr>
        <w:spacing w:after="31"/>
        <w:ind w:left="340" w:right="15"/>
      </w:pPr>
      <w:r>
        <w:t>(дивертикулит);</w:t>
      </w:r>
    </w:p>
    <w:p w:rsidR="008E3F15" w:rsidRDefault="005F449A">
      <w:pPr>
        <w:spacing w:after="38"/>
        <w:ind w:left="340" w:right="979"/>
      </w:pPr>
      <w:r>
        <w:t>тромбоцитопения &lt;80×10</w:t>
      </w:r>
      <w:r>
        <w:rPr>
          <w:sz w:val="31"/>
          <w:vertAlign w:val="superscript"/>
        </w:rPr>
        <w:t>9</w:t>
      </w:r>
      <w:r>
        <w:t>/л или неуточненная анемия; неконтролируемая гипертензия;</w:t>
      </w:r>
    </w:p>
    <w:p w:rsidR="008E3F15" w:rsidRDefault="005F449A">
      <w:pPr>
        <w:ind w:left="340" w:right="15"/>
      </w:pPr>
      <w:r>
        <w:t>тяжелая дисфункция почек (рСКФ &lt;30 мл/мин/1,73 м</w:t>
      </w:r>
      <w:r>
        <w:rPr>
          <w:sz w:val="31"/>
          <w:vertAlign w:val="superscript"/>
        </w:rPr>
        <w:t>2</w:t>
      </w:r>
      <w:r>
        <w:t>, креатинин &gt;200 мкмоль/л или диализ);</w:t>
      </w:r>
    </w:p>
    <w:p w:rsidR="008E3F15" w:rsidRDefault="005F449A">
      <w:pPr>
        <w:spacing w:after="31"/>
        <w:ind w:left="340" w:right="15"/>
      </w:pPr>
      <w:r>
        <w:t>острая дисфункция печени (трансаминазы &gt;3 норм), хроническая болезнь</w:t>
      </w:r>
      <w:r>
        <w:t xml:space="preserve"> печени</w:t>
      </w:r>
    </w:p>
    <w:p w:rsidR="008E3F15" w:rsidRDefault="005F449A">
      <w:pPr>
        <w:spacing w:after="31"/>
        <w:ind w:left="340" w:right="15"/>
      </w:pPr>
      <w:r>
        <w:t>(цирроз);</w:t>
      </w:r>
    </w:p>
    <w:p w:rsidR="008E3F15" w:rsidRDefault="005F449A">
      <w:pPr>
        <w:spacing w:after="31"/>
        <w:ind w:left="340" w:right="15"/>
      </w:pPr>
      <w:r>
        <w:t>сопутствующий прием НПВП, глюкокортикоидов, СИОЗС, иммуносупрессантов;</w:t>
      </w:r>
    </w:p>
    <w:p w:rsidR="008E3F15" w:rsidRDefault="005F449A">
      <w:pPr>
        <w:spacing w:after="359"/>
        <w:ind w:left="610" w:right="792"/>
      </w:pPr>
      <w:r>
        <w:rPr>
          <w:rFonts w:ascii="Calibri" w:eastAsia="Calibri" w:hAnsi="Calibri" w:cs="Calibri"/>
          <w:noProof/>
          <w:color w:val="000000"/>
          <w:sz w:val="22"/>
        </w:rPr>
        <mc:AlternateContent>
          <mc:Choice Requires="wpg">
            <w:drawing>
              <wp:anchor distT="0" distB="0" distL="114300" distR="114300" simplePos="0" relativeHeight="251760640" behindDoc="0" locked="0" layoutInCell="1" allowOverlap="1">
                <wp:simplePos x="0" y="0"/>
                <wp:positionH relativeFrom="column">
                  <wp:posOffset>209550</wp:posOffset>
                </wp:positionH>
                <wp:positionV relativeFrom="paragraph">
                  <wp:posOffset>-1574898</wp:posOffset>
                </wp:positionV>
                <wp:extent cx="438150" cy="1971675"/>
                <wp:effectExtent l="0" t="0" r="0" b="0"/>
                <wp:wrapSquare wrapText="bothSides"/>
                <wp:docPr id="276757" name="Group 276757"/>
                <wp:cNvGraphicFramePr/>
                <a:graphic xmlns:a="http://schemas.openxmlformats.org/drawingml/2006/main">
                  <a:graphicData uri="http://schemas.microsoft.com/office/word/2010/wordprocessingGroup">
                    <wpg:wgp>
                      <wpg:cNvGrpSpPr/>
                      <wpg:grpSpPr>
                        <a:xfrm>
                          <a:off x="0" y="0"/>
                          <a:ext cx="438150" cy="1971675"/>
                          <a:chOff x="0" y="0"/>
                          <a:chExt cx="438150" cy="1971675"/>
                        </a:xfrm>
                      </wpg:grpSpPr>
                      <wps:wsp>
                        <wps:cNvPr id="8245" name="Shape 8245"/>
                        <wps:cNvSpPr/>
                        <wps:spPr>
                          <a:xfrm>
                            <a:off x="38100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463"/>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70" y="48716"/>
                                </a:cubicBezTo>
                                <a:cubicBezTo>
                                  <a:pt x="5690" y="45988"/>
                                  <a:pt x="3625" y="42863"/>
                                  <a:pt x="2175" y="39340"/>
                                </a:cubicBezTo>
                                <a:cubicBezTo>
                                  <a:pt x="725" y="35868"/>
                                  <a:pt x="0" y="32296"/>
                                  <a:pt x="0" y="28575"/>
                                </a:cubicBezTo>
                                <a:cubicBezTo>
                                  <a:pt x="0" y="24755"/>
                                  <a:pt x="725" y="21034"/>
                                  <a:pt x="2175" y="17463"/>
                                </a:cubicBezTo>
                                <a:cubicBezTo>
                                  <a:pt x="3625" y="13990"/>
                                  <a:pt x="5690" y="10864"/>
                                  <a:pt x="8370"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47" name="Shape 8247"/>
                        <wps:cNvSpPr/>
                        <wps:spPr>
                          <a:xfrm>
                            <a:off x="38100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463"/>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70" y="48716"/>
                                </a:cubicBezTo>
                                <a:cubicBezTo>
                                  <a:pt x="5690" y="45988"/>
                                  <a:pt x="3625" y="42863"/>
                                  <a:pt x="2175" y="39340"/>
                                </a:cubicBezTo>
                                <a:cubicBezTo>
                                  <a:pt x="725" y="35868"/>
                                  <a:pt x="0" y="32296"/>
                                  <a:pt x="0" y="28575"/>
                                </a:cubicBezTo>
                                <a:cubicBezTo>
                                  <a:pt x="0" y="24755"/>
                                  <a:pt x="725" y="21034"/>
                                  <a:pt x="2175" y="17463"/>
                                </a:cubicBezTo>
                                <a:cubicBezTo>
                                  <a:pt x="3625" y="13990"/>
                                  <a:pt x="5690" y="10864"/>
                                  <a:pt x="8370"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50" name="Shape 8250"/>
                        <wps:cNvSpPr/>
                        <wps:spPr>
                          <a:xfrm>
                            <a:off x="381000" y="4953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863"/>
                                  <a:pt x="51460" y="45988"/>
                                  <a:pt x="48781" y="48716"/>
                                </a:cubicBezTo>
                                <a:cubicBezTo>
                                  <a:pt x="46101" y="51346"/>
                                  <a:pt x="43011" y="53330"/>
                                  <a:pt x="39510" y="54918"/>
                                </a:cubicBezTo>
                                <a:cubicBezTo>
                                  <a:pt x="36009" y="56307"/>
                                  <a:pt x="32364" y="57051"/>
                                  <a:pt x="28575" y="57150"/>
                                </a:cubicBezTo>
                                <a:cubicBezTo>
                                  <a:pt x="24786" y="57051"/>
                                  <a:pt x="21141" y="56307"/>
                                  <a:pt x="17640" y="54918"/>
                                </a:cubicBezTo>
                                <a:cubicBezTo>
                                  <a:pt x="14139" y="53330"/>
                                  <a:pt x="11049" y="51346"/>
                                  <a:pt x="8370" y="48716"/>
                                </a:cubicBezTo>
                                <a:cubicBezTo>
                                  <a:pt x="5690" y="45988"/>
                                  <a:pt x="3625" y="42863"/>
                                  <a:pt x="2175" y="39439"/>
                                </a:cubicBezTo>
                                <a:cubicBezTo>
                                  <a:pt x="725" y="35917"/>
                                  <a:pt x="0" y="32296"/>
                                  <a:pt x="0" y="28575"/>
                                </a:cubicBezTo>
                                <a:cubicBezTo>
                                  <a:pt x="0" y="24755"/>
                                  <a:pt x="725" y="21034"/>
                                  <a:pt x="2175" y="17562"/>
                                </a:cubicBezTo>
                                <a:cubicBezTo>
                                  <a:pt x="3625" y="14039"/>
                                  <a:pt x="5690" y="11013"/>
                                  <a:pt x="8370"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54" name="Shape 8254"/>
                        <wps:cNvSpPr/>
                        <wps:spPr>
                          <a:xfrm>
                            <a:off x="381000" y="6477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863"/>
                                  <a:pt x="51460" y="45889"/>
                                  <a:pt x="48781" y="48667"/>
                                </a:cubicBezTo>
                                <a:cubicBezTo>
                                  <a:pt x="46101" y="51246"/>
                                  <a:pt x="43011" y="53330"/>
                                  <a:pt x="39510" y="54769"/>
                                </a:cubicBezTo>
                                <a:cubicBezTo>
                                  <a:pt x="36009" y="56307"/>
                                  <a:pt x="32364" y="57051"/>
                                  <a:pt x="28575" y="57150"/>
                                </a:cubicBezTo>
                                <a:cubicBezTo>
                                  <a:pt x="24786" y="57051"/>
                                  <a:pt x="21141" y="56307"/>
                                  <a:pt x="17640" y="54769"/>
                                </a:cubicBezTo>
                                <a:cubicBezTo>
                                  <a:pt x="14139" y="53330"/>
                                  <a:pt x="11049" y="51246"/>
                                  <a:pt x="8370" y="48667"/>
                                </a:cubicBezTo>
                                <a:cubicBezTo>
                                  <a:pt x="5690" y="45889"/>
                                  <a:pt x="3625" y="42863"/>
                                  <a:pt x="2175" y="39439"/>
                                </a:cubicBezTo>
                                <a:cubicBezTo>
                                  <a:pt x="725" y="35917"/>
                                  <a:pt x="0" y="32345"/>
                                  <a:pt x="0" y="28575"/>
                                </a:cubicBezTo>
                                <a:cubicBezTo>
                                  <a:pt x="0" y="24705"/>
                                  <a:pt x="725" y="20985"/>
                                  <a:pt x="2175" y="17463"/>
                                </a:cubicBezTo>
                                <a:cubicBezTo>
                                  <a:pt x="3625" y="13990"/>
                                  <a:pt x="5690" y="10914"/>
                                  <a:pt x="8370"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56" name="Shape 8256"/>
                        <wps:cNvSpPr/>
                        <wps:spPr>
                          <a:xfrm>
                            <a:off x="381000" y="847725"/>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70"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70"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61" name="Shape 8261"/>
                        <wps:cNvSpPr/>
                        <wps:spPr>
                          <a:xfrm>
                            <a:off x="381000" y="1152525"/>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70" y="48716"/>
                                </a:cubicBezTo>
                                <a:cubicBezTo>
                                  <a:pt x="5690" y="45988"/>
                                  <a:pt x="3625" y="42912"/>
                                  <a:pt x="2175" y="39439"/>
                                </a:cubicBezTo>
                                <a:cubicBezTo>
                                  <a:pt x="725" y="35917"/>
                                  <a:pt x="0" y="32345"/>
                                  <a:pt x="0" y="28575"/>
                                </a:cubicBezTo>
                                <a:cubicBezTo>
                                  <a:pt x="0" y="24705"/>
                                  <a:pt x="725" y="21034"/>
                                  <a:pt x="2175" y="17562"/>
                                </a:cubicBezTo>
                                <a:cubicBezTo>
                                  <a:pt x="3625" y="14039"/>
                                  <a:pt x="5690" y="10914"/>
                                  <a:pt x="8370"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64" name="Shape 8264"/>
                        <wps:cNvSpPr/>
                        <wps:spPr>
                          <a:xfrm>
                            <a:off x="381000" y="1457325"/>
                            <a:ext cx="57150" cy="57150"/>
                          </a:xfrm>
                          <a:custGeom>
                            <a:avLst/>
                            <a:gdLst/>
                            <a:ahLst/>
                            <a:cxnLst/>
                            <a:rect l="0" t="0" r="0" b="0"/>
                            <a:pathLst>
                              <a:path w="57150" h="57150">
                                <a:moveTo>
                                  <a:pt x="28575" y="0"/>
                                </a:moveTo>
                                <a:cubicBezTo>
                                  <a:pt x="32364" y="0"/>
                                  <a:pt x="36009" y="744"/>
                                  <a:pt x="39510" y="2133"/>
                                </a:cubicBezTo>
                                <a:cubicBezTo>
                                  <a:pt x="43011" y="3572"/>
                                  <a:pt x="46101" y="5556"/>
                                  <a:pt x="48781" y="8235"/>
                                </a:cubicBezTo>
                                <a:cubicBezTo>
                                  <a:pt x="51460" y="10914"/>
                                  <a:pt x="53525" y="13990"/>
                                  <a:pt x="54975" y="17463"/>
                                </a:cubicBezTo>
                                <a:cubicBezTo>
                                  <a:pt x="56425" y="20985"/>
                                  <a:pt x="57150" y="24705"/>
                                  <a:pt x="57150" y="28575"/>
                                </a:cubicBezTo>
                                <a:cubicBezTo>
                                  <a:pt x="57150" y="32296"/>
                                  <a:pt x="56425" y="35917"/>
                                  <a:pt x="54975" y="39439"/>
                                </a:cubicBezTo>
                                <a:cubicBezTo>
                                  <a:pt x="53525" y="42863"/>
                                  <a:pt x="51460" y="45988"/>
                                  <a:pt x="48781" y="48716"/>
                                </a:cubicBezTo>
                                <a:cubicBezTo>
                                  <a:pt x="46101" y="51346"/>
                                  <a:pt x="43011" y="53330"/>
                                  <a:pt x="39510" y="54918"/>
                                </a:cubicBezTo>
                                <a:cubicBezTo>
                                  <a:pt x="36009" y="56307"/>
                                  <a:pt x="32364" y="57051"/>
                                  <a:pt x="28575" y="57150"/>
                                </a:cubicBezTo>
                                <a:cubicBezTo>
                                  <a:pt x="24786" y="57051"/>
                                  <a:pt x="21141" y="56307"/>
                                  <a:pt x="17640" y="54918"/>
                                </a:cubicBezTo>
                                <a:cubicBezTo>
                                  <a:pt x="14139" y="53330"/>
                                  <a:pt x="11049" y="51346"/>
                                  <a:pt x="8370" y="48716"/>
                                </a:cubicBezTo>
                                <a:cubicBezTo>
                                  <a:pt x="5690" y="45988"/>
                                  <a:pt x="3625" y="42863"/>
                                  <a:pt x="2175" y="39439"/>
                                </a:cubicBezTo>
                                <a:cubicBezTo>
                                  <a:pt x="725" y="35917"/>
                                  <a:pt x="0" y="32296"/>
                                  <a:pt x="0" y="28575"/>
                                </a:cubicBezTo>
                                <a:cubicBezTo>
                                  <a:pt x="0" y="24705"/>
                                  <a:pt x="725" y="20985"/>
                                  <a:pt x="2175" y="17463"/>
                                </a:cubicBezTo>
                                <a:cubicBezTo>
                                  <a:pt x="3625" y="13990"/>
                                  <a:pt x="5690" y="10914"/>
                                  <a:pt x="8370" y="8235"/>
                                </a:cubicBezTo>
                                <a:cubicBezTo>
                                  <a:pt x="11049" y="5556"/>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66" name="Shape 8266"/>
                        <wps:cNvSpPr/>
                        <wps:spPr>
                          <a:xfrm>
                            <a:off x="0" y="1609725"/>
                            <a:ext cx="57150" cy="57150"/>
                          </a:xfrm>
                          <a:custGeom>
                            <a:avLst/>
                            <a:gdLst/>
                            <a:ahLst/>
                            <a:cxnLst/>
                            <a:rect l="0" t="0" r="0" b="0"/>
                            <a:pathLst>
                              <a:path w="57150" h="57150">
                                <a:moveTo>
                                  <a:pt x="28575" y="0"/>
                                </a:moveTo>
                                <a:cubicBezTo>
                                  <a:pt x="32364" y="0"/>
                                  <a:pt x="36009" y="744"/>
                                  <a:pt x="39510" y="2133"/>
                                </a:cubicBezTo>
                                <a:cubicBezTo>
                                  <a:pt x="43011" y="3572"/>
                                  <a:pt x="46101" y="5556"/>
                                  <a:pt x="48781" y="8235"/>
                                </a:cubicBezTo>
                                <a:cubicBezTo>
                                  <a:pt x="51460" y="10914"/>
                                  <a:pt x="53525" y="13990"/>
                                  <a:pt x="54975" y="17463"/>
                                </a:cubicBezTo>
                                <a:cubicBezTo>
                                  <a:pt x="56425" y="20985"/>
                                  <a:pt x="57150" y="24705"/>
                                  <a:pt x="57150" y="28575"/>
                                </a:cubicBezTo>
                                <a:cubicBezTo>
                                  <a:pt x="57150" y="32296"/>
                                  <a:pt x="56425" y="35917"/>
                                  <a:pt x="54975" y="39439"/>
                                </a:cubicBezTo>
                                <a:cubicBezTo>
                                  <a:pt x="53525" y="42863"/>
                                  <a:pt x="51460" y="45988"/>
                                  <a:pt x="48781" y="48716"/>
                                </a:cubicBezTo>
                                <a:cubicBezTo>
                                  <a:pt x="46101" y="51346"/>
                                  <a:pt x="43011" y="53330"/>
                                  <a:pt x="39510" y="54918"/>
                                </a:cubicBezTo>
                                <a:cubicBezTo>
                                  <a:pt x="36009" y="56307"/>
                                  <a:pt x="32364" y="57051"/>
                                  <a:pt x="28575" y="57150"/>
                                </a:cubicBezTo>
                                <a:cubicBezTo>
                                  <a:pt x="24786" y="57051"/>
                                  <a:pt x="21141" y="56307"/>
                                  <a:pt x="17640" y="54918"/>
                                </a:cubicBezTo>
                                <a:cubicBezTo>
                                  <a:pt x="14139" y="53330"/>
                                  <a:pt x="11049" y="51346"/>
                                  <a:pt x="8369" y="48716"/>
                                </a:cubicBezTo>
                                <a:cubicBezTo>
                                  <a:pt x="5690" y="45988"/>
                                  <a:pt x="3625" y="42863"/>
                                  <a:pt x="2175" y="39439"/>
                                </a:cubicBezTo>
                                <a:cubicBezTo>
                                  <a:pt x="725" y="35917"/>
                                  <a:pt x="0" y="32296"/>
                                  <a:pt x="0" y="28575"/>
                                </a:cubicBezTo>
                                <a:cubicBezTo>
                                  <a:pt x="0" y="24705"/>
                                  <a:pt x="725" y="20985"/>
                                  <a:pt x="2175" y="17463"/>
                                </a:cubicBezTo>
                                <a:cubicBezTo>
                                  <a:pt x="3625" y="13990"/>
                                  <a:pt x="5690" y="10914"/>
                                  <a:pt x="8369" y="8235"/>
                                </a:cubicBezTo>
                                <a:cubicBezTo>
                                  <a:pt x="11049" y="5556"/>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269" name="Shape 8269"/>
                        <wps:cNvSpPr/>
                        <wps:spPr>
                          <a:xfrm>
                            <a:off x="0" y="1914525"/>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6757" style="width:34.5pt;height:155.25pt;position:absolute;mso-position-horizontal-relative:text;mso-position-horizontal:absolute;margin-left:16.5pt;mso-position-vertical-relative:text;margin-top:-124.008pt;" coordsize="4381,19716">
                <v:shape id="Shape 8245" style="position:absolute;width:571;height:571;left:3810;top:0;" coordsize="57150,57150" path="m28575,0c32364,0,36009,645,39510,2084c43011,3473,46101,5556,48781,8235c51460,10864,53525,13990,54975,17463c56425,21034,57150,24755,57150,28575c57150,32296,56425,35868,54975,39340c53525,42863,51460,45988,48781,48716c46101,51346,43011,53429,39510,54818c36009,56257,32364,57051,28575,57150c24786,57051,21141,56257,17640,54818c14139,53429,11049,51346,8370,48716c5690,45988,3625,42863,2175,39340c725,35868,0,32296,0,28575c0,24755,725,21034,2175,17463c3625,13990,5690,10864,8370,8235c11049,5556,14139,3473,17640,2084c21141,645,24786,0,28575,0x">
                  <v:stroke weight="0pt" endcap="flat" joinstyle="miter" miterlimit="10" on="false" color="#000000" opacity="0"/>
                  <v:fill on="true" color="#333333"/>
                </v:shape>
                <v:shape id="Shape 8247" style="position:absolute;width:571;height:571;left:3810;top:1524;" coordsize="57150,57150" path="m28575,0c32364,0,36009,645,39510,2084c43011,3473,46101,5556,48781,8235c51460,10864,53525,13990,54975,17463c56425,21034,57150,24755,57150,28575c57150,32296,56425,35868,54975,39340c53525,42863,51460,45988,48781,48716c46101,51346,43011,53429,39510,54818c36009,56257,32364,57051,28575,57150c24786,57051,21141,56257,17640,54818c14139,53429,11049,51346,8370,48716c5690,45988,3625,42863,2175,39340c725,35868,0,32296,0,28575c0,24755,725,21034,2175,17463c3625,13990,5690,10864,8370,8235c11049,5556,14139,3473,17640,2084c21141,645,24786,0,28575,0x">
                  <v:stroke weight="0pt" endcap="flat" joinstyle="miter" miterlimit="10" on="false" color="#000000" opacity="0"/>
                  <v:fill on="true" color="#333333"/>
                </v:shape>
                <v:shape id="Shape 8250" style="position:absolute;width:571;height:571;left:3810;top:4953;" coordsize="57150,57150" path="m28575,0c32364,0,36009,744,39510,2133c43011,3572,46101,5655,48781,8334c51460,11013,53525,14039,54975,17562c56425,21034,57150,24755,57150,28575c57150,32296,56425,35917,54975,39439c53525,42863,51460,45988,48781,48716c46101,51346,43011,53330,39510,54918c36009,56307,32364,57051,28575,57150c24786,57051,21141,56307,17640,54918c14139,53330,11049,51346,8370,48716c5690,45988,3625,42863,2175,39439c725,35917,0,32296,0,28575c0,24755,725,21034,2175,17562c3625,14039,5690,11013,8370,8334c11049,5655,14139,3572,17640,2133c21141,744,24786,0,28575,0x">
                  <v:stroke weight="0pt" endcap="flat" joinstyle="miter" miterlimit="10" on="false" color="#000000" opacity="0"/>
                  <v:fill on="true" color="#333333"/>
                </v:shape>
                <v:shape id="Shape 8254" style="position:absolute;width:571;height:571;left:3810;top:6477;" coordsize="57150,57150" path="m28575,0c32364,0,36009,744,39510,2133c43011,3572,46101,5655,48781,8334c51460,10914,53525,13990,54975,17463c56425,20985,57150,24705,57150,28575c57150,32345,56425,35917,54975,39439c53525,42863,51460,45889,48781,48667c46101,51246,43011,53330,39510,54769c36009,56307,32364,57051,28575,57150c24786,57051,21141,56307,17640,54769c14139,53330,11049,51246,8370,48667c5690,45889,3625,42863,2175,39439c725,35917,0,32345,0,28575c0,24705,725,20985,2175,17463c3625,13990,5690,10914,8370,8334c11049,5655,14139,3572,17640,2133c21141,744,24786,0,28575,0x">
                  <v:stroke weight="0pt" endcap="flat" joinstyle="miter" miterlimit="10" on="false" color="#000000" opacity="0"/>
                  <v:fill on="true" color="#333333"/>
                </v:shape>
                <v:shape id="Shape 8256" style="position:absolute;width:571;height:571;left:3810;top:8477;" coordsize="57150,57150" path="m28575,0c32364,0,36009,645,39510,2084c43011,3473,46101,5556,48781,8334c51460,10914,53525,14039,54975,17562c56425,21034,57150,24705,57150,28575c57150,32345,56425,35917,54975,39439c53525,42912,51460,46038,48781,48716c46101,51395,43011,53479,39510,54918c36009,56406,32364,57150,28575,57150c24786,57150,21141,56406,17640,54918c14139,53479,11049,51395,8370,48716c5690,46038,3625,42912,2175,39439c725,35917,0,32345,0,28575c0,24705,725,21034,2175,17562c3625,14039,5690,10914,8370,8334c11049,5556,14139,3473,17640,2084c21141,645,24786,0,28575,0x">
                  <v:stroke weight="0pt" endcap="flat" joinstyle="miter" miterlimit="10" on="false" color="#000000" opacity="0"/>
                  <v:fill on="true" color="#333333"/>
                </v:shape>
                <v:shape id="Shape 8261" style="position:absolute;width:571;height:571;left:3810;top:11525;" coordsize="57150,57150" path="m28575,0c32364,0,36009,645,39510,2084c43011,3473,46101,5556,48781,8235c51460,10914,53525,14039,54975,17562c56425,21034,57150,24705,57150,28575c57150,32345,56425,35917,54975,39439c53525,42912,51460,45988,48781,48716c46101,51346,43011,53429,39510,54918c36009,56307,32364,57051,28575,57150c24786,57051,21141,56307,17640,54918c14139,53429,11049,51346,8370,48716c5690,45988,3625,42912,2175,39439c725,35917,0,32345,0,28575c0,24705,725,21034,2175,17562c3625,14039,5690,10914,8370,8235c11049,5556,14139,3473,17640,2084c21141,645,24786,0,28575,0x">
                  <v:stroke weight="0pt" endcap="flat" joinstyle="miter" miterlimit="10" on="false" color="#000000" opacity="0"/>
                  <v:fill on="true" color="#333333"/>
                </v:shape>
                <v:shape id="Shape 8264" style="position:absolute;width:571;height:571;left:3810;top:14573;" coordsize="57150,57150" path="m28575,0c32364,0,36009,744,39510,2133c43011,3572,46101,5556,48781,8235c51460,10914,53525,13990,54975,17463c56425,20985,57150,24705,57150,28575c57150,32296,56425,35917,54975,39439c53525,42863,51460,45988,48781,48716c46101,51346,43011,53330,39510,54918c36009,56307,32364,57051,28575,57150c24786,57051,21141,56307,17640,54918c14139,53330,11049,51346,8370,48716c5690,45988,3625,42863,2175,39439c725,35917,0,32296,0,28575c0,24705,725,20985,2175,17463c3625,13990,5690,10914,8370,8235c11049,5556,14139,3572,17640,2133c21141,744,24786,0,28575,0x">
                  <v:stroke weight="0pt" endcap="flat" joinstyle="miter" miterlimit="10" on="false" color="#000000" opacity="0"/>
                  <v:fill on="true" color="#333333"/>
                </v:shape>
                <v:shape id="Shape 8266" style="position:absolute;width:571;height:571;left:0;top:16097;" coordsize="57150,57150" path="m28575,0c32364,0,36009,744,39510,2133c43011,3572,46101,5556,48781,8235c51460,10914,53525,13990,54975,17463c56425,20985,57150,24705,57150,28575c57150,32296,56425,35917,54975,39439c53525,42863,51460,45988,48781,48716c46101,51346,43011,53330,39510,54918c36009,56307,32364,57051,28575,57150c24786,57051,21141,56307,17640,54918c14139,53330,11049,51346,8369,48716c5690,45988,3625,42863,2175,39439c725,35917,0,32296,0,28575c0,24705,725,20985,2175,17463c3625,13990,5690,10914,8369,8235c11049,5556,14139,3572,17640,2133c21141,744,24786,0,28575,0x">
                  <v:stroke weight="0pt" endcap="flat" joinstyle="miter" miterlimit="10" on="false" color="#000000" opacity="0"/>
                  <v:fill on="true" color="#333333"/>
                </v:shape>
                <v:shape id="Shape 8269" style="position:absolute;width:571;height:571;left:0;top:19145;" coordsize="57150,57150" path="m28575,0c32364,0,36009,645,39510,2084c43011,3572,46101,5655,48781,8334c51460,11013,53525,14039,54975,17562c56425,21034,57150,24755,57150,28575c57150,32345,56425,35917,54975,39439c53525,42912,51460,45988,48781,48716c46101,51346,43011,53429,39510,54818c36009,56406,32364,57150,28575,57150c24786,57150,21141,56406,17640,54818c14139,53429,11049,51346,8369,48716c5690,45988,3625,42912,2175,39439c725,35917,0,32345,0,28575c0,24755,725,21034,2175,17562c3625,14039,5690,11013,8369,8334c11049,5655,14139,3572,17640,2084c21141,645,24786,0,28575,0x">
                  <v:stroke weight="0pt" endcap="flat" joinstyle="miter" miterlimit="10" on="false" color="#000000" opacity="0"/>
                  <v:fill on="true" color="#333333"/>
                </v:shape>
                <w10:wrap type="square"/>
              </v:group>
            </w:pict>
          </mc:Fallback>
        </mc:AlternateContent>
      </w:r>
      <w:r>
        <w:t>деменция или выраженные когнитивные нарушения со слабой приверженностью или без поддержки ухаживающих; хроническое злоупотребление алкоголем, особенно с запоями.</w:t>
      </w:r>
    </w:p>
    <w:p w:rsidR="008E3F15" w:rsidRDefault="005F449A">
      <w:pPr>
        <w:pStyle w:val="Heading1"/>
        <w:ind w:left="2"/>
      </w:pPr>
      <w:r>
        <w:t>Част</w:t>
      </w:r>
      <w:r>
        <w:t>ь I. Сердечно-сосудистые болезни</w:t>
      </w:r>
    </w:p>
    <w:p w:rsidR="008E3F15" w:rsidRDefault="005F449A">
      <w:pPr>
        <w:ind w:left="2" w:right="77"/>
      </w:pPr>
      <w:r>
        <w:t>У пациентов с повышенным риском кровотечений рекомендуют апиксабан или дабигатрана этексилат в дозе 110 мг. В случае использования варфарина поддерживают МНО в диапазоне 2,0–2,5. Апиксабан реже вызывает желудочно-кишечные кровотечения по сравнению с варфар</w:t>
      </w:r>
      <w:r>
        <w:t>ином и другими прямыми оральными антикоагулянтами (Lip G. et al., 2016; Ntaios G. et al., 2017; Forslund T. et al., 2018).</w:t>
      </w:r>
    </w:p>
    <w:p w:rsidR="008E3F15" w:rsidRDefault="005F449A">
      <w:pPr>
        <w:ind w:left="2" w:right="276"/>
      </w:pPr>
      <w:r>
        <w:t xml:space="preserve">При необходимости (кровотечения, недостаточный противотромботический эффект) может быть полезным контроль активности прямых оральных </w:t>
      </w:r>
      <w:r>
        <w:t>антикоагулянтов, что связано со значительными отличиями в концентрации препарата у разных пациентов на одной и той же дозе. Для оценки дабигатрана этексилата рекомендуют разведенное тромбиновое время или экариновое время свертывания (менее точны активирова</w:t>
      </w:r>
      <w:r>
        <w:t>нное частичное тромбопластиновое и тромбиновое время), а для апиксабана и ривароксабана анти-Хаактивность, калиброванную по препарату (менее точное протромбиновое время).</w:t>
      </w:r>
    </w:p>
    <w:p w:rsidR="008E3F15" w:rsidRDefault="005F449A">
      <w:pPr>
        <w:spacing w:line="284" w:lineRule="auto"/>
        <w:ind w:left="2" w:right="15"/>
      </w:pPr>
      <w:r>
        <w:t>Антидотом варфарина является витамин К</w:t>
      </w:r>
      <w:r>
        <w:rPr>
          <w:sz w:val="31"/>
          <w:vertAlign w:val="subscript"/>
        </w:rPr>
        <w:t>1</w:t>
      </w:r>
      <w:r>
        <w:t>, дабигатрана этексилата — идаруцизумаб, а для</w:t>
      </w:r>
      <w:r>
        <w:t xml:space="preserve"> апиксабана и ривароксабана — андексанет альфа</w:t>
      </w:r>
      <w:r>
        <w:rPr>
          <w:rFonts w:ascii="Times New Roman" w:eastAsia="Times New Roman" w:hAnsi="Times New Roman" w:cs="Times New Roman"/>
          <w:sz w:val="31"/>
          <w:vertAlign w:val="superscript"/>
        </w:rPr>
        <w:t>℘</w:t>
      </w:r>
      <w:r>
        <w:t>.</w:t>
      </w:r>
    </w:p>
    <w:p w:rsidR="008E3F15" w:rsidRDefault="005F449A">
      <w:pPr>
        <w:ind w:left="2" w:right="15"/>
      </w:pPr>
      <w:r>
        <w:t>В случае развития кровотечения и недоступности антидотов используют концентрат протромбинового комплекса, свежезамороженную плазму.</w:t>
      </w:r>
    </w:p>
    <w:p w:rsidR="008E3F15" w:rsidRDefault="005F449A">
      <w:pPr>
        <w:ind w:left="2" w:right="15"/>
      </w:pPr>
      <w:r>
        <w:rPr>
          <w:b/>
        </w:rPr>
        <w:t>Предсердные окклюдеры</w:t>
      </w:r>
      <w:r>
        <w:t xml:space="preserve"> позволяют изолировать тромбогенный придаток левого предсердия. Метод используется при абсолютных противопоказаниях к длительному лечению антикоагулянтами (риск больших кровотечений, особенно угрожающих</w:t>
      </w:r>
    </w:p>
    <w:p w:rsidR="008E3F15" w:rsidRDefault="005F449A">
      <w:pPr>
        <w:ind w:left="2" w:right="15"/>
      </w:pPr>
      <w:r>
        <w:t>или инвалидизирующих вследствие неустранимой причины)</w:t>
      </w:r>
      <w:r>
        <w:t xml:space="preserve"> у пациентов с высоким риском инсульта, которым можно назначить антиагрегант хотя бы на период 2–4 нед.</w:t>
      </w:r>
    </w:p>
    <w:p w:rsidR="008E3F15" w:rsidRDefault="005F449A">
      <w:pPr>
        <w:ind w:left="2" w:right="15"/>
      </w:pPr>
      <w:r>
        <w:t>Использование аппарата Watchman оказалось не менее эффективным, чем постоянный прием антикоагулянтов (Sahay S. et al., 2016; Koifman E. et al., 2016; PR</w:t>
      </w:r>
      <w:r>
        <w:t>OTECT AF).</w:t>
      </w:r>
    </w:p>
    <w:p w:rsidR="008E3F15" w:rsidRDefault="005F449A">
      <w:pPr>
        <w:spacing w:after="359"/>
        <w:ind w:left="2" w:right="121"/>
      </w:pPr>
      <w:r>
        <w:t>Частота серьезных осложнений по данным регистра EWOLUTION составила 2,7%. Для профилактики тромбоза устройства Watchman рекомендуется в течение 45 сут принимать варфарин или прямые антикоагулянты вместе с 75 мг АСК, затем 6 мес АСК вместе с клоп</w:t>
      </w:r>
      <w:r>
        <w:t>идогрелом, и далее один антиагрегант. В случае высокого риска кровотечений назначают два антиагреганта (возможен один), а через 1–6 мес оставляют один антиагрегант.</w:t>
      </w:r>
    </w:p>
    <w:p w:rsidR="008E3F15" w:rsidRDefault="005F449A">
      <w:pPr>
        <w:pStyle w:val="Heading1"/>
        <w:ind w:left="2"/>
      </w:pPr>
      <w:r>
        <w:t>Часть I. Сердечно-сосудистые болезни</w:t>
      </w:r>
    </w:p>
    <w:p w:rsidR="008E3F15" w:rsidRDefault="005F449A">
      <w:pPr>
        <w:spacing w:after="31"/>
        <w:ind w:left="2" w:right="15"/>
      </w:pPr>
      <w:r>
        <w:t>Катетерная абляция</w:t>
      </w:r>
    </w:p>
    <w:p w:rsidR="008E3F15" w:rsidRDefault="005F449A">
      <w:pPr>
        <w:ind w:left="2" w:right="535"/>
      </w:pPr>
      <w:r>
        <w:t>Катетерная абляция аритмогенных суб</w:t>
      </w:r>
      <w:r>
        <w:t>стратов широко используется для восстановления и сохранения синусового ритма, улучшения качества жизни пациента с ФП. Катетерные абляции позволяют устранить анатомические структуры, инициирующие</w:t>
      </w:r>
    </w:p>
    <w:p w:rsidR="008E3F15" w:rsidRDefault="005F449A">
      <w:pPr>
        <w:ind w:left="2" w:right="15"/>
      </w:pPr>
      <w:r>
        <w:t>или поддерживающие ФП. Обычно процедура включает изоляцию уст</w:t>
      </w:r>
      <w:r>
        <w:t xml:space="preserve">ьев легочных вен, где располагается наиболее аритмогенный мио кард, с возможным дополнением других методик. </w:t>
      </w:r>
      <w:r>
        <w:rPr>
          <w:b/>
        </w:rPr>
        <w:t>Отбор пациентов и подготовка.</w:t>
      </w:r>
      <w:r>
        <w:t xml:space="preserve"> Изоляция легочных вен может использоваться в следующих случаях (ESC).</w:t>
      </w:r>
    </w:p>
    <w:p w:rsidR="008E3F15" w:rsidRDefault="005F449A">
      <w:pPr>
        <w:spacing w:after="154" w:line="259" w:lineRule="auto"/>
        <w:ind w:right="0"/>
      </w:pPr>
      <w:r>
        <w:rPr>
          <w:i/>
        </w:rPr>
        <w:t>Класс I (рекомендуется)</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76758" name="Group 27675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8316" name="Shape 8316"/>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76758" style="width:4.5pt;height:4.5pt;mso-position-horizontal-relative:char;mso-position-vertical-relative:line" coordsize="571,571">
                <v:shape id="Shape 8316" style="position:absolute;width:571;height:571;left:0;top:0;" coordsize="57150,57150" path="m28575,0c32364,0,36009,744,39510,2133c43011,3572,46101,5655,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655,14139,3572,17640,2133c21141,744,24786,0,28575,0x">
                  <v:stroke weight="0pt" endcap="flat" joinstyle="miter" miterlimit="10" on="false" color="#000000" opacity="0"/>
                  <v:fill on="true" color="#333333"/>
                </v:shape>
              </v:group>
            </w:pict>
          </mc:Fallback>
        </mc:AlternateContent>
      </w:r>
      <w:r>
        <w:t xml:space="preserve"> Пароксизмальная или пе</w:t>
      </w:r>
      <w:r>
        <w:t>рсистирующая ФП с рефрактерностью или непереносимостью антиаритмических препаратов I или III класса для уменьшения симптомов.</w:t>
      </w:r>
    </w:p>
    <w:p w:rsidR="008E3F15" w:rsidRDefault="005F449A">
      <w:pPr>
        <w:spacing w:after="179"/>
        <w:ind w:left="-8" w:right="556" w:firstLine="600"/>
      </w:pPr>
      <w:r>
        <w:t xml:space="preserve">Кардиомиопатия, индуцируемая тахиаритмией, для уменьшения дисфункции левого желудочка независимо от симптомов. </w:t>
      </w:r>
      <w:r>
        <w:rPr>
          <w:i/>
        </w:rPr>
        <w:t>Класс IIa (целесооб</w:t>
      </w:r>
      <w:r>
        <w:rPr>
          <w:i/>
        </w:rPr>
        <w:t>разно)</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761664" behindDoc="0" locked="0" layoutInCell="1" allowOverlap="1">
                <wp:simplePos x="0" y="0"/>
                <wp:positionH relativeFrom="column">
                  <wp:posOffset>209550</wp:posOffset>
                </wp:positionH>
                <wp:positionV relativeFrom="paragraph">
                  <wp:posOffset>34826</wp:posOffset>
                </wp:positionV>
                <wp:extent cx="57150" cy="1276350"/>
                <wp:effectExtent l="0" t="0" r="0" b="0"/>
                <wp:wrapSquare wrapText="bothSides"/>
                <wp:docPr id="283173" name="Group 283173"/>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8394" name="Shape 8394"/>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863"/>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439"/>
                                </a:cubicBezTo>
                                <a:cubicBezTo>
                                  <a:pt x="725" y="35917"/>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397" name="Shape 8397"/>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6016"/>
                                  <a:pt x="54975" y="39489"/>
                                </a:cubicBezTo>
                                <a:cubicBezTo>
                                  <a:pt x="53525" y="43011"/>
                                  <a:pt x="51460" y="46038"/>
                                  <a:pt x="48781" y="48816"/>
                                </a:cubicBezTo>
                                <a:cubicBezTo>
                                  <a:pt x="46101" y="51395"/>
                                  <a:pt x="43011" y="53479"/>
                                  <a:pt x="39510" y="54967"/>
                                </a:cubicBezTo>
                                <a:cubicBezTo>
                                  <a:pt x="36009" y="56406"/>
                                  <a:pt x="32364" y="57150"/>
                                  <a:pt x="28575" y="57150"/>
                                </a:cubicBezTo>
                                <a:cubicBezTo>
                                  <a:pt x="24786" y="57150"/>
                                  <a:pt x="21141" y="56406"/>
                                  <a:pt x="17640" y="54967"/>
                                </a:cubicBezTo>
                                <a:cubicBezTo>
                                  <a:pt x="14139" y="53479"/>
                                  <a:pt x="11049" y="51395"/>
                                  <a:pt x="8369" y="48816"/>
                                </a:cubicBezTo>
                                <a:cubicBezTo>
                                  <a:pt x="5690" y="46038"/>
                                  <a:pt x="3625" y="43011"/>
                                  <a:pt x="2175" y="39489"/>
                                </a:cubicBezTo>
                                <a:cubicBezTo>
                                  <a:pt x="725" y="36016"/>
                                  <a:pt x="0" y="32345"/>
                                  <a:pt x="0" y="28575"/>
                                </a:cubicBezTo>
                                <a:cubicBezTo>
                                  <a:pt x="0" y="24705"/>
                                  <a:pt x="725" y="20985"/>
                                  <a:pt x="2175" y="17463"/>
                                </a:cubicBezTo>
                                <a:cubicBezTo>
                                  <a:pt x="3625" y="13990"/>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00" name="Shape 8400"/>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6016"/>
                                  <a:pt x="54975" y="39489"/>
                                </a:cubicBezTo>
                                <a:cubicBezTo>
                                  <a:pt x="53525" y="43011"/>
                                  <a:pt x="51460" y="4603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6038"/>
                                  <a:pt x="3625" y="43011"/>
                                  <a:pt x="2175" y="39489"/>
                                </a:cubicBezTo>
                                <a:cubicBezTo>
                                  <a:pt x="725" y="36016"/>
                                  <a:pt x="0" y="32345"/>
                                  <a:pt x="0" y="28575"/>
                                </a:cubicBezTo>
                                <a:cubicBezTo>
                                  <a:pt x="0" y="24705"/>
                                  <a:pt x="725" y="20985"/>
                                  <a:pt x="2175" y="17463"/>
                                </a:cubicBezTo>
                                <a:cubicBezTo>
                                  <a:pt x="3625" y="13990"/>
                                  <a:pt x="5690" y="10914"/>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03" name="Shape 8403"/>
                        <wps:cNvSpPr/>
                        <wps:spPr>
                          <a:xfrm>
                            <a:off x="0" y="914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06" name="Shape 8406"/>
                        <wps:cNvSpPr/>
                        <wps:spPr>
                          <a:xfrm>
                            <a:off x="0" y="121920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86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864"/>
                                  <a:pt x="8369" y="8235"/>
                                </a:cubicBezTo>
                                <a:cubicBezTo>
                                  <a:pt x="11049" y="5507"/>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173" style="width:4.5pt;height:100.5pt;position:absolute;mso-position-horizontal-relative:text;mso-position-horizontal:absolute;margin-left:16.5pt;mso-position-vertical-relative:text;margin-top:2.74219pt;" coordsize="571,12763">
                <v:shape id="Shape 8394" style="position:absolute;width:571;height:571;left:0;top:0;" coordsize="57150,57150" path="m28575,0c32364,0,36009,645,39510,2084c43011,3473,46101,5556,48781,8334c51460,10914,53525,14039,54975,17562c56425,21034,57150,24705,57150,28575c57150,32296,56425,35917,54975,39439c53525,42863,51460,45988,48781,48716c46101,51346,43011,53429,39510,54918c36009,56307,32364,57051,28575,57150c24786,57051,21141,56307,17640,54918c14139,53429,11049,51346,8369,48716c5690,45988,3625,42863,2175,39439c725,35917,0,32296,0,28575c0,24705,725,21034,2175,17562c3625,14039,5690,10914,8369,8334c11049,5556,14139,3473,17640,2084c21141,645,24786,0,28575,0x">
                  <v:stroke weight="0pt" endcap="flat" joinstyle="miter" miterlimit="4" on="false" color="#000000" opacity="0"/>
                  <v:fill on="true" color="#333333"/>
                </v:shape>
                <v:shape id="Shape 8397" style="position:absolute;width:571;height:571;left:0;top:3048;" coordsize="57150,57150" path="m28575,0c32364,0,36009,744,39510,2133c43011,3572,46101,5655,48781,8334c51460,10914,53525,13990,54975,17463c56425,20985,57150,24705,57150,28575c57150,32345,56425,36016,54975,39489c53525,43011,51460,46038,48781,48816c46101,51395,43011,53479,39510,54967c36009,56406,32364,57150,28575,57150c24786,57150,21141,56406,17640,54967c14139,53479,11049,51395,8369,48816c5690,46038,3625,43011,2175,39489c725,36016,0,32345,0,28575c0,24705,725,20985,2175,17463c3625,13990,5690,10914,8369,8334c11049,5655,14139,3572,17640,2133c21141,744,24786,0,28575,0x">
                  <v:stroke weight="0pt" endcap="flat" joinstyle="miter" miterlimit="4" on="false" color="#000000" opacity="0"/>
                  <v:fill on="true" color="#333333"/>
                </v:shape>
                <v:shape id="Shape 8400" style="position:absolute;width:571;height:571;left:0;top:6096;" coordsize="57150,57150" path="m28575,0c32364,0,36009,645,39510,2084c43011,3572,46101,5655,48781,8334c51460,10914,53525,13990,54975,17463c56425,20985,57150,24705,57150,28575c57150,32345,56425,36016,54975,39489c53525,43011,51460,46038,48781,48716c46101,51346,43011,53429,39510,54818c36009,56406,32364,57150,28575,57150c24786,57150,21141,56406,17640,54818c14139,53429,11049,51346,8369,48716c5690,46038,3625,43011,2175,39489c725,36016,0,32345,0,28575c0,24705,725,20985,2175,17463c3625,13990,5690,10914,8369,8334c11049,5655,14139,3572,17640,2084c21141,645,24786,0,28575,0x">
                  <v:stroke weight="0pt" endcap="flat" joinstyle="miter" miterlimit="4" on="false" color="#000000" opacity="0"/>
                  <v:fill on="true" color="#333333"/>
                </v:shape>
                <v:shape id="Shape 8403" style="position:absolute;width:571;height:571;left:0;top:9144;" coordsize="57150,57150" path="m28575,0c32364,0,36009,645,39510,2084c43011,3473,46101,5556,48781,8334c51460,1091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914,8369,8334c11049,5556,14139,3473,17640,2084c21141,645,24786,0,28575,0x">
                  <v:stroke weight="0pt" endcap="flat" joinstyle="miter" miterlimit="4" on="false" color="#000000" opacity="0"/>
                  <v:fill on="true" color="#333333"/>
                </v:shape>
                <v:shape id="Shape 8406" style="position:absolute;width:571;height:571;left:0;top:12192;" coordsize="57150,57150" path="m28575,0c32364,0,36009,645,39510,2084c43011,3473,46101,5507,48781,8235c51460,10864,53525,13990,54975,17463c56425,20985,57150,24705,57150,28575c57150,32345,56425,35917,54975,39439c53525,42912,51460,46038,48781,48716c46101,51346,43011,53429,39510,54818c36009,56307,32364,57051,28575,57150c24786,57051,21141,56307,17640,54818c14139,53429,11049,51346,8369,48716c5690,46038,3625,42912,2175,39439c725,35917,0,32345,0,28575c0,24705,725,20985,2175,17463c3625,13990,5690,10864,8369,8235c11049,5507,14139,3473,17640,2084c21141,645,24786,0,28575,0x">
                  <v:stroke weight="0pt" endcap="flat" joinstyle="miter" miterlimit="4" on="false" color="#000000" opacity="0"/>
                  <v:fill on="true" color="#333333"/>
                </v:shape>
                <w10:wrap type="square"/>
              </v:group>
            </w:pict>
          </mc:Fallback>
        </mc:AlternateContent>
      </w:r>
      <w:r>
        <w:t>Пароксизмальная или персистирующая ФП с рефрактерностью или непереносимостью β-адреноблокаторов для уменьшения симптомов.</w:t>
      </w:r>
    </w:p>
    <w:p w:rsidR="008E3F15" w:rsidRDefault="005F449A">
      <w:pPr>
        <w:ind w:left="340" w:right="15"/>
      </w:pPr>
      <w:r>
        <w:t>Изоляция легочных вен как начальная терапия пароксизмальной ФП для уменьшения симптомов у выбранных пациентов.</w:t>
      </w:r>
    </w:p>
    <w:p w:rsidR="008E3F15" w:rsidRDefault="005F449A">
      <w:pPr>
        <w:ind w:left="340" w:right="15"/>
      </w:pPr>
      <w:r>
        <w:t>ФП в сочетании с СНнФВ для предупреждения госпитализаций с СН и повышения выживаемости.</w:t>
      </w:r>
    </w:p>
    <w:p w:rsidR="008E3F15" w:rsidRDefault="005F449A">
      <w:pPr>
        <w:ind w:left="340" w:right="412"/>
      </w:pPr>
      <w:r>
        <w:t>Брадикардия, связанная с ФП, или симптомные паузы после окончания тахиаритмии с целью избежать имплантации кардиостимулятора.</w:t>
      </w:r>
    </w:p>
    <w:p w:rsidR="008E3F15" w:rsidRDefault="005F449A">
      <w:pPr>
        <w:spacing w:after="179"/>
        <w:ind w:left="340" w:right="15"/>
      </w:pPr>
      <w:r>
        <w:t>Повторная изоляция легочных вен при рециди</w:t>
      </w:r>
      <w:r>
        <w:t>ве симптомной ФП, если первая процедура уменьшила симптомы.</w:t>
      </w:r>
    </w:p>
    <w:p w:rsidR="008E3F15" w:rsidRDefault="005F449A">
      <w:pPr>
        <w:ind w:left="2" w:right="15"/>
      </w:pPr>
      <w:r>
        <w:t xml:space="preserve">Для практиков может быть полезной более детальная градация показаний к катетерной абляции, представленная в </w:t>
      </w:r>
      <w:r>
        <w:rPr>
          <w:b/>
        </w:rPr>
        <w:t>табл. 4.10</w:t>
      </w:r>
      <w:r>
        <w:t xml:space="preserve">. Чем раньше после выявления ФП пациент направлен на абляцию, тем эффективнее </w:t>
      </w:r>
      <w:r>
        <w:t>процедура.</w:t>
      </w:r>
    </w:p>
    <w:p w:rsidR="008E3F15" w:rsidRDefault="005F449A">
      <w:pPr>
        <w:spacing w:after="31"/>
        <w:ind w:left="2" w:right="1439"/>
      </w:pPr>
      <w:r>
        <w:rPr>
          <w:b/>
        </w:rPr>
        <w:t xml:space="preserve">Таблица 4.10. </w:t>
      </w:r>
      <w:r>
        <w:t>Критерии отбора пациентов на катетерную абляцию (Дудник А.В., с изменениями)</w:t>
      </w:r>
    </w:p>
    <w:tbl>
      <w:tblPr>
        <w:tblStyle w:val="TableGrid"/>
        <w:tblW w:w="10485" w:type="dxa"/>
        <w:tblInd w:w="30" w:type="dxa"/>
        <w:tblCellMar>
          <w:top w:w="80" w:type="dxa"/>
          <w:left w:w="40" w:type="dxa"/>
          <w:bottom w:w="0" w:type="dxa"/>
          <w:right w:w="115" w:type="dxa"/>
        </w:tblCellMar>
        <w:tblLook w:val="04A0" w:firstRow="1" w:lastRow="0" w:firstColumn="1" w:lastColumn="0" w:noHBand="0" w:noVBand="1"/>
      </w:tblPr>
      <w:tblGrid>
        <w:gridCol w:w="2445"/>
        <w:gridCol w:w="2850"/>
        <w:gridCol w:w="2445"/>
        <w:gridCol w:w="2745"/>
      </w:tblGrid>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b/>
              </w:rPr>
              <w:t>Критерий</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Показано</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Возможно</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Не показано</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Форма ФП</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Пароксизмальная, персистирующая</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Длительно персистирующая</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Постоянная</w:t>
            </w:r>
          </w:p>
        </w:tc>
      </w:tr>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Симптомы</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Выраженные</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Невыраженные</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Нет</w:t>
            </w:r>
          </w:p>
        </w:tc>
      </w:tr>
      <w:tr w:rsidR="008E3F15">
        <w:trPr>
          <w:trHeight w:val="6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195" w:firstLine="0"/>
            </w:pPr>
            <w:r>
              <w:t>рСКФ, мл/мин /1,73 м</w:t>
            </w:r>
            <w:r>
              <w:rPr>
                <w:sz w:val="31"/>
                <w:vertAlign w:val="superscript"/>
              </w:rPr>
              <w:t>2</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&gt;45</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30–45</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&lt;30</w:t>
            </w:r>
          </w:p>
        </w:tc>
      </w:tr>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Антикоагулянты</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 противопоказаны</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Противопоказаны</w:t>
            </w:r>
          </w:p>
        </w:tc>
      </w:tr>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Аллергия на йод</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Отсутствует</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Имеется</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Объем левого предсердия, мл</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40–100</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100–120</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&lt;40, &gt;120</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Тромб в левом предсердии</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Отсутствует</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Эхоконтраст</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Имеется</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Визуализация легочных вен</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Есть</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Нет</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w:t>
            </w:r>
          </w:p>
        </w:tc>
      </w:tr>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Коморбидность</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Нет, слабая</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Невыраженная</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Выраженная</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Коронарная ангиография</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 показана, без значимых стенозов</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Показания для реваскуляризации</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Порок клапанов сердца</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Нет, легкий</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Умеренный, выраженный</w:t>
            </w:r>
          </w:p>
        </w:tc>
      </w:tr>
      <w:tr w:rsidR="008E3F15">
        <w:trPr>
          <w:trHeight w:val="33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Гипертиреоз</w:t>
            </w:r>
          </w:p>
        </w:tc>
        <w:tc>
          <w:tcPr>
            <w:tcW w:w="2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Нет</w:t>
            </w:r>
          </w:p>
        </w:tc>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Субклинический</w:t>
            </w:r>
          </w:p>
        </w:tc>
        <w:tc>
          <w:tcPr>
            <w:tcW w:w="27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Клинический</w:t>
            </w:r>
          </w:p>
        </w:tc>
      </w:tr>
      <w:tr w:rsidR="008E3F15">
        <w:trPr>
          <w:trHeight w:val="570"/>
        </w:trPr>
        <w:tc>
          <w:tcPr>
            <w:tcW w:w="24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886" w:firstLine="0"/>
            </w:pPr>
            <w:r>
              <w:t>Отношение к абляции</w:t>
            </w:r>
          </w:p>
        </w:tc>
        <w:tc>
          <w:tcPr>
            <w:tcW w:w="2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Позитивное</w:t>
            </w:r>
          </w:p>
        </w:tc>
        <w:tc>
          <w:tcPr>
            <w:tcW w:w="24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Противоречивое</w:t>
            </w:r>
          </w:p>
        </w:tc>
        <w:tc>
          <w:tcPr>
            <w:tcW w:w="27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Негативное</w:t>
            </w:r>
          </w:p>
        </w:tc>
      </w:tr>
    </w:tbl>
    <w:p w:rsidR="008E3F15" w:rsidRDefault="005F449A">
      <w:pPr>
        <w:ind w:left="2" w:right="15"/>
      </w:pPr>
      <w:r>
        <w:t xml:space="preserve">Выполнение абляции в центре с большим опытом проведения процедуры и подготовленной командой позволяет лучше предупреждать ФП, чем использование антиаритмических препаратов (MANTRA-PAF, SARA). В то же время в исследовании CABANA не было найдено различий по </w:t>
      </w:r>
      <w:r>
        <w:t>частоте сердечно-сосудистых событий, инсульта, кровотечений и смертности при лечении лекарственными препаратами и с помощью абляции.</w:t>
      </w:r>
    </w:p>
    <w:p w:rsidR="008E3F15" w:rsidRDefault="005F449A">
      <w:pPr>
        <w:spacing w:after="165"/>
        <w:ind w:left="2" w:right="15"/>
      </w:pPr>
      <w:r>
        <w:t>Эффективность катетерной абляции ФП снижается при следующих ситуациях:</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762688" behindDoc="0" locked="0" layoutInCell="1" allowOverlap="1">
                <wp:simplePos x="0" y="0"/>
                <wp:positionH relativeFrom="column">
                  <wp:posOffset>209550</wp:posOffset>
                </wp:positionH>
                <wp:positionV relativeFrom="paragraph">
                  <wp:posOffset>34826</wp:posOffset>
                </wp:positionV>
                <wp:extent cx="57150" cy="1476375"/>
                <wp:effectExtent l="0" t="0" r="0" b="0"/>
                <wp:wrapSquare wrapText="bothSides"/>
                <wp:docPr id="283175" name="Group 283175"/>
                <wp:cNvGraphicFramePr/>
                <a:graphic xmlns:a="http://schemas.openxmlformats.org/drawingml/2006/main">
                  <a:graphicData uri="http://schemas.microsoft.com/office/word/2010/wordprocessingGroup">
                    <wpg:wgp>
                      <wpg:cNvGrpSpPr/>
                      <wpg:grpSpPr>
                        <a:xfrm>
                          <a:off x="0" y="0"/>
                          <a:ext cx="57150" cy="1476375"/>
                          <a:chOff x="0" y="0"/>
                          <a:chExt cx="57150" cy="1476375"/>
                        </a:xfrm>
                      </wpg:grpSpPr>
                      <wps:wsp>
                        <wps:cNvPr id="8492" name="Shape 8492"/>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330"/>
                                  <a:pt x="39510" y="54818"/>
                                </a:cubicBezTo>
                                <a:cubicBezTo>
                                  <a:pt x="36009" y="56307"/>
                                  <a:pt x="32364" y="57051"/>
                                  <a:pt x="28575" y="57150"/>
                                </a:cubicBezTo>
                                <a:cubicBezTo>
                                  <a:pt x="24786" y="57051"/>
                                  <a:pt x="21141" y="56307"/>
                                  <a:pt x="17640" y="54818"/>
                                </a:cubicBezTo>
                                <a:cubicBezTo>
                                  <a:pt x="14139" y="53330"/>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94" name="Shape 8494"/>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96" name="Shape 8496"/>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340"/>
                                </a:cubicBezTo>
                                <a:cubicBezTo>
                                  <a:pt x="53525" y="42863"/>
                                  <a:pt x="51460" y="45889"/>
                                  <a:pt x="48781" y="48667"/>
                                </a:cubicBezTo>
                                <a:cubicBezTo>
                                  <a:pt x="46101" y="51246"/>
                                  <a:pt x="43011" y="53330"/>
                                  <a:pt x="39510" y="54818"/>
                                </a:cubicBezTo>
                                <a:cubicBezTo>
                                  <a:pt x="36009" y="56406"/>
                                  <a:pt x="32364" y="57150"/>
                                  <a:pt x="28575" y="57150"/>
                                </a:cubicBezTo>
                                <a:cubicBezTo>
                                  <a:pt x="24786" y="57150"/>
                                  <a:pt x="21141" y="56406"/>
                                  <a:pt x="17640" y="54818"/>
                                </a:cubicBezTo>
                                <a:cubicBezTo>
                                  <a:pt x="14139" y="53330"/>
                                  <a:pt x="11049" y="51246"/>
                                  <a:pt x="8369" y="48667"/>
                                </a:cubicBezTo>
                                <a:cubicBezTo>
                                  <a:pt x="5690" y="45889"/>
                                  <a:pt x="3625" y="42863"/>
                                  <a:pt x="2175" y="39340"/>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498" name="Shape 8498"/>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00" name="Shape 8500"/>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03" name="Shape 8503"/>
                        <wps:cNvSpPr/>
                        <wps:spPr>
                          <a:xfrm>
                            <a:off x="0" y="914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05" name="Shape 8505"/>
                        <wps:cNvSpPr/>
                        <wps:spPr>
                          <a:xfrm>
                            <a:off x="0" y="1114425"/>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330"/>
                                  <a:pt x="39510" y="54818"/>
                                </a:cubicBezTo>
                                <a:cubicBezTo>
                                  <a:pt x="36009" y="56307"/>
                                  <a:pt x="32364" y="57051"/>
                                  <a:pt x="28575" y="57150"/>
                                </a:cubicBezTo>
                                <a:cubicBezTo>
                                  <a:pt x="24786" y="57051"/>
                                  <a:pt x="21141" y="56307"/>
                                  <a:pt x="17640" y="54818"/>
                                </a:cubicBezTo>
                                <a:cubicBezTo>
                                  <a:pt x="14139" y="53330"/>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09" name="Shape 8509"/>
                        <wps:cNvSpPr/>
                        <wps:spPr>
                          <a:xfrm>
                            <a:off x="0" y="1266825"/>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13" name="Shape 8513"/>
                        <wps:cNvSpPr/>
                        <wps:spPr>
                          <a:xfrm>
                            <a:off x="0" y="1419225"/>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175" style="width:4.5pt;height:116.25pt;position:absolute;mso-position-horizontal-relative:text;mso-position-horizontal:absolute;margin-left:16.5pt;mso-position-vertical-relative:text;margin-top:2.74219pt;" coordsize="571,14763">
                <v:shape id="Shape 8492" style="position:absolute;width:571;height:571;left:0;top:0;" coordsize="57150,57150" path="m28575,0c32364,0,36009,645,39510,2084c43011,3572,46101,5655,48781,8334c51460,11013,53525,14039,54975,17562c56425,21034,57150,24755,57150,28575c57150,32345,56425,35917,54975,39439c53525,42912,51460,45988,48781,48716c46101,51346,43011,53330,39510,54818c36009,56307,32364,57051,28575,57150c24786,57051,21141,56307,17640,54818c14139,53330,11049,51346,8369,48716c5690,45988,3625,42912,2175,39439c725,35917,0,32345,0,28575c0,24755,725,21034,2175,17562c3625,14039,5690,11013,8369,8334c11049,5655,14139,3572,17640,2084c21141,645,24786,0,28575,0x">
                  <v:stroke weight="0pt" endcap="flat" joinstyle="miter" miterlimit="4" on="false" color="#000000" opacity="0"/>
                  <v:fill on="true" color="#333333"/>
                </v:shape>
                <v:shape id="Shape 8494" style="position:absolute;width:571;height:571;left:0;top:1524;" coordsize="57150,57150" path="m28575,0c32364,0,36009,645,39510,2084c43011,3572,46101,5655,48781,8334c51460,11013,53525,14039,54975,17562c56425,21034,57150,24755,57150,28575c57150,32345,56425,35917,54975,39439c53525,42912,51460,45988,48781,48716c46101,51346,43011,53429,39510,54818c36009,56406,32364,57150,28575,57150c24786,57150,21141,56406,17640,54818c14139,53429,11049,51346,8369,48716c5690,45988,3625,42912,2175,39439c725,35917,0,32345,0,28575c0,24755,725,21034,2175,17562c3625,14039,5690,11013,8369,8334c11049,5655,14139,3572,17640,2084c21141,645,24786,0,28575,0x">
                  <v:stroke weight="0pt" endcap="flat" joinstyle="miter" miterlimit="4" on="false" color="#000000" opacity="0"/>
                  <v:fill on="true" color="#333333"/>
                </v:shape>
                <v:shape id="Shape 8496" style="position:absolute;width:571;height:571;left:0;top:3048;" coordsize="57150,57150" path="m28575,0c32364,0,36009,645,39510,2084c43011,3473,46101,5556,48781,8334c51460,10914,53525,13990,54975,17463c56425,20985,57150,24705,57150,28575c57150,32345,56425,35917,54975,39340c53525,42863,51460,45889,48781,48667c46101,51246,43011,53330,39510,54818c36009,56406,32364,57150,28575,57150c24786,57150,21141,56406,17640,54818c14139,53330,11049,51246,8369,48667c5690,45889,3625,42863,2175,39340c725,35917,0,32345,0,28575c0,24705,725,20985,2175,17463c3625,13990,5690,10914,8369,8334c11049,5556,14139,3473,17640,2084c21141,645,24786,0,28575,0x">
                  <v:stroke weight="0pt" endcap="flat" joinstyle="miter" miterlimit="4" on="false" color="#000000" opacity="0"/>
                  <v:fill on="true" color="#333333"/>
                </v:shape>
                <v:shape id="Shape 8498" style="position:absolute;width:571;height:571;left:0;top:4572;" coordsize="57150,57150" path="m28575,0c32364,0,36009,645,39510,2084c43011,3473,46101,5556,48781,8334c51460,10914,53525,13990,54975,17463c56425,20985,57150,24705,57150,28575c57150,32345,56425,35917,54975,39340c53525,42863,51460,45889,48781,48667c46101,51246,43011,53330,39510,54818c36009,56307,32364,57051,28575,57150c24786,57051,21141,56307,17640,54818c14139,53330,11049,51246,8369,48667c5690,45889,3625,42863,2175,39340c725,35917,0,32345,0,28575c0,24705,725,20985,2175,17463c3625,13990,5690,10914,8369,8334c11049,5556,14139,3473,17640,2084c21141,645,24786,0,28575,0x">
                  <v:stroke weight="0pt" endcap="flat" joinstyle="miter" miterlimit="4" on="false" color="#000000" opacity="0"/>
                  <v:fill on="true" color="#333333"/>
                </v:shape>
                <v:shape id="Shape 8500" style="position:absolute;width:571;height:571;left:0;top:6096;" coordsize="57150,57150" path="m28575,0c32364,0,36009,645,39510,2084c43011,3473,46101,5556,48781,8334c51460,10914,53525,13990,54975,17463c56425,20985,57150,24705,57150,28575c57150,32345,56425,35917,54975,39340c53525,42863,51460,45889,48781,48667c46101,51246,43011,53330,39510,54818c36009,56307,32364,57051,28575,57150c24786,57051,21141,56307,17640,54818c14139,53330,11049,51246,8369,48667c5690,45889,3625,42863,2175,39340c725,35917,0,32345,0,28575c0,24705,725,20985,2175,17463c3625,13990,5690,10914,8369,8334c11049,5556,14139,3473,17640,2084c21141,645,24786,0,28575,0x">
                  <v:stroke weight="0pt" endcap="flat" joinstyle="miter" miterlimit="4" on="false" color="#000000" opacity="0"/>
                  <v:fill on="true" color="#333333"/>
                </v:shape>
                <v:shape id="Shape 8503" style="position:absolute;width:571;height:571;left:0;top:9144;" coordsize="57150,57150" path="m28575,0c32364,0,36009,645,39510,2084c43011,3473,46101,5556,48781,8334c51460,1091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914,8369,8334c11049,5556,14139,3473,17640,2084c21141,645,24786,0,28575,0x">
                  <v:stroke weight="0pt" endcap="flat" joinstyle="miter" miterlimit="4" on="false" color="#000000" opacity="0"/>
                  <v:fill on="true" color="#333333"/>
                </v:shape>
                <v:shape id="Shape 8505" style="position:absolute;width:571;height:571;left:0;top:11144;" coordsize="57150,57150" path="m28575,0c32364,0,36009,645,39510,2084c43011,3572,46101,5655,48781,8334c51460,11013,53525,14039,54975,17562c56425,21034,57150,24755,57150,28575c57150,32345,56425,35917,54975,39439c53525,42912,51460,45988,48781,48716c46101,51346,43011,53330,39510,54818c36009,56307,32364,57051,28575,57150c24786,57051,21141,56307,17640,54818c14139,53330,11049,51346,8369,48716c5690,45988,3625,42912,2175,39439c725,35917,0,32345,0,28575c0,24755,725,21034,2175,17562c3625,14039,5690,11013,8369,8334c11049,5655,14139,3572,17640,2084c21141,645,24786,0,28575,0x">
                  <v:stroke weight="0pt" endcap="flat" joinstyle="miter" miterlimit="4" on="false" color="#000000" opacity="0"/>
                  <v:fill on="true" color="#333333"/>
                </v:shape>
                <v:shape id="Shape 8509" style="position:absolute;width:571;height:571;left:0;top:12668;" coordsize="57150,57150" path="m28575,0c32364,0,36009,645,39510,2084c43011,3572,46101,5655,48781,8334c51460,11013,53525,14039,54975,17562c56425,21034,57150,24755,57150,28575c57150,32345,56425,35917,54975,39340c53525,42863,51460,45988,48781,48716c46101,51346,43011,53429,39510,54818c36009,56406,32364,57150,28575,57150c24786,57150,21141,56406,17640,54818c14139,53429,11049,51346,8369,48716c5690,45988,3625,42863,2175,39340c725,35917,0,32345,0,28575c0,24755,725,21034,2175,17562c3625,14039,5690,11013,8369,8334c11049,5655,14139,3572,17640,2084c21141,645,24786,0,28575,0x">
                  <v:stroke weight="0pt" endcap="flat" joinstyle="miter" miterlimit="4" on="false" color="#000000" opacity="0"/>
                  <v:fill on="true" color="#333333"/>
                </v:shape>
                <v:shape id="Shape 8513" style="position:absolute;width:571;height:571;left:0;top:14192;" coordsize="57150,57150" path="m28575,0c32364,0,36009,645,39510,2084c43011,3473,46101,5556,48781,8334c51460,11013,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1013,8369,8334c11049,5556,14139,3473,17640,2084c21141,645,24786,0,28575,0x">
                  <v:stroke weight="0pt" endcap="flat" joinstyle="miter" miterlimit="4" on="false" color="#000000" opacity="0"/>
                  <v:fill on="true" color="#333333"/>
                </v:shape>
                <w10:wrap type="square"/>
              </v:group>
            </w:pict>
          </mc:Fallback>
        </mc:AlternateContent>
      </w:r>
      <w:r>
        <w:t>возраст &gt;70 лет;</w:t>
      </w:r>
    </w:p>
    <w:p w:rsidR="008E3F15" w:rsidRDefault="005F449A">
      <w:pPr>
        <w:ind w:left="340" w:right="4982"/>
      </w:pPr>
      <w:r>
        <w:t>длительно персистирующая, постоянная ФП; расширение левого предсердия &gt;70 мл; ХСН NYHA III–IV;</w:t>
      </w:r>
    </w:p>
    <w:p w:rsidR="008E3F15" w:rsidRDefault="005F449A">
      <w:pPr>
        <w:ind w:left="340" w:right="15"/>
      </w:pPr>
      <w:r>
        <w:t>некорригированные болезни сердца (врожденные или приобретенные пороки сердца, коронарная болезнь);</w:t>
      </w:r>
    </w:p>
    <w:p w:rsidR="008E3F15" w:rsidRDefault="005F449A">
      <w:pPr>
        <w:ind w:left="340" w:right="3990"/>
      </w:pPr>
      <w:r>
        <w:t>выраженные коморбидные заболевания; ожирение 3-й степени (инде</w:t>
      </w:r>
      <w:r>
        <w:t>кс массы тела ≥40 кг/м</w:t>
      </w:r>
      <w:r>
        <w:rPr>
          <w:sz w:val="31"/>
          <w:vertAlign w:val="superscript"/>
        </w:rPr>
        <w:t>2</w:t>
      </w:r>
      <w:r>
        <w:t xml:space="preserve">); расширение зубца </w:t>
      </w:r>
      <w:r>
        <w:rPr>
          <w:i/>
        </w:rPr>
        <w:t>Р</w:t>
      </w:r>
      <w:r>
        <w:t>; предсердные ЭС;</w:t>
      </w:r>
    </w:p>
    <w:p w:rsidR="008E3F15" w:rsidRDefault="005F449A">
      <w:pPr>
        <w:spacing w:after="31"/>
        <w:ind w:left="610" w:right="15"/>
      </w:pPr>
      <w:r>
        <w:t>3 мес после острого соматического заболевания;</w:t>
      </w:r>
    </w:p>
    <w:p w:rsidR="008E3F15" w:rsidRDefault="005F449A">
      <w:pPr>
        <w:ind w:left="340" w:right="1897"/>
      </w:pPr>
      <w:r>
        <w:rPr>
          <w:rFonts w:ascii="Calibri" w:eastAsia="Calibri" w:hAnsi="Calibri" w:cs="Calibri"/>
          <w:noProof/>
          <w:color w:val="000000"/>
          <w:sz w:val="22"/>
        </w:rPr>
        <mc:AlternateContent>
          <mc:Choice Requires="wpg">
            <w:drawing>
              <wp:anchor distT="0" distB="0" distL="114300" distR="114300" simplePos="0" relativeHeight="251763712" behindDoc="0" locked="0" layoutInCell="1" allowOverlap="1">
                <wp:simplePos x="0" y="0"/>
                <wp:positionH relativeFrom="column">
                  <wp:posOffset>209550</wp:posOffset>
                </wp:positionH>
                <wp:positionV relativeFrom="paragraph">
                  <wp:posOffset>34775</wp:posOffset>
                </wp:positionV>
                <wp:extent cx="57150" cy="209550"/>
                <wp:effectExtent l="0" t="0" r="0" b="0"/>
                <wp:wrapSquare wrapText="bothSides"/>
                <wp:docPr id="279948" name="Group 279948"/>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8564" name="Shape 8564"/>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914"/>
                                  <a:pt x="53525" y="13990"/>
                                  <a:pt x="54975" y="17463"/>
                                </a:cubicBezTo>
                                <a:cubicBezTo>
                                  <a:pt x="56425" y="20985"/>
                                  <a:pt x="57150" y="2470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05"/>
                                  <a:pt x="725" y="20985"/>
                                  <a:pt x="2175" y="17463"/>
                                </a:cubicBezTo>
                                <a:cubicBezTo>
                                  <a:pt x="3625" y="13990"/>
                                  <a:pt x="5690" y="10914"/>
                                  <a:pt x="8369" y="8235"/>
                                </a:cubicBezTo>
                                <a:cubicBezTo>
                                  <a:pt x="11049" y="5507"/>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566" name="Shape 8566"/>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9948" style="width:4.5pt;height:16.5pt;position:absolute;mso-position-horizontal-relative:text;mso-position-horizontal:absolute;margin-left:16.5pt;mso-position-vertical-relative:text;margin-top:2.73822pt;" coordsize="571,2095">
                <v:shape id="Shape 8564" style="position:absolute;width:571;height:571;left:0;top:0;" coordsize="57150,57150" path="m28575,0c32364,0,36009,645,39510,2084c43011,3473,46101,5507,48781,8235c51460,10914,53525,13990,54975,17463c56425,20985,57150,24705,57150,28575c57150,32345,56425,35917,54975,39340c53525,42863,51460,45988,48781,48716c46101,51346,43011,53429,39510,54818c36009,56307,32364,57051,28575,57150c24786,57051,21141,56307,17640,54818c14139,53429,11049,51346,8369,48716c5690,45988,3625,42863,2175,39340c725,35917,0,32345,0,28575c0,24705,725,20985,2175,17463c3625,13990,5690,10914,8369,8235c11049,5507,14139,3473,17640,2084c21141,645,24786,0,28575,0x">
                  <v:stroke weight="0pt" endcap="flat" joinstyle="miter" miterlimit="4" on="false" color="#000000" opacity="0"/>
                  <v:fill on="true" color="#333333"/>
                </v:shape>
                <v:shape id="Shape 8566" style="position:absolute;width:571;height:571;left:0;top:1524;" coordsize="57150,57150" path="m28575,0c32364,0,36009,645,39510,2084c43011,3473,46101,5556,48781,8334c51460,11013,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1013,8369,8334c11049,5556,14139,3473,17640,2084c21141,645,24786,0,28575,0x">
                  <v:stroke weight="0pt" endcap="flat" joinstyle="miter" miterlimit="4" on="false" color="#000000" opacity="0"/>
                  <v:fill on="true" color="#333333"/>
                </v:shape>
                <w10:wrap type="square"/>
              </v:group>
            </w:pict>
          </mc:Fallback>
        </mc:AlternateContent>
      </w:r>
      <w:r>
        <w:t>6 мес после операций на коронарных сосудах, достижения эутиреоза; 12 мес после операций на клапанах сердца.</w:t>
      </w:r>
    </w:p>
    <w:p w:rsidR="008E3F15" w:rsidRDefault="005F449A">
      <w:pPr>
        <w:ind w:left="2" w:right="15"/>
      </w:pPr>
      <w:r>
        <w:t>Для оценки риска рецидивов ФП после абляции можно использовать прогностические шкалы, наприме CAAP-AF.</w:t>
      </w:r>
    </w:p>
    <w:p w:rsidR="008E3F15" w:rsidRDefault="005F449A">
      <w:pPr>
        <w:ind w:left="2" w:right="335"/>
      </w:pPr>
      <w:r>
        <w:t>Наличие тромба в левом предсердии, выявляемое при чреспищеводной эхокардиографии, является противопоказанием к катетерной абляции ФП вследствие повышенно</w:t>
      </w:r>
      <w:r>
        <w:t>го риска дефрагментации тромба и тромбоэмболии. КТ и магнитно-резонансная томография с контрастированием также позволяют выявлять тромбы левого предсердия (Vira T. et al., 2019). Частота лизиса предсердного тромба варфарином и прямыми антикоагулянтами не о</w:t>
      </w:r>
      <w:r>
        <w:t>тличается (Hussain A. et al., 2019; Niku A. et al., 2019). При неэффективности последних можно использовать варфарин, поддерживая МНО в диапазоне 3,0–4,0 в течение 3 мес (Da</w:t>
      </w:r>
    </w:p>
    <w:p w:rsidR="008E3F15" w:rsidRDefault="005F449A">
      <w:pPr>
        <w:spacing w:after="31"/>
        <w:ind w:left="2" w:right="15"/>
      </w:pPr>
      <w:r>
        <w:t>Costa A. et al., 2017).</w:t>
      </w:r>
    </w:p>
    <w:p w:rsidR="008E3F15" w:rsidRDefault="005F449A">
      <w:pPr>
        <w:spacing w:after="359"/>
        <w:ind w:left="2" w:right="97"/>
      </w:pPr>
      <w:r>
        <w:t xml:space="preserve">Следует отметить, что проведение КГ и реваскуляризация не </w:t>
      </w:r>
      <w:r>
        <w:t>снижают частоты рецидивов ФП и не повышают эффективности абляции. Механизмы развития ФП не связаны с обструктивным атеросклерозом эпикардиальных коронарных артерий, снабжающих желудочки сердца.</w:t>
      </w:r>
    </w:p>
    <w:p w:rsidR="008E3F15" w:rsidRDefault="005F449A">
      <w:pPr>
        <w:pStyle w:val="Heading1"/>
        <w:ind w:left="2"/>
      </w:pPr>
      <w:r>
        <w:t>Часть I. Сердечно-сосудистые болезни</w:t>
      </w:r>
    </w:p>
    <w:p w:rsidR="008E3F15" w:rsidRDefault="005F449A">
      <w:pPr>
        <w:spacing w:after="31"/>
        <w:ind w:left="2" w:right="15"/>
      </w:pPr>
      <w:r>
        <w:t>Катетерная абляция выполн</w:t>
      </w:r>
      <w:r>
        <w:t>яется чаще под общей анестезией, что повышает безопасность</w:t>
      </w:r>
    </w:p>
    <w:p w:rsidR="008E3F15" w:rsidRDefault="005F449A">
      <w:pPr>
        <w:ind w:left="2" w:right="15"/>
      </w:pPr>
      <w:r>
        <w:t>(особенно у пациентов с бронхиальной обструкцией, повышенным риском отека легких, ОАС), снижает длительность флуороскопии и процедуры, увеличивает эффективность абляции.</w:t>
      </w:r>
    </w:p>
    <w:p w:rsidR="008E3F15" w:rsidRDefault="005F449A">
      <w:pPr>
        <w:ind w:left="2" w:right="179"/>
      </w:pPr>
      <w:r>
        <w:rPr>
          <w:b/>
        </w:rPr>
        <w:t>Эффективность процедуры</w:t>
      </w:r>
      <w:r>
        <w:rPr>
          <w:i/>
        </w:rPr>
        <w:t>.</w:t>
      </w:r>
      <w:r>
        <w:t xml:space="preserve"> Ос</w:t>
      </w:r>
      <w:r>
        <w:t xml:space="preserve">ложнения встречаются реже в центрах с большим объемом процедур (Yang E. et al., 2017). Частота осложнений катетерной абляции у пациентов с ФП по данным известных аритмологических центров представлена в </w:t>
      </w:r>
      <w:r>
        <w:rPr>
          <w:b/>
        </w:rPr>
        <w:t>табл. 4.11</w:t>
      </w:r>
      <w:r>
        <w:t>.</w:t>
      </w:r>
    </w:p>
    <w:p w:rsidR="008E3F15" w:rsidRDefault="005F449A">
      <w:pPr>
        <w:spacing w:after="31"/>
        <w:ind w:left="2" w:right="15"/>
      </w:pPr>
      <w:r>
        <w:rPr>
          <w:b/>
        </w:rPr>
        <w:t xml:space="preserve">Таблица 4.11. </w:t>
      </w:r>
      <w:r>
        <w:t>Осложнения катетерной абляци</w:t>
      </w:r>
      <w:r>
        <w:t>и</w:t>
      </w:r>
    </w:p>
    <w:tbl>
      <w:tblPr>
        <w:tblStyle w:val="TableGrid"/>
        <w:tblW w:w="8040" w:type="dxa"/>
        <w:tblInd w:w="30" w:type="dxa"/>
        <w:tblCellMar>
          <w:top w:w="80" w:type="dxa"/>
          <w:left w:w="45" w:type="dxa"/>
          <w:bottom w:w="0" w:type="dxa"/>
          <w:right w:w="39" w:type="dxa"/>
        </w:tblCellMar>
        <w:tblLook w:val="04A0" w:firstRow="1" w:lastRow="0" w:firstColumn="1" w:lastColumn="0" w:noHBand="0" w:noVBand="1"/>
      </w:tblPr>
      <w:tblGrid>
        <w:gridCol w:w="6705"/>
        <w:gridCol w:w="1335"/>
      </w:tblGrid>
      <w:tr w:rsidR="008E3F15">
        <w:trPr>
          <w:trHeight w:val="330"/>
        </w:trPr>
        <w:tc>
          <w:tcPr>
            <w:tcW w:w="670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Вид осложнения</w:t>
            </w:r>
          </w:p>
        </w:tc>
        <w:tc>
          <w:tcPr>
            <w:tcW w:w="1335" w:type="dxa"/>
            <w:tcBorders>
              <w:top w:val="single" w:sz="6" w:space="0" w:color="000000"/>
              <w:left w:val="nil"/>
              <w:bottom w:val="single" w:sz="6" w:space="0" w:color="000000"/>
              <w:right w:val="single" w:sz="6" w:space="0" w:color="000000"/>
            </w:tcBorders>
          </w:tcPr>
          <w:p w:rsidR="008E3F15" w:rsidRDefault="005F449A">
            <w:pPr>
              <w:spacing w:after="0" w:line="259" w:lineRule="auto"/>
              <w:ind w:left="6" w:right="0" w:firstLine="0"/>
              <w:jc w:val="both"/>
            </w:pPr>
            <w:r>
              <w:rPr>
                <w:b/>
                <w:bdr w:val="single" w:sz="12" w:space="0" w:color="000000"/>
              </w:rPr>
              <w:t>Частота, %</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Большие осложнения</w:t>
            </w:r>
          </w:p>
        </w:tc>
        <w:tc>
          <w:tcPr>
            <w:tcW w:w="13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2,5–5</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Смерть</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0,15–0,4</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Тромбоэмболии</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0,3–7</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Инсульты</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0,2–2</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Когнитивные нарушения</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13–28</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Тампонада сердца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1–3</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Латентные церебральные эмболии</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7–38</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Стеноз легочных вен, требующий вмешательства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0,3–3</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Повреждение пищевода (язвы)</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10–17</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Предсердно-пищеводная фистула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0,04</w:t>
            </w:r>
          </w:p>
        </w:tc>
      </w:tr>
      <w:tr w:rsidR="008E3F15">
        <w:trPr>
          <w:trHeight w:val="330"/>
        </w:trPr>
        <w:tc>
          <w:tcPr>
            <w:tcW w:w="67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Повреждение диафрагмального нерва</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0,5–11</w:t>
            </w:r>
          </w:p>
        </w:tc>
      </w:tr>
      <w:tr w:rsidR="008E3F15">
        <w:trPr>
          <w:trHeight w:val="330"/>
        </w:trPr>
        <w:tc>
          <w:tcPr>
            <w:tcW w:w="670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Ритмичные предсердные тахикардии</w:t>
            </w:r>
          </w:p>
        </w:tc>
        <w:tc>
          <w:tcPr>
            <w:tcW w:w="1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5–25</w:t>
            </w:r>
          </w:p>
        </w:tc>
      </w:tr>
      <w:tr w:rsidR="008E3F15">
        <w:trPr>
          <w:trHeight w:val="330"/>
        </w:trPr>
        <w:tc>
          <w:tcPr>
            <w:tcW w:w="6705"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Бедренная псевдоаневризма или артериовенозная фистула</w:t>
            </w:r>
          </w:p>
        </w:tc>
        <w:tc>
          <w:tcPr>
            <w:tcW w:w="133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6" w:right="0" w:firstLine="0"/>
            </w:pPr>
            <w:r>
              <w:t>0,5–5</w:t>
            </w:r>
          </w:p>
        </w:tc>
      </w:tr>
    </w:tbl>
    <w:p w:rsidR="008E3F15" w:rsidRDefault="005F449A">
      <w:pPr>
        <w:ind w:left="2" w:right="15"/>
      </w:pPr>
      <w:r>
        <w:rPr>
          <w:i/>
        </w:rPr>
        <w:t>Источники:</w:t>
      </w:r>
      <w:r>
        <w:t xml:space="preserve"> Hoyt H. et al., 2011; Wazni O. et al., 2011; Shah R. et al., 2012; Medi C. et al., 2013; Mugnai G. et al., 2015.</w:t>
      </w:r>
    </w:p>
    <w:p w:rsidR="008E3F15" w:rsidRDefault="005F449A">
      <w:pPr>
        <w:ind w:left="2" w:right="15"/>
      </w:pPr>
      <w:r>
        <w:t>Метаанализ показал, что в течение 3 лет наблюдения после однократной катетерной абляции почти у 50% пациентов не наблюдается ФП, а при повторн</w:t>
      </w:r>
      <w:r>
        <w:t>ых вмешательствах — у 80% (Ganesan A. et al., 2013). При персистирующей ФП и появлении постабляционных реципрокных предсердных тахикардий чаще требуются повторные катетерные вмешательства. Следует учитывать, что при повторных абляциях почти в 4 раза возрас</w:t>
      </w:r>
      <w:r>
        <w:t>тает частота больших осложнений, из которых чаще встречается тампонада перикарда (Szegedi N. et al., 2019).</w:t>
      </w:r>
    </w:p>
    <w:p w:rsidR="008E3F15" w:rsidRDefault="005F449A">
      <w:pPr>
        <w:ind w:left="2" w:right="369"/>
      </w:pPr>
      <w:r>
        <w:rPr>
          <w:b/>
        </w:rPr>
        <w:t>Антитромботическое лечение.</w:t>
      </w:r>
      <w:r>
        <w:t xml:space="preserve"> В связи с повышенным риском тромбоэмболий при проведении абляции пациентам рекомендуется начать (продолжить) прием варфа</w:t>
      </w:r>
      <w:r>
        <w:t>рина или прямых антикоагулянтов в течение 3 нед, не прерывая прием в период процедуры.</w:t>
      </w:r>
    </w:p>
    <w:p w:rsidR="008E3F15" w:rsidRDefault="005F449A">
      <w:pPr>
        <w:spacing w:after="31"/>
        <w:ind w:left="2" w:right="15"/>
      </w:pPr>
      <w:r>
        <w:t>Прием оральных антикоагулянтов не прерывают на время процедуры.</w:t>
      </w:r>
    </w:p>
    <w:p w:rsidR="008E3F15" w:rsidRDefault="005F449A">
      <w:pPr>
        <w:ind w:left="2" w:right="15"/>
      </w:pPr>
      <w:r>
        <w:t>У пациентов, принимавших антикоагулянты, целесообразно проведение чреспищеводной эхокардиографии для скри</w:t>
      </w:r>
      <w:r>
        <w:t>нинга тромбов. Рекомендуется продолжить прием антикоагулянтов минимум до 2 мес после абляции.</w:t>
      </w:r>
    </w:p>
    <w:p w:rsidR="008E3F15" w:rsidRDefault="008E3F15">
      <w:pPr>
        <w:sectPr w:rsidR="008E3F15">
          <w:headerReference w:type="even" r:id="rId91"/>
          <w:headerReference w:type="default" r:id="rId92"/>
          <w:footerReference w:type="even" r:id="rId93"/>
          <w:footerReference w:type="default" r:id="rId94"/>
          <w:headerReference w:type="first" r:id="rId95"/>
          <w:footerReference w:type="first" r:id="rId96"/>
          <w:pgSz w:w="11899" w:h="16838"/>
          <w:pgMar w:top="605" w:right="667" w:bottom="623" w:left="690" w:header="334" w:footer="290" w:gutter="0"/>
          <w:cols w:space="720"/>
        </w:sectPr>
      </w:pPr>
    </w:p>
    <w:p w:rsidR="008E3F15" w:rsidRDefault="005F449A">
      <w:pPr>
        <w:ind w:left="2" w:right="15"/>
      </w:pPr>
      <w:r>
        <w:t>Прямые оральные антикоагулянты не менее эффективны, чем варфарин (RE-CIRCUIT, VENTURE-AF, ELIMINATE-AF). Продолжение антикоагулянтной терапии должно основываться на оценке риска тромбоэмболий, а не на наличии ФП, в связи с возможной асимптомной аритмией (S</w:t>
      </w:r>
      <w:r>
        <w:t>jälander S. et al., 2017).</w:t>
      </w:r>
    </w:p>
    <w:p w:rsidR="008E3F15" w:rsidRDefault="005F449A">
      <w:pPr>
        <w:ind w:left="2" w:right="266"/>
      </w:pPr>
      <w:r>
        <w:rPr>
          <w:b/>
        </w:rPr>
        <w:t>Контроль после процедуры.</w:t>
      </w:r>
      <w:r>
        <w:t>Первые 3 мес после абляции характеризуются воспалением в левом предсердии, возникшим в результате повреждения мио карда. В течение этого периода у 50% пациентов сохраняются или даже учащаются приступы ФП,</w:t>
      </w:r>
      <w:r>
        <w:t xml:space="preserve"> может появиться предсердная тахикардия. Ранние рецидивы ФП можно снизить приемом глюкокортикоидов в течение 5 сут или колхицина в течение 3 мес.</w:t>
      </w:r>
    </w:p>
    <w:p w:rsidR="008E3F15" w:rsidRDefault="005F449A">
      <w:pPr>
        <w:ind w:left="2" w:right="15"/>
      </w:pPr>
      <w:r>
        <w:t xml:space="preserve">В случае сохранения частых (ежемесячных) эпизодов ФП через 3–6 мес после абляции пациенту показано проведение </w:t>
      </w:r>
      <w:r>
        <w:t>повторной абляции.</w:t>
      </w:r>
    </w:p>
    <w:p w:rsidR="008E3F15" w:rsidRDefault="005F449A">
      <w:pPr>
        <w:ind w:left="2" w:right="15"/>
      </w:pPr>
      <w:r>
        <w:t>Контрольные осмотры проводят через 3 мес (мониторирование ЭКГ, коррекция антиаритмической терапии) и 6 мес (эхокардиография, мониторирование ЭКГ, оценка эффекта операции) и далее каждые полгода в течение 2 лет. Продолжение приема антиари</w:t>
      </w:r>
      <w:r>
        <w:t>тмических препаратов до года почти в 8 раз снижает риск рецидивов ФП (POWDER AF).</w:t>
      </w:r>
    </w:p>
    <w:p w:rsidR="008E3F15" w:rsidRDefault="005F449A">
      <w:pPr>
        <w:spacing w:after="200"/>
        <w:ind w:left="2" w:right="122"/>
      </w:pPr>
      <w:r>
        <w:rPr>
          <w:b/>
        </w:rPr>
        <w:t>Методы катетерной абляции.</w:t>
      </w:r>
      <w:r>
        <w:t>Баллонная криоабляция устьев легочных вен сопоставима по эффективности и безопасности (частота смертей, инсультов и транзиторных ишемических атак, с</w:t>
      </w:r>
      <w:r>
        <w:t>ерьезных осложнений) с радиочастотным воздействием (FIRE AND ICE). Криоабляция с использованием систем второго поколения менее продолжительная, реже требует повторных абляций у пациентов с пароксизмальной ФП, чем радиочастотная, позволяет за счет стабильно</w:t>
      </w:r>
      <w:r>
        <w:t>й фиксации электрода и дозозависимого воздействия уменьшить риск АВблокады при работе с паранодальными путями. В то же время чаще наблюдается обратимый паралич диафрагмального нерва (8–19%, для профилактики периодически стимулируют диафрагмальный нерв) и в</w:t>
      </w:r>
      <w:r>
        <w:t xml:space="preserve">ыше стоимость процедуры (Xu J. et al., 2014). </w:t>
      </w:r>
      <w:r>
        <w:rPr>
          <w:b/>
        </w:rPr>
        <w:t xml:space="preserve">Катетерная абляция атриовентрикулярного соединения </w:t>
      </w:r>
      <w:r>
        <w:t>с имплантацией кардиостимулятора может быть целесообразна в следующих случаях.</w:t>
      </w:r>
    </w:p>
    <w:p w:rsidR="008E3F15" w:rsidRDefault="005F449A">
      <w:pPr>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79850" name="Group 27985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8731" name="Shape 8731"/>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330"/>
                                  <a:pt x="39510" y="54818"/>
                                </a:cubicBezTo>
                                <a:cubicBezTo>
                                  <a:pt x="36009" y="56307"/>
                                  <a:pt x="32364" y="57051"/>
                                  <a:pt x="28575" y="57150"/>
                                </a:cubicBezTo>
                                <a:cubicBezTo>
                                  <a:pt x="24786" y="57051"/>
                                  <a:pt x="21141" y="56307"/>
                                  <a:pt x="17640" y="54818"/>
                                </a:cubicBezTo>
                                <a:cubicBezTo>
                                  <a:pt x="14139" y="53330"/>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79850" style="width:4.5pt;height:4.5pt;mso-position-horizontal-relative:char;mso-position-vertical-relative:line" coordsize="571,571">
                <v:shape id="Shape 8731" style="position:absolute;width:571;height:571;left:0;top:0;" coordsize="57150,57150" path="m28575,0c32364,0,36009,645,39510,2084c43011,3572,46101,5655,48781,8334c51460,11013,53525,14039,54975,17562c56425,21034,57150,24755,57150,28575c57150,32345,56425,35917,54975,39439c53525,42912,51460,45988,48781,48716c46101,51346,43011,53330,39510,54818c36009,56307,32364,57051,28575,57150c24786,57051,21141,56307,17640,54818c14139,53330,11049,51346,8369,48716c5690,45988,3625,42912,2175,39439c725,35917,0,32345,0,28575c0,24755,725,21034,2175,17562c3625,14039,5690,11013,8369,8334c11049,5655,14139,3572,17640,2084c21141,645,24786,0,28575,0x">
                  <v:stroke weight="0pt" endcap="flat" joinstyle="miter" miterlimit="10" on="false" color="#000000" opacity="0"/>
                  <v:fill on="true" color="#333333"/>
                </v:shape>
              </v:group>
            </w:pict>
          </mc:Fallback>
        </mc:AlternateContent>
      </w:r>
      <w:r>
        <w:t xml:space="preserve"> Частые (несколько раз в неделю) симптомные пароксизмы ФП, несмотря на прием пр</w:t>
      </w:r>
      <w:r>
        <w:t>епаратов для контроля ритма или сокращений желудочков при условии невозможности хирургической коррекции сердечного заболевания или радикальной катетерной абляции ФП.</w:t>
      </w:r>
    </w:p>
    <w:p w:rsidR="008E3F15" w:rsidRDefault="005F449A">
      <w:pPr>
        <w:spacing w:after="179"/>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79852" name="Group 27985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8736" name="Shape 8736"/>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79852" style="width:4.5pt;height:4.5pt;mso-position-horizontal-relative:char;mso-position-vertical-relative:line" coordsize="571,571">
                <v:shape id="Shape 8736" style="position:absolute;width:571;height:571;left:0;top:0;" coordsize="57150,57150" path="m28575,0c32364,0,36009,645,39510,2084c43011,3473,46101,5556,48781,8334c51460,1091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914,8369,8334c11049,5556,14139,3473,17640,2084c21141,645,24786,0,28575,0x">
                  <v:stroke weight="0pt" endcap="flat" joinstyle="miter" miterlimit="10" on="false" color="#000000" opacity="0"/>
                  <v:fill on="true" color="#333333"/>
                </v:shape>
              </v:group>
            </w:pict>
          </mc:Fallback>
        </mc:AlternateContent>
      </w:r>
      <w:r>
        <w:t xml:space="preserve"> Постоянная ФП со среднесуточной ЧСС &gt;100 в минуту по данным мониторирования ЭКГ на фоне </w:t>
      </w:r>
      <w:r>
        <w:t>лекарственных препаратов, контролирующих ЧСС, в случае невозможности хирургической коррекции сердечного заболевания, радикальной катетерной абляции ФП или электроимпульсной терапии.</w:t>
      </w:r>
    </w:p>
    <w:p w:rsidR="008E3F15" w:rsidRDefault="005F449A">
      <w:pPr>
        <w:spacing w:after="359"/>
        <w:ind w:left="2" w:right="15"/>
      </w:pPr>
      <w:r>
        <w:rPr>
          <w:b/>
        </w:rPr>
        <w:t>Хирургическая абляция</w:t>
      </w:r>
      <w:r>
        <w:t xml:space="preserve"> эффективно предупреждает ФП, однако сопровождается ч</w:t>
      </w:r>
      <w:r>
        <w:t>астыми осложнениями и не снижает существенно смертность и риск инсультов (McClure G. et al., 2018). Хирургическую абляцию можно рассмотреть в следующих случаях (ESC).</w:t>
      </w:r>
    </w:p>
    <w:p w:rsidR="008E3F15" w:rsidRDefault="005F449A">
      <w:pPr>
        <w:pStyle w:val="Heading1"/>
        <w:ind w:left="2"/>
      </w:pPr>
      <w:r>
        <w:t>Часть I. Сердечно-сосудистые болезни</w:t>
      </w:r>
    </w:p>
    <w:p w:rsidR="008E3F15" w:rsidRDefault="005F449A">
      <w:pPr>
        <w:spacing w:after="133" w:line="259" w:lineRule="auto"/>
        <w:ind w:left="17" w:right="0"/>
      </w:pPr>
      <w:r>
        <w:rPr>
          <w:i/>
        </w:rPr>
        <w:t>Класс IIа (целесообразно)</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64736"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79853" name="Group 279853"/>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8747" name="Shape 8747"/>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750" name="Shape 8750"/>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572"/>
                                  <a:pt x="46101" y="5655"/>
                                  <a:pt x="48781" y="8235"/>
                                </a:cubicBezTo>
                                <a:cubicBezTo>
                                  <a:pt x="51460" y="10914"/>
                                  <a:pt x="53525" y="13990"/>
                                  <a:pt x="54975" y="17463"/>
                                </a:cubicBezTo>
                                <a:cubicBezTo>
                                  <a:pt x="56425" y="21034"/>
                                  <a:pt x="57150" y="24755"/>
                                  <a:pt x="57150" y="28575"/>
                                </a:cubicBezTo>
                                <a:cubicBezTo>
                                  <a:pt x="57150" y="32345"/>
                                  <a:pt x="56425" y="36016"/>
                                  <a:pt x="54975" y="3948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89"/>
                                </a:cubicBezTo>
                                <a:cubicBezTo>
                                  <a:pt x="725" y="36016"/>
                                  <a:pt x="0" y="32345"/>
                                  <a:pt x="0" y="28575"/>
                                </a:cubicBezTo>
                                <a:cubicBezTo>
                                  <a:pt x="0" y="24755"/>
                                  <a:pt x="725" y="21034"/>
                                  <a:pt x="2175" y="17463"/>
                                </a:cubicBezTo>
                                <a:cubicBezTo>
                                  <a:pt x="3625" y="13990"/>
                                  <a:pt x="5690" y="10914"/>
                                  <a:pt x="8369" y="8235"/>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79853" style="width:4.5pt;height:28.5pt;position:absolute;mso-position-horizontal-relative:text;mso-position-horizontal:absolute;margin-left:16.8633pt;mso-position-vertical-relative:text;margin-top:2.74219pt;" coordsize="571,3619">
                <v:shape id="Shape 8747" style="position:absolute;width:571;height:571;left:0;top:0;" coordsize="57150,57150" path="m28575,0c32364,0,36009,744,39510,2133c43011,3572,46101,5655,48781,8334c51460,11013,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1013,8369,8334c11049,5655,14139,3572,17640,2133c21141,744,24786,0,28575,0x">
                  <v:stroke weight="0pt" endcap="flat" joinstyle="miter" miterlimit="10" on="false" color="#000000" opacity="0"/>
                  <v:fill on="true" color="#333333"/>
                </v:shape>
                <v:shape id="Shape 8750" style="position:absolute;width:571;height:571;left:0;top:3048;" coordsize="57150,57150" path="m28575,0c32364,0,36009,645,39510,2084c43011,3572,46101,5655,48781,8235c51460,10914,53525,13990,54975,17463c56425,21034,57150,24755,57150,28575c57150,32345,56425,36016,54975,39489c53525,42912,51460,45988,48781,48716c46101,51346,43011,53429,39510,54818c36009,56307,32364,57051,28575,57150c24786,57051,21141,56307,17640,54818c14139,53429,11049,51346,8369,48716c5690,45988,3625,42912,2175,39489c725,36016,0,32345,0,28575c0,24755,725,21034,2175,17463c3625,13990,5690,10914,8369,8235c11049,5655,14139,3572,17640,2084c21141,645,24786,0,28575,0x">
                  <v:stroke weight="0pt" endcap="flat" joinstyle="miter" miterlimit="10" on="false" color="#000000" opacity="0"/>
                  <v:fill on="true" color="#333333"/>
                </v:shape>
                <w10:wrap type="square"/>
              </v:group>
            </w:pict>
          </mc:Fallback>
        </mc:AlternateContent>
      </w:r>
      <w:r>
        <w:t>Хирургическая абляция ФП,</w:t>
      </w:r>
      <w:r>
        <w:t xml:space="preserve"> сопутствующая операции на сердце, с оценкой пользы отсутствия тахиаритмии и факторов риска рецидива ФП.</w:t>
      </w:r>
    </w:p>
    <w:p w:rsidR="008E3F15" w:rsidRDefault="005F449A">
      <w:pPr>
        <w:spacing w:after="179"/>
        <w:ind w:left="347" w:right="226"/>
      </w:pPr>
      <w:r>
        <w:t>Торакоскопическая абляция ФП у пациентов с симптомной пароксизмальной или персистирующей ФП, рефрактерной к антиаритмическим препаратам, без эффекта катетерной абляции или с явными факторами ее низкой эффективности, для длительного сохранения синусового ри</w:t>
      </w:r>
      <w:r>
        <w:t>тма.</w:t>
      </w:r>
    </w:p>
    <w:p w:rsidR="008E3F15" w:rsidRDefault="005F449A">
      <w:pPr>
        <w:ind w:left="2" w:right="15"/>
      </w:pPr>
      <w:r>
        <w:t>Исключение придатка предсердия из кровотока во время сердечных операций может снизить риск инсульта и тромбоэмболий у пациентов, продолжающих прием антикоагулянтов</w:t>
      </w:r>
    </w:p>
    <w:p w:rsidR="008E3F15" w:rsidRDefault="005F449A">
      <w:pPr>
        <w:spacing w:after="345"/>
        <w:ind w:left="2" w:right="15"/>
      </w:pPr>
      <w:r>
        <w:t>(LAAOS III).</w:t>
      </w:r>
    </w:p>
    <w:p w:rsidR="008E3F15" w:rsidRDefault="005F449A">
      <w:pPr>
        <w:pStyle w:val="Heading1"/>
        <w:ind w:left="2"/>
      </w:pPr>
      <w:r>
        <w:t>Часть I. Сердечно-сосудистые болезни</w:t>
      </w:r>
    </w:p>
    <w:p w:rsidR="008E3F15" w:rsidRDefault="005F449A">
      <w:pPr>
        <w:spacing w:after="31"/>
        <w:ind w:left="2" w:right="15"/>
      </w:pPr>
      <w:r>
        <w:t>Трепетание предсердий</w:t>
      </w:r>
    </w:p>
    <w:p w:rsidR="008E3F15" w:rsidRDefault="005F449A">
      <w:pPr>
        <w:ind w:left="2" w:right="484"/>
      </w:pPr>
      <w:r>
        <w:t>ТП необходимо п</w:t>
      </w:r>
      <w:r>
        <w:t>ринципиально отличать от ФП, поскольку оно представляет собой более простую и упорядоченную активацию предсердий за счет циркуляции одного фронта возбуждения по постоянной анатомически обусловленной траектории. У пациентов с изолированным ТП прогноз благоп</w:t>
      </w:r>
      <w:r>
        <w:t>риятнее по сравнению с ФП (Lin Y. et al., 2017).</w:t>
      </w:r>
    </w:p>
    <w:p w:rsidR="008E3F15" w:rsidRDefault="005F449A">
      <w:pPr>
        <w:ind w:left="2" w:right="15"/>
      </w:pPr>
      <w:r>
        <w:rPr>
          <w:b/>
        </w:rPr>
        <w:t>Этиология.</w:t>
      </w:r>
      <w:r>
        <w:t xml:space="preserve"> </w:t>
      </w:r>
      <w:r>
        <w:rPr>
          <w:i/>
        </w:rPr>
        <w:t xml:space="preserve">Типичное ТП. </w:t>
      </w:r>
      <w:r>
        <w:t>Циркуляция вокруг трикуспидального клапана по или против часовой стрелки с обязательным прохождением через каво-трикуспидальный перешеек — участок мио карда между трикуспидальным клап</w:t>
      </w:r>
      <w:r>
        <w:t>аном и нижней полой веной. Только типичное ТП может развиваться на интактном предсердии и даже у здоровых людей</w:t>
      </w:r>
      <w:r>
        <w:rPr>
          <w:b/>
        </w:rPr>
        <w:t xml:space="preserve">. </w:t>
      </w:r>
      <w:r>
        <w:rPr>
          <w:i/>
        </w:rPr>
        <w:t>Aтипичное ТП</w:t>
      </w:r>
      <w:r>
        <w:t xml:space="preserve"> чаще развивается при значительном поражении предсердий, предшествующей хирургии сердца или катетерной абляции. В случае инцизионно</w:t>
      </w:r>
      <w:r>
        <w:t>го ТП импульс циркулирует вокруг атриотомного рубца на свободной стенке правого предсердия или межпредсердной перегородки как следствие кардиохирургического лечения врожденных или приобретенных пороков. Риск появления инцизионного ТП после хирургической ко</w:t>
      </w:r>
      <w:r>
        <w:t>ррекции порока сердца составляет 1:17 пациентов. При постабляционном ТП циркуляция импульса происходит вокруг рубца в левом предсердии после катетерной абляции по поводу ФП.</w:t>
      </w:r>
    </w:p>
    <w:p w:rsidR="008E3F15" w:rsidRDefault="005F449A">
      <w:pPr>
        <w:spacing w:after="31"/>
        <w:ind w:left="2" w:right="15"/>
      </w:pPr>
      <w:r>
        <w:rPr>
          <w:b/>
        </w:rPr>
        <w:t>Диагностика</w:t>
      </w:r>
      <w:r>
        <w:rPr>
          <w:b/>
          <w:i/>
        </w:rPr>
        <w:t xml:space="preserve">. </w:t>
      </w:r>
      <w:r>
        <w:t>ЭКГ-критериями ТП предсердий являются следующие признаки (</w:t>
      </w:r>
      <w:r>
        <w:rPr>
          <w:b/>
        </w:rPr>
        <w:t>рис. 4.7</w:t>
      </w:r>
      <w:r>
        <w:t>):</w:t>
      </w:r>
    </w:p>
    <w:p w:rsidR="008E3F15" w:rsidRDefault="005F449A">
      <w:pPr>
        <w:spacing w:after="65" w:line="259" w:lineRule="auto"/>
        <w:ind w:left="7" w:right="0" w:firstLine="0"/>
      </w:pPr>
      <w:r>
        <w:rPr>
          <w:rFonts w:ascii="Calibri" w:eastAsia="Calibri" w:hAnsi="Calibri" w:cs="Calibri"/>
          <w:noProof/>
          <w:color w:val="000000"/>
          <w:sz w:val="22"/>
        </w:rPr>
        <mc:AlternateContent>
          <mc:Choice Requires="wpg">
            <w:drawing>
              <wp:inline distT="0" distB="0" distL="0" distR="0">
                <wp:extent cx="6282332" cy="3559076"/>
                <wp:effectExtent l="0" t="0" r="0" b="0"/>
                <wp:docPr id="280032" name="Group 280032"/>
                <wp:cNvGraphicFramePr/>
                <a:graphic xmlns:a="http://schemas.openxmlformats.org/drawingml/2006/main">
                  <a:graphicData uri="http://schemas.microsoft.com/office/word/2010/wordprocessingGroup">
                    <wpg:wgp>
                      <wpg:cNvGrpSpPr/>
                      <wpg:grpSpPr>
                        <a:xfrm>
                          <a:off x="0" y="0"/>
                          <a:ext cx="6282332" cy="3559076"/>
                          <a:chOff x="0" y="0"/>
                          <a:chExt cx="6282332" cy="3559076"/>
                        </a:xfrm>
                      </wpg:grpSpPr>
                      <wps:wsp>
                        <wps:cNvPr id="8800" name="Shape 8800"/>
                        <wps:cNvSpPr/>
                        <wps:spPr>
                          <a:xfrm>
                            <a:off x="209550" y="34826"/>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863"/>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439"/>
                                </a:cubicBezTo>
                                <a:cubicBezTo>
                                  <a:pt x="725" y="35917"/>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801" name="Rectangle 8801"/>
                        <wps:cNvSpPr/>
                        <wps:spPr>
                          <a:xfrm>
                            <a:off x="381000" y="0"/>
                            <a:ext cx="4388163" cy="198403"/>
                          </a:xfrm>
                          <a:prstGeom prst="rect">
                            <a:avLst/>
                          </a:prstGeom>
                          <a:ln>
                            <a:noFill/>
                          </a:ln>
                        </wps:spPr>
                        <wps:txbx>
                          <w:txbxContent>
                            <w:p w:rsidR="008E3F15" w:rsidRDefault="005F449A">
                              <w:pPr>
                                <w:spacing w:after="160" w:line="259" w:lineRule="auto"/>
                                <w:ind w:left="0" w:right="0" w:firstLine="0"/>
                              </w:pPr>
                              <w:r>
                                <w:t>одинаковая форма волн трепетания (F-волны);</w:t>
                              </w:r>
                            </w:p>
                          </w:txbxContent>
                        </wps:txbx>
                        <wps:bodyPr horzOverflow="overflow" vert="horz" lIns="0" tIns="0" rIns="0" bIns="0" rtlCol="0">
                          <a:noAutofit/>
                        </wps:bodyPr>
                      </wps:wsp>
                      <wps:wsp>
                        <wps:cNvPr id="8802" name="Shape 8802"/>
                        <wps:cNvSpPr/>
                        <wps:spPr>
                          <a:xfrm>
                            <a:off x="209550" y="187226"/>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868"/>
                                  <a:pt x="54975" y="39340"/>
                                </a:cubicBezTo>
                                <a:cubicBezTo>
                                  <a:pt x="53525" y="42863"/>
                                  <a:pt x="51460" y="45889"/>
                                  <a:pt x="48781" y="48667"/>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667"/>
                                </a:cubicBezTo>
                                <a:cubicBezTo>
                                  <a:pt x="5690" y="45889"/>
                                  <a:pt x="3625" y="42863"/>
                                  <a:pt x="2175" y="39340"/>
                                </a:cubicBezTo>
                                <a:cubicBezTo>
                                  <a:pt x="725" y="35868"/>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803" name="Rectangle 8803"/>
                        <wps:cNvSpPr/>
                        <wps:spPr>
                          <a:xfrm>
                            <a:off x="381000" y="152400"/>
                            <a:ext cx="7355206" cy="198403"/>
                          </a:xfrm>
                          <a:prstGeom prst="rect">
                            <a:avLst/>
                          </a:prstGeom>
                          <a:ln>
                            <a:noFill/>
                          </a:ln>
                        </wps:spPr>
                        <wps:txbx>
                          <w:txbxContent>
                            <w:p w:rsidR="008E3F15" w:rsidRDefault="005F449A">
                              <w:pPr>
                                <w:spacing w:after="160" w:line="259" w:lineRule="auto"/>
                                <w:ind w:left="0" w:right="0" w:firstLine="0"/>
                              </w:pPr>
                              <w:r>
                                <w:t>одинаковый интервал волн трепетания (FF-интервал), то есть их регулярность;</w:t>
                              </w:r>
                            </w:p>
                          </w:txbxContent>
                        </wps:txbx>
                        <wps:bodyPr horzOverflow="overflow" vert="horz" lIns="0" tIns="0" rIns="0" bIns="0" rtlCol="0">
                          <a:noAutofit/>
                        </wps:bodyPr>
                      </wps:wsp>
                      <wps:wsp>
                        <wps:cNvPr id="8804" name="Shape 8804"/>
                        <wps:cNvSpPr/>
                        <wps:spPr>
                          <a:xfrm>
                            <a:off x="209550" y="339626"/>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345"/>
                                  <a:pt x="56425" y="36016"/>
                                  <a:pt x="54975" y="39489"/>
                                </a:cubicBezTo>
                                <a:cubicBezTo>
                                  <a:pt x="53525" y="43011"/>
                                  <a:pt x="51460" y="46038"/>
                                  <a:pt x="48781" y="48816"/>
                                </a:cubicBezTo>
                                <a:cubicBezTo>
                                  <a:pt x="46101" y="51495"/>
                                  <a:pt x="43011" y="53578"/>
                                  <a:pt x="39510" y="54967"/>
                                </a:cubicBezTo>
                                <a:cubicBezTo>
                                  <a:pt x="36009" y="56406"/>
                                  <a:pt x="32364" y="57150"/>
                                  <a:pt x="28575" y="57150"/>
                                </a:cubicBezTo>
                                <a:cubicBezTo>
                                  <a:pt x="24786" y="57150"/>
                                  <a:pt x="21141" y="56406"/>
                                  <a:pt x="17640" y="54967"/>
                                </a:cubicBezTo>
                                <a:cubicBezTo>
                                  <a:pt x="14139" y="53578"/>
                                  <a:pt x="11049" y="51495"/>
                                  <a:pt x="8369" y="48816"/>
                                </a:cubicBezTo>
                                <a:cubicBezTo>
                                  <a:pt x="5690" y="46038"/>
                                  <a:pt x="3625" y="43011"/>
                                  <a:pt x="2175" y="39489"/>
                                </a:cubicBezTo>
                                <a:cubicBezTo>
                                  <a:pt x="725" y="36016"/>
                                  <a:pt x="0" y="32345"/>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8805" name="Rectangle 8805"/>
                        <wps:cNvSpPr/>
                        <wps:spPr>
                          <a:xfrm>
                            <a:off x="381000" y="304800"/>
                            <a:ext cx="7848772" cy="198403"/>
                          </a:xfrm>
                          <a:prstGeom prst="rect">
                            <a:avLst/>
                          </a:prstGeom>
                          <a:ln>
                            <a:noFill/>
                          </a:ln>
                        </wps:spPr>
                        <wps:txbx>
                          <w:txbxContent>
                            <w:p w:rsidR="008E3F15" w:rsidRDefault="005F449A">
                              <w:pPr>
                                <w:spacing w:after="160" w:line="259" w:lineRule="auto"/>
                                <w:ind w:left="0" w:right="0" w:firstLine="0"/>
                              </w:pPr>
                              <w:r>
                                <w:t>частота предсердных волн обычно от 240 до 340 в мин при типичной форме, а при</w:t>
                              </w:r>
                            </w:p>
                          </w:txbxContent>
                        </wps:txbx>
                        <wps:bodyPr horzOverflow="overflow" vert="horz" lIns="0" tIns="0" rIns="0" bIns="0" rtlCol="0">
                          <a:noAutofit/>
                        </wps:bodyPr>
                      </wps:wsp>
                      <wps:wsp>
                        <wps:cNvPr id="8806" name="Rectangle 8806"/>
                        <wps:cNvSpPr/>
                        <wps:spPr>
                          <a:xfrm>
                            <a:off x="381000" y="457200"/>
                            <a:ext cx="5179434" cy="198403"/>
                          </a:xfrm>
                          <a:prstGeom prst="rect">
                            <a:avLst/>
                          </a:prstGeom>
                          <a:ln>
                            <a:noFill/>
                          </a:ln>
                        </wps:spPr>
                        <wps:txbx>
                          <w:txbxContent>
                            <w:p w:rsidR="008E3F15" w:rsidRDefault="005F449A">
                              <w:pPr>
                                <w:spacing w:after="160" w:line="259" w:lineRule="auto"/>
                                <w:ind w:left="0" w:right="0" w:firstLine="0"/>
                              </w:pPr>
                              <w:r>
                                <w:t>атипичном ТП частота F-волн достигает 340–430 в мин.</w:t>
                              </w:r>
                            </w:p>
                          </w:txbxContent>
                        </wps:txbx>
                        <wps:bodyPr horzOverflow="overflow" vert="horz" lIns="0" tIns="0" rIns="0" bIns="0" rtlCol="0">
                          <a:noAutofit/>
                        </wps:bodyPr>
                      </wps:wsp>
                      <pic:pic xmlns:pic="http://schemas.openxmlformats.org/drawingml/2006/picture">
                        <pic:nvPicPr>
                          <pic:cNvPr id="8808" name="Picture 8808"/>
                          <pic:cNvPicPr/>
                        </pic:nvPicPr>
                        <pic:blipFill>
                          <a:blip r:embed="rId97"/>
                          <a:stretch>
                            <a:fillRect/>
                          </a:stretch>
                        </pic:blipFill>
                        <pic:spPr>
                          <a:xfrm>
                            <a:off x="0" y="739676"/>
                            <a:ext cx="5057775" cy="2819400"/>
                          </a:xfrm>
                          <a:prstGeom prst="rect">
                            <a:avLst/>
                          </a:prstGeom>
                        </pic:spPr>
                      </pic:pic>
                    </wpg:wgp>
                  </a:graphicData>
                </a:graphic>
              </wp:inline>
            </w:drawing>
          </mc:Choice>
          <mc:Fallback xmlns:a="http://schemas.openxmlformats.org/drawingml/2006/main">
            <w:pict>
              <v:group id="Group 280032" style="width:494.672pt;height:280.242pt;mso-position-horizontal-relative:char;mso-position-vertical-relative:line" coordsize="62823,35590">
                <v:shape id="Shape 8800" style="position:absolute;width:571;height:571;left:2095;top:348;" coordsize="57150,57150" path="m28575,0c32364,0,36009,645,39510,2084c43011,3473,46101,5556,48781,8334c51460,10914,53525,14039,54975,17562c56425,21034,57150,24705,57150,28575c57150,32296,56425,35917,54975,39439c53525,42863,51460,45988,48781,48716c46101,51346,43011,53429,39510,54918c36009,56307,32364,57051,28575,57150c24786,57051,21141,56307,17640,54918c14139,53429,11049,51346,8369,48716c5690,45988,3625,42863,2175,39439c725,35917,0,32296,0,28575c0,24705,725,21034,2175,17562c3625,14039,5690,10914,8369,8334c11049,5556,14139,3473,17640,2084c21141,645,24786,0,28575,0x">
                  <v:stroke weight="0pt" endcap="flat" joinstyle="miter" miterlimit="10" on="false" color="#000000" opacity="0"/>
                  <v:fill on="true" color="#333333"/>
                </v:shape>
                <v:rect id="Rectangle 8801" style="position:absolute;width:43881;height:1984;left:3810;top:0;" filled="f" stroked="f">
                  <v:textbox inset="0,0,0,0">
                    <w:txbxContent>
                      <w:p>
                        <w:pPr>
                          <w:spacing w:before="0" w:after="160" w:line="259" w:lineRule="auto"/>
                          <w:ind w:left="0" w:right="0" w:firstLine="0"/>
                        </w:pPr>
                        <w:r>
                          <w:rPr/>
                          <w:t xml:space="preserve">одинаковая форма волн трепетания (F-волны);</w:t>
                        </w:r>
                      </w:p>
                    </w:txbxContent>
                  </v:textbox>
                </v:rect>
                <v:shape id="Shape 8802" style="position:absolute;width:571;height:571;left:2095;top:1872;" coordsize="57150,57150" path="m28575,0c32364,0,36009,645,39510,2084c43011,3473,46101,5556,48781,8334c51460,10914,53525,14039,54975,17562c56425,21034,57150,24705,57150,28575c57150,32296,56425,35868,54975,39340c53525,42863,51460,45889,48781,48667c46101,51346,43011,53429,39510,54818c36009,56307,32364,57051,28575,57150c24786,57051,21141,56307,17640,54818c14139,53429,11049,51346,8369,48667c5690,45889,3625,42863,2175,39340c725,35868,0,32296,0,28575c0,24705,725,21034,2175,17562c3625,14039,5690,10914,8369,8334c11049,5556,14139,3473,17640,2084c21141,645,24786,0,28575,0x">
                  <v:stroke weight="0pt" endcap="flat" joinstyle="miter" miterlimit="10" on="false" color="#000000" opacity="0"/>
                  <v:fill on="true" color="#333333"/>
                </v:shape>
                <v:rect id="Rectangle 8803" style="position:absolute;width:73552;height:1984;left:3810;top:1524;" filled="f" stroked="f">
                  <v:textbox inset="0,0,0,0">
                    <w:txbxContent>
                      <w:p>
                        <w:pPr>
                          <w:spacing w:before="0" w:after="160" w:line="259" w:lineRule="auto"/>
                          <w:ind w:left="0" w:right="0" w:firstLine="0"/>
                        </w:pPr>
                        <w:r>
                          <w:rPr/>
                          <w:t xml:space="preserve">одинаковый интервал волн трепетания (FF-интервал), то есть их регулярность;</w:t>
                        </w:r>
                      </w:p>
                    </w:txbxContent>
                  </v:textbox>
                </v:rect>
                <v:shape id="Shape 8804" style="position:absolute;width:571;height:571;left:2095;top:3396;" coordsize="57150,57150" path="m28575,0c32364,0,36009,645,39510,2084c43011,3473,46101,5556,48781,8334c51460,10914,53525,14039,54975,17562c56425,21034,57150,24705,57150,28575c57150,32345,56425,36016,54975,39489c53525,43011,51460,46038,48781,48816c46101,51495,43011,53578,39510,54967c36009,56406,32364,57150,28575,57150c24786,57150,21141,56406,17640,54967c14139,53578,11049,51495,8369,48816c5690,46038,3625,43011,2175,39489c725,36016,0,32345,0,28575c0,24705,725,21034,2175,17562c3625,14039,5690,10914,8369,8334c11049,5556,14139,3473,17640,2084c21141,645,24786,0,28575,0x">
                  <v:stroke weight="0pt" endcap="flat" joinstyle="miter" miterlimit="10" on="false" color="#000000" opacity="0"/>
                  <v:fill on="true" color="#333333"/>
                </v:shape>
                <v:rect id="Rectangle 8805" style="position:absolute;width:78487;height:1984;left:3810;top:3048;" filled="f" stroked="f">
                  <v:textbox inset="0,0,0,0">
                    <w:txbxContent>
                      <w:p>
                        <w:pPr>
                          <w:spacing w:before="0" w:after="160" w:line="259" w:lineRule="auto"/>
                          <w:ind w:left="0" w:right="0" w:firstLine="0"/>
                        </w:pPr>
                        <w:r>
                          <w:rPr/>
                          <w:t xml:space="preserve">частота предсердных волн обычно от 240 до 340 в мин при типичной форме, а при</w:t>
                        </w:r>
                      </w:p>
                    </w:txbxContent>
                  </v:textbox>
                </v:rect>
                <v:rect id="Rectangle 8806" style="position:absolute;width:51794;height:1984;left:3810;top:4572;" filled="f" stroked="f">
                  <v:textbox inset="0,0,0,0">
                    <w:txbxContent>
                      <w:p>
                        <w:pPr>
                          <w:spacing w:before="0" w:after="160" w:line="259" w:lineRule="auto"/>
                          <w:ind w:left="0" w:right="0" w:firstLine="0"/>
                        </w:pPr>
                        <w:r>
                          <w:rPr/>
                          <w:t xml:space="preserve">атипичном ТП частота F-волн достигает 340–430 в мин.</w:t>
                        </w:r>
                      </w:p>
                    </w:txbxContent>
                  </v:textbox>
                </v:rect>
                <v:shape id="Picture 8808" style="position:absolute;width:50577;height:28194;left:0;top:7396;" filled="f">
                  <v:imagedata r:id="rId98"/>
                </v:shape>
              </v:group>
            </w:pict>
          </mc:Fallback>
        </mc:AlternateContent>
      </w:r>
    </w:p>
    <w:p w:rsidR="008E3F15" w:rsidRDefault="005F449A">
      <w:pPr>
        <w:spacing w:after="31"/>
        <w:ind w:left="2" w:right="15"/>
      </w:pPr>
      <w:r>
        <w:rPr>
          <w:b/>
        </w:rPr>
        <w:t xml:space="preserve">Рис. 4.7. </w:t>
      </w:r>
      <w:r>
        <w:t>Типичное трепетание предсердий (I тип)</w:t>
      </w:r>
    </w:p>
    <w:p w:rsidR="008E3F15" w:rsidRDefault="005F449A">
      <w:pPr>
        <w:spacing w:after="31"/>
        <w:ind w:left="2" w:right="15"/>
      </w:pPr>
      <w:r>
        <w:t>Важно знать, что высокая амплитуда F-волн не является критерием ТП (</w:t>
      </w:r>
      <w:r>
        <w:rPr>
          <w:b/>
        </w:rPr>
        <w:t>рис. 4.8</w:t>
      </w:r>
      <w:r>
        <w:t>).</w:t>
      </w:r>
    </w:p>
    <w:p w:rsidR="008E3F15" w:rsidRDefault="005F449A">
      <w:pPr>
        <w:ind w:left="2" w:right="15"/>
      </w:pPr>
      <w:r>
        <w:t>По соотношению предсердной и желудочковой активности выделяют ритмированную форму (например, 2:1 или 3:1, на желудочки проводится каждая вторая или третья волна трепетания) и неритмированную форму (например, 2:1–3:1).</w:t>
      </w:r>
    </w:p>
    <w:p w:rsidR="008E3F15" w:rsidRDefault="005F449A">
      <w:pPr>
        <w:spacing w:after="65" w:line="259" w:lineRule="auto"/>
        <w:ind w:left="7" w:right="0" w:firstLine="0"/>
      </w:pPr>
      <w:r>
        <w:rPr>
          <w:noProof/>
        </w:rPr>
        <w:drawing>
          <wp:inline distT="0" distB="0" distL="0" distR="0">
            <wp:extent cx="5057775" cy="704850"/>
            <wp:effectExtent l="0" t="0" r="0" b="0"/>
            <wp:docPr id="8818" name="Picture 8818"/>
            <wp:cNvGraphicFramePr/>
            <a:graphic xmlns:a="http://schemas.openxmlformats.org/drawingml/2006/main">
              <a:graphicData uri="http://schemas.openxmlformats.org/drawingml/2006/picture">
                <pic:pic xmlns:pic="http://schemas.openxmlformats.org/drawingml/2006/picture">
                  <pic:nvPicPr>
                    <pic:cNvPr id="8818" name="Picture 8818"/>
                    <pic:cNvPicPr/>
                  </pic:nvPicPr>
                  <pic:blipFill>
                    <a:blip r:embed="rId99"/>
                    <a:stretch>
                      <a:fillRect/>
                    </a:stretch>
                  </pic:blipFill>
                  <pic:spPr>
                    <a:xfrm>
                      <a:off x="0" y="0"/>
                      <a:ext cx="5057775" cy="704850"/>
                    </a:xfrm>
                    <a:prstGeom prst="rect">
                      <a:avLst/>
                    </a:prstGeom>
                  </pic:spPr>
                </pic:pic>
              </a:graphicData>
            </a:graphic>
          </wp:inline>
        </w:drawing>
      </w:r>
    </w:p>
    <w:p w:rsidR="008E3F15" w:rsidRDefault="005F449A">
      <w:pPr>
        <w:spacing w:after="31"/>
        <w:ind w:left="2" w:right="15"/>
      </w:pPr>
      <w:r>
        <w:rPr>
          <w:b/>
        </w:rPr>
        <w:t xml:space="preserve">Рис. 4.8. </w:t>
      </w:r>
      <w:r>
        <w:t>Крупноволновая форма фибри</w:t>
      </w:r>
      <w:r>
        <w:t>лляции предсердий</w:t>
      </w:r>
    </w:p>
    <w:p w:rsidR="008E3F15" w:rsidRDefault="005F449A">
      <w:pPr>
        <w:ind w:left="2" w:right="15"/>
      </w:pPr>
      <w:r>
        <w:rPr>
          <w:b/>
        </w:rPr>
        <w:t>Лечение</w:t>
      </w:r>
      <w:r>
        <w:rPr>
          <w:b/>
          <w:i/>
        </w:rPr>
        <w:t xml:space="preserve">. </w:t>
      </w:r>
      <w:r>
        <w:t>Механизмы формирования ТП в настоящее время хорошо изучены, поэтому ведущим методом лечения является катетерная абляция. В процессе операции проводится картирование траектории циркуляции, после чего радиочастотным воздействием со</w:t>
      </w:r>
      <w:r>
        <w:t>здается линия на пути движения фронта возбуждения. При типичном ТП — это линия в проекции каво-трикуспидального перешейка, при инцизионной и постабляционной форме — от зоны рубца до ближайшего анатомического образования (полая вена, легочная вена, трикуспи</w:t>
      </w:r>
      <w:r>
        <w:t>дальный или митральный клапаны).</w:t>
      </w:r>
    </w:p>
    <w:p w:rsidR="008E3F15" w:rsidRDefault="005F449A">
      <w:pPr>
        <w:ind w:left="2" w:right="161"/>
      </w:pPr>
      <w:r>
        <w:t>Ближайшая эффективность радиочастотной катетерной абляции составляет 97%, рецидивы возникают у 3–20% больных (в зависимости от формы ТП). Рецидивы могут возникать в результате «разблокирования» абляционной линии или в резул</w:t>
      </w:r>
      <w:r>
        <w:t>ьтате возникновения новой траектории ТП (при наличии нескольких рубцов в предсердии). Окончательная эффективность (отсутствие ТП без приема антиаритмических препаратов) после устранения рецидивов составляет 93%. При исходной хронической форме ТП в 10% случ</w:t>
      </w:r>
      <w:r>
        <w:t>аев возможно формирование дисфункции синусового узла, что выявляется уже после успешной абляции и требует имплантации кардиостимулятора.</w:t>
      </w:r>
    </w:p>
    <w:p w:rsidR="008E3F15" w:rsidRDefault="005F449A">
      <w:pPr>
        <w:ind w:left="2" w:right="361"/>
      </w:pPr>
      <w:r>
        <w:t xml:space="preserve">Показания для катетерной абляции ФП классифицируются следующим образом (ESC). </w:t>
      </w:r>
      <w:r>
        <w:rPr>
          <w:i/>
        </w:rPr>
        <w:t>Класс I (рекомендуется)</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65760" behindDoc="0" locked="0" layoutInCell="1" allowOverlap="1">
                <wp:simplePos x="0" y="0"/>
                <wp:positionH relativeFrom="column">
                  <wp:posOffset>214164</wp:posOffset>
                </wp:positionH>
                <wp:positionV relativeFrom="paragraph">
                  <wp:posOffset>34826</wp:posOffset>
                </wp:positionV>
                <wp:extent cx="57150" cy="514350"/>
                <wp:effectExtent l="0" t="0" r="0" b="0"/>
                <wp:wrapSquare wrapText="bothSides"/>
                <wp:docPr id="283654" name="Group 283654"/>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8890" name="Shape 8890"/>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1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863"/>
                                  <a:pt x="2175" y="39340"/>
                                </a:cubicBezTo>
                                <a:cubicBezTo>
                                  <a:pt x="725" y="35868"/>
                                  <a:pt x="0" y="321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892" name="Shape 8892"/>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868"/>
                                  <a:pt x="54975" y="39340"/>
                                </a:cubicBezTo>
                                <a:cubicBezTo>
                                  <a:pt x="53525" y="42863"/>
                                  <a:pt x="51460" y="45988"/>
                                  <a:pt x="48781" y="48667"/>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667"/>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895" name="Shape 8895"/>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654" style="width:4.5pt;height:40.5pt;position:absolute;mso-position-horizontal-relative:text;mso-position-horizontal:absolute;margin-left:16.8633pt;mso-position-vertical-relative:text;margin-top:2.74219pt;" coordsize="571,5143">
                <v:shape id="Shape 8890" style="position:absolute;width:571;height:571;left:0;top:0;" coordsize="57150,57150" path="m28575,0c32364,0,36009,645,39510,2084c43011,3473,46101,5556,48781,8334c51460,10914,53525,14039,54975,17562c56425,21034,57150,24755,57150,28575c57150,32196,56425,35868,54975,39340c53525,42863,51460,45988,48781,48716c46101,51346,43011,53429,39510,54818c36009,56257,32364,57051,28575,57150c24786,57051,21141,56257,17640,54818c14139,53429,11049,51346,8369,48716c5690,45988,3625,42863,2175,39340c725,35868,0,32196,0,28575c0,24755,725,21034,2175,17562c3625,14039,5690,10914,8369,8334c11049,5556,14139,3473,17640,2084c21141,645,24786,0,28575,0x">
                  <v:stroke weight="0pt" endcap="flat" joinstyle="miter" miterlimit="4" on="false" color="#000000" opacity="0"/>
                  <v:fill on="true" color="#333333"/>
                </v:shape>
                <v:shape id="Shape 8892" style="position:absolute;width:571;height:571;left:0;top:1524;" coordsize="57150,57150" path="m28575,0c32364,0,36009,645,39510,2084c43011,3473,46101,5556,48781,8334c51460,10914,53525,14039,54975,17562c56425,21034,57150,24755,57150,28575c57150,32296,56425,35868,54975,39340c53525,42863,51460,45988,48781,48667c46101,51346,43011,53429,39510,54818c36009,56257,32364,57051,28575,57150c24786,57051,21141,56257,17640,54818c14139,53429,11049,51346,8369,48667c5690,45988,3625,42863,2175,39340c725,35868,0,32296,0,28575c0,24755,725,21034,2175,17562c3625,14039,5690,10914,8369,8334c11049,5556,14139,3473,17640,2084c21141,645,24786,0,28575,0x">
                  <v:stroke weight="0pt" endcap="flat" joinstyle="miter" miterlimit="4" on="false" color="#000000" opacity="0"/>
                  <v:fill on="true" color="#333333"/>
                </v:shape>
                <v:shape id="Shape 8895" style="position:absolute;width:571;height:571;left:0;top:4572;" coordsize="57150,57150" path="m28575,0c32364,0,36009,645,39510,2084c43011,3473,46101,5556,48781,8334c51460,10914,53525,14039,54975,17562c56425,21034,57150,24705,57150,28575c57150,32345,56425,35917,54975,39439c53525,42912,51460,46038,48781,48716c46101,51395,43011,53479,39510,54918c36009,56406,32364,57150,28575,57150c24786,57150,21141,56406,17640,54918c14139,53479,11049,51395,8369,48716c5690,46038,3625,42912,2175,39439c725,35917,0,32345,0,28575c0,24705,725,21034,2175,17562c3625,14039,5690,10914,8369,8334c11049,5556,14139,3473,17640,2084c21141,645,24786,0,28575,0x">
                  <v:stroke weight="0pt" endcap="flat" joinstyle="miter" miterlimit="4" on="false" color="#000000" opacity="0"/>
                  <v:fill on="true" color="#333333"/>
                </v:shape>
                <w10:wrap type="square"/>
              </v:group>
            </w:pict>
          </mc:Fallback>
        </mc:AlternateContent>
      </w:r>
      <w:r>
        <w:t>Симптомные, реци</w:t>
      </w:r>
      <w:r>
        <w:t>дивирующие эпизоды истмус-зависимого ТП.</w:t>
      </w:r>
    </w:p>
    <w:p w:rsidR="008E3F15" w:rsidRDefault="005F449A">
      <w:pPr>
        <w:ind w:left="347" w:right="15"/>
      </w:pPr>
      <w:r>
        <w:t>Симптомные, рецидивирующие эпизоды не-истмус-зависимого ТП в центрах, имеющих достаточный опыт.</w:t>
      </w:r>
    </w:p>
    <w:p w:rsidR="008E3F15" w:rsidRDefault="005F449A">
      <w:pPr>
        <w:spacing w:after="165"/>
        <w:ind w:left="347" w:right="15"/>
      </w:pPr>
      <w:r>
        <w:t>Персистирующее ТП при СНнФВ вследствие тахиаритмической кардиомиопатии.</w:t>
      </w:r>
    </w:p>
    <w:p w:rsidR="008E3F15" w:rsidRDefault="005F449A">
      <w:pPr>
        <w:spacing w:after="154" w:line="259" w:lineRule="auto"/>
        <w:ind w:left="17" w:right="0"/>
      </w:pPr>
      <w:r>
        <w:rPr>
          <w:i/>
        </w:rPr>
        <w:t>Класс IIa (целесообразно)</w:t>
      </w:r>
    </w:p>
    <w:p w:rsidR="008E3F15" w:rsidRDefault="005F449A">
      <w:pPr>
        <w:spacing w:after="179"/>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3655" name="Group 28365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8898" name="Shape 8898"/>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345"/>
                                  <a:pt x="56425" y="35917"/>
                                  <a:pt x="54975" y="39439"/>
                                </a:cubicBezTo>
                                <a:cubicBezTo>
                                  <a:pt x="53525" y="42912"/>
                                  <a:pt x="51460" y="45988"/>
                                  <a:pt x="48781" y="48716"/>
                                </a:cubicBezTo>
                                <a:cubicBezTo>
                                  <a:pt x="46101" y="51395"/>
                                  <a:pt x="43011" y="53479"/>
                                  <a:pt x="39510" y="54918"/>
                                </a:cubicBezTo>
                                <a:cubicBezTo>
                                  <a:pt x="36009" y="56406"/>
                                  <a:pt x="32364" y="57150"/>
                                  <a:pt x="28575" y="57150"/>
                                </a:cubicBezTo>
                                <a:cubicBezTo>
                                  <a:pt x="24786" y="57150"/>
                                  <a:pt x="21141" y="56406"/>
                                  <a:pt x="17640" y="54918"/>
                                </a:cubicBezTo>
                                <a:cubicBezTo>
                                  <a:pt x="14139" y="53479"/>
                                  <a:pt x="11049" y="51395"/>
                                  <a:pt x="8369" y="48716"/>
                                </a:cubicBezTo>
                                <a:cubicBezTo>
                                  <a:pt x="5690" y="45988"/>
                                  <a:pt x="3625" y="42912"/>
                                  <a:pt x="2175" y="39439"/>
                                </a:cubicBezTo>
                                <a:cubicBezTo>
                                  <a:pt x="725" y="35917"/>
                                  <a:pt x="0" y="32345"/>
                                  <a:pt x="0" y="28575"/>
                                </a:cubicBezTo>
                                <a:cubicBezTo>
                                  <a:pt x="0" y="2470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3655" style="width:4.5pt;height:4.5pt;mso-position-horizontal-relative:char;mso-position-vertical-relative:line" coordsize="571,571">
                <v:shape id="Shape 8898" style="position:absolute;width:571;height:571;left:0;top:0;" coordsize="57150,57150" path="m28575,0c32364,0,36009,645,39510,2084c43011,3473,46101,5556,48781,8235c51460,10914,53525,14039,54975,17562c56425,21034,57150,24705,57150,28575c57150,32345,56425,35917,54975,39439c53525,42912,51460,45988,48781,48716c46101,51395,43011,53479,39510,54918c36009,56406,32364,57150,28575,57150c24786,57150,21141,56406,17640,54918c14139,53479,11049,51395,8369,48716c5690,45988,3625,42912,2175,39439c725,35917,0,32345,0,28575c0,24705,725,21034,2175,17562c3625,14039,5690,10914,8369,8235c11049,5556,14139,3473,17640,2084c21141,645,24786,0,28575,0x">
                  <v:stroke weight="0pt" endcap="flat" joinstyle="miter" miterlimit="4" on="false" color="#000000" opacity="0"/>
                  <v:fill on="true" color="#333333"/>
                </v:shape>
              </v:group>
            </w:pict>
          </mc:Fallback>
        </mc:AlternateContent>
      </w:r>
      <w:r>
        <w:t xml:space="preserve"> Персистирующее ТП при СН с пониженной/промежуточной ФВЛЖ (СНпФВ) вследствие тахиаритмической кардиомиопатии.</w:t>
      </w:r>
    </w:p>
    <w:p w:rsidR="008E3F15" w:rsidRDefault="005F449A">
      <w:pPr>
        <w:ind w:left="2" w:right="15"/>
      </w:pPr>
      <w:r>
        <w:t>В качестве подготовки к операции пациенты должны начать прием варфарина (МНО 2,0–3,0) или другого орального антикоагулянта не менее чем за месяц д</w:t>
      </w:r>
      <w:r>
        <w:t>о абляции и принимать его еще в течение месяца после абляции. Отсутствие ТП в течение года после абляции является основанием считать пациента излеченным от данной аритмии.</w:t>
      </w:r>
    </w:p>
    <w:p w:rsidR="008E3F15" w:rsidRDefault="005F449A">
      <w:pPr>
        <w:spacing w:after="179"/>
        <w:ind w:left="2" w:right="15"/>
      </w:pPr>
      <w:r>
        <w:t>При наличии противопоказаний для катетерной абляции терапия ТП аналогична таковой пр</w:t>
      </w:r>
      <w:r>
        <w:t>и ФП, включая и противотромботическое лечение, однако необходимо отметить ряд отличий:</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66784" behindDoc="0" locked="0" layoutInCell="1" allowOverlap="1">
                <wp:simplePos x="0" y="0"/>
                <wp:positionH relativeFrom="column">
                  <wp:posOffset>214164</wp:posOffset>
                </wp:positionH>
                <wp:positionV relativeFrom="paragraph">
                  <wp:posOffset>34826</wp:posOffset>
                </wp:positionV>
                <wp:extent cx="57150" cy="666750"/>
                <wp:effectExtent l="0" t="0" r="0" b="0"/>
                <wp:wrapSquare wrapText="bothSides"/>
                <wp:docPr id="283656" name="Group 283656"/>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8907" name="Shape 8907"/>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910" name="Shape 8910"/>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8913" name="Shape 8913"/>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562"/>
                                </a:cubicBezTo>
                                <a:cubicBezTo>
                                  <a:pt x="56425" y="21034"/>
                                  <a:pt x="57150" y="24755"/>
                                  <a:pt x="57150" y="28575"/>
                                </a:cubicBezTo>
                                <a:cubicBezTo>
                                  <a:pt x="57150" y="32296"/>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296"/>
                                  <a:pt x="0" y="28575"/>
                                </a:cubicBezTo>
                                <a:cubicBezTo>
                                  <a:pt x="0" y="24755"/>
                                  <a:pt x="725" y="21034"/>
                                  <a:pt x="2175" y="17562"/>
                                </a:cubicBezTo>
                                <a:cubicBezTo>
                                  <a:pt x="3625" y="13990"/>
                                  <a:pt x="5690" y="1086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656" style="width:4.5pt;height:52.5pt;position:absolute;mso-position-horizontal-relative:text;mso-position-horizontal:absolute;margin-left:16.8633pt;mso-position-vertical-relative:text;margin-top:2.74219pt;" coordsize="571,6667">
                <v:shape id="Shape 8907" style="position:absolute;width:571;height:571;left:0;top:0;" coordsize="57150,57150" path="m28575,0c32364,0,36009,645,39510,2084c43011,3473,46101,5556,48781,8334c51460,10914,53525,13990,54975,17463c56425,20985,57150,24705,57150,28575c57150,32345,56425,35917,54975,39340c53525,42863,51460,45889,48781,48667c46101,51246,43011,53330,39510,54818c36009,56307,32364,57051,28575,57150c24786,57051,21141,56307,17640,54818c14139,53330,11049,51246,8369,48667c5690,45889,3625,42863,2175,39340c725,35917,0,32345,0,28575c0,24705,725,20985,2175,17463c3625,13990,5690,10914,8369,8334c11049,5556,14139,3473,17640,2084c21141,645,24786,0,28575,0x">
                  <v:stroke weight="0pt" endcap="flat" joinstyle="miter" miterlimit="4" on="false" color="#000000" opacity="0"/>
                  <v:fill on="true" color="#333333"/>
                </v:shape>
                <v:shape id="Shape 8910" style="position:absolute;width:571;height:571;left:0;top:3048;" coordsize="57150,57150" path="m28575,0c32364,0,36009,744,39510,2133c43011,3572,46101,5655,48781,8334c51460,10914,53525,14039,54975,17562c56425,21034,57150,24755,57150,28575c57150,32296,56425,35917,54975,39439c53525,42912,51460,46038,48781,48716c46101,51395,43011,53479,39510,54918c36009,56307,32364,57051,28575,57150c24786,57051,21141,56307,17640,54918c14139,53479,11049,51395,8369,48716c5690,46038,3625,42912,2175,39439c725,35917,0,32296,0,28575c0,24755,725,21034,2175,17562c3625,14039,5690,10914,8369,8334c11049,5655,14139,3572,17640,2133c21141,744,24786,0,28575,0x">
                  <v:stroke weight="0pt" endcap="flat" joinstyle="miter" miterlimit="4" on="false" color="#000000" opacity="0"/>
                  <v:fill on="true" color="#333333"/>
                </v:shape>
                <v:shape id="Shape 8913" style="position:absolute;width:571;height:571;left:0;top:6096;" coordsize="57150,57150" path="m28575,0c32364,0,36009,645,39510,2084c43011,3473,46101,5556,48781,8235c51460,10864,53525,13990,54975,17562c56425,21034,57150,24755,57150,28575c57150,32296,56425,35917,54975,39439c53525,42912,51460,46038,48781,48716c46101,51346,43011,53429,39510,54818c36009,56307,32364,57051,28575,57150c24786,57051,21141,56307,17640,54818c14139,53429,11049,51346,8369,48716c5690,46038,3625,42912,2175,39439c725,35917,0,32296,0,28575c0,24755,725,21034,2175,17562c3625,13990,5690,10864,8369,8235c11049,5556,14139,3473,17640,2084c21141,645,24786,0,28575,0x">
                  <v:stroke weight="0pt" endcap="flat" joinstyle="miter" miterlimit="4" on="false" color="#000000" opacity="0"/>
                  <v:fill on="true" color="#333333"/>
                </v:shape>
                <w10:wrap type="square"/>
              </v:group>
            </w:pict>
          </mc:Fallback>
        </mc:AlternateContent>
      </w:r>
      <w:r>
        <w:t>ТП обычно легко купируется бифазным (50–70 Дж) или монофазным (100 Дж) разрядом, чреспищеводной кардиостимуляцией;</w:t>
      </w:r>
    </w:p>
    <w:p w:rsidR="008E3F15" w:rsidRDefault="005F449A">
      <w:pPr>
        <w:ind w:left="347" w:right="15"/>
      </w:pPr>
      <w:r>
        <w:t>восстановление синусового ритма с помощью прокаинамид</w:t>
      </w:r>
      <w:r>
        <w:t>а, пропафенона, амиодарона или соталола менее эффективно по сравнению с ФП;</w:t>
      </w:r>
    </w:p>
    <w:p w:rsidR="008E3F15" w:rsidRDefault="005F449A">
      <w:pPr>
        <w:spacing w:after="359"/>
        <w:ind w:left="347" w:right="15"/>
      </w:pPr>
      <w:r>
        <w:t>вследствие риска повышения ЧСС перед введением прокаинамида или пропафенона следует замедлить АВ-проведение с помощью β-адреноблокаторов или верапамила.</w:t>
      </w:r>
    </w:p>
    <w:p w:rsidR="008E3F15" w:rsidRDefault="005F449A">
      <w:pPr>
        <w:pStyle w:val="Heading1"/>
        <w:ind w:left="2"/>
      </w:pPr>
      <w:r>
        <w:t>Часть I. Сердечно-сосудисты</w:t>
      </w:r>
      <w:r>
        <w:t>е болезни</w:t>
      </w:r>
    </w:p>
    <w:p w:rsidR="008E3F15" w:rsidRDefault="005F449A">
      <w:pPr>
        <w:spacing w:after="31"/>
        <w:ind w:left="2" w:right="15"/>
      </w:pPr>
      <w:r>
        <w:t>Коморбидность</w:t>
      </w:r>
    </w:p>
    <w:p w:rsidR="008E3F15" w:rsidRDefault="005F449A">
      <w:pPr>
        <w:ind w:left="2" w:right="15"/>
      </w:pPr>
      <w:r>
        <w:t xml:space="preserve">Выбор медикаментов для лечения ФП и ТП у пациентов с наиболее частыми коморбидными заболеваниями представлен в </w:t>
      </w:r>
      <w:r>
        <w:rPr>
          <w:b/>
        </w:rPr>
        <w:t>табл. 4.12</w:t>
      </w:r>
      <w:r>
        <w:t xml:space="preserve"> (Белялов Ф.И., 2022).</w:t>
      </w:r>
    </w:p>
    <w:p w:rsidR="008E3F15" w:rsidRDefault="005F449A">
      <w:pPr>
        <w:spacing w:after="31"/>
        <w:ind w:left="2" w:right="15"/>
      </w:pPr>
      <w:r>
        <w:rPr>
          <w:b/>
        </w:rPr>
        <w:t xml:space="preserve">Таблица 4.12. </w:t>
      </w:r>
      <w:r>
        <w:t>Выбор препаратов у пациентов с фибрилляцией предсердий в условиях коморбид</w:t>
      </w:r>
      <w:r>
        <w:t>ности</w:t>
      </w:r>
    </w:p>
    <w:tbl>
      <w:tblPr>
        <w:tblStyle w:val="TableGrid"/>
        <w:tblW w:w="10485" w:type="dxa"/>
        <w:tblInd w:w="37" w:type="dxa"/>
        <w:tblCellMar>
          <w:top w:w="35" w:type="dxa"/>
          <w:left w:w="42" w:type="dxa"/>
          <w:bottom w:w="0" w:type="dxa"/>
          <w:right w:w="54" w:type="dxa"/>
        </w:tblCellMar>
        <w:tblLook w:val="04A0" w:firstRow="1" w:lastRow="0" w:firstColumn="1" w:lastColumn="0" w:noHBand="0" w:noVBand="1"/>
      </w:tblPr>
      <w:tblGrid>
        <w:gridCol w:w="2835"/>
        <w:gridCol w:w="4275"/>
        <w:gridCol w:w="3375"/>
      </w:tblGrid>
      <w:tr w:rsidR="008E3F15">
        <w:trPr>
          <w:trHeight w:val="33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Коморбидность</w:t>
            </w:r>
          </w:p>
        </w:tc>
        <w:tc>
          <w:tcPr>
            <w:tcW w:w="427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 w:right="0" w:firstLine="0"/>
            </w:pPr>
            <w:r>
              <w:rPr>
                <w:b/>
              </w:rPr>
              <w:t>Предпочтительные препараты</w:t>
            </w:r>
          </w:p>
        </w:tc>
        <w:tc>
          <w:tcPr>
            <w:tcW w:w="337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Нежелательные препараты</w:t>
            </w:r>
          </w:p>
        </w:tc>
      </w:tr>
      <w:tr w:rsidR="008E3F15">
        <w:trPr>
          <w:trHeight w:val="1050"/>
        </w:trPr>
        <w:tc>
          <w:tcPr>
            <w:tcW w:w="28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Артериальная гипертензия с выраженной гипертрофией мио карда</w:t>
            </w:r>
          </w:p>
        </w:tc>
        <w:tc>
          <w:tcPr>
            <w:tcW w:w="42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Амиодарон, иАПФ, БРА, аМКР</w:t>
            </w:r>
          </w:p>
        </w:tc>
        <w:tc>
          <w:tcPr>
            <w:tcW w:w="337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IА класс, IС класс, диуретики</w:t>
            </w:r>
          </w:p>
        </w:tc>
      </w:tr>
      <w:tr w:rsidR="008E3F15">
        <w:trPr>
          <w:trHeight w:val="57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Беременность</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Метопролол, пропранолол, верапамил, соталол, варфарин &lt;5 мг</w:t>
            </w:r>
          </w:p>
        </w:tc>
        <w:tc>
          <w:tcPr>
            <w:tcW w:w="33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Амиодарон, I класс, прямые оральные антикоагулянты</w:t>
            </w:r>
          </w:p>
        </w:tc>
      </w:tr>
      <w:tr w:rsidR="008E3F15">
        <w:trPr>
          <w:trHeight w:val="105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Брадикардия</w:t>
            </w:r>
          </w:p>
        </w:tc>
        <w:tc>
          <w:tcPr>
            <w:tcW w:w="42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Лаппаконитин, ранолазин, кардиостимулятор</w:t>
            </w:r>
          </w:p>
        </w:tc>
        <w:tc>
          <w:tcPr>
            <w:tcW w:w="33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2" w:firstLine="0"/>
            </w:pPr>
            <w:r>
              <w:t>IА, IC и III классы, βадреноблокаторы, блокаторы кальциевых каналов</w:t>
            </w:r>
          </w:p>
        </w:tc>
      </w:tr>
      <w:tr w:rsidR="008E3F15">
        <w:trPr>
          <w:trHeight w:val="105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Бронхиальная астма</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Блокаторы кальциевых каналов, амиодарон, лаппаконитин, ранолазин, IА класс, ингаляционные холинолитики, глюкокортикоиды</w:t>
            </w:r>
          </w:p>
        </w:tc>
        <w:tc>
          <w:tcPr>
            <w:tcW w:w="33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соталол, пропафенон, βадреноблокаторы, β2агонисты, теофиллин</w:t>
            </w:r>
          </w:p>
        </w:tc>
      </w:tr>
      <w:tr w:rsidR="008E3F15">
        <w:trPr>
          <w:trHeight w:val="81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Гипертиреоз</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14" w:firstLine="0"/>
            </w:pPr>
            <w:r>
              <w:t>β-Адреноблокаторы, блокаторы кальциевых каналов, радиоизотопное лечение</w:t>
            </w:r>
          </w:p>
        </w:tc>
        <w:tc>
          <w:tcPr>
            <w:tcW w:w="33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Амиодарон</w:t>
            </w:r>
          </w:p>
        </w:tc>
      </w:tr>
      <w:tr w:rsidR="008E3F15">
        <w:trPr>
          <w:trHeight w:val="81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Коронарная болезнь</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β-Адреноблокаторы, блокаторы кальциевых каналов, ранолазин, статины, оральные антикоагулянты</w:t>
            </w:r>
          </w:p>
        </w:tc>
        <w:tc>
          <w:tcPr>
            <w:tcW w:w="33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IА и IС класс, ивабрадин</w:t>
            </w:r>
          </w:p>
        </w:tc>
      </w:tr>
      <w:tr w:rsidR="008E3F15">
        <w:trPr>
          <w:trHeight w:val="81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Лактация</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Метопролол, пропранолол, блокаторы кальциевых каналов, варфарин, пропафенон</w:t>
            </w:r>
          </w:p>
        </w:tc>
        <w:tc>
          <w:tcPr>
            <w:tcW w:w="33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84" w:firstLine="0"/>
            </w:pPr>
            <w:r>
              <w:t>Амиодарон, атенолол, I класс, III класс, прямые оральные антикоагулянты</w:t>
            </w:r>
          </w:p>
        </w:tc>
      </w:tr>
      <w:tr w:rsidR="008E3F15">
        <w:trPr>
          <w:trHeight w:val="81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СНнФВ</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β-Адреноблокаторы, оральные антикоагулянты, иАПФ, БРА, аМКР, дигоксин</w:t>
            </w:r>
          </w:p>
        </w:tc>
        <w:tc>
          <w:tcPr>
            <w:tcW w:w="33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Блокаторы кальциевых каналов, IА и IС класс, диуретики, ивабрадин</w:t>
            </w:r>
          </w:p>
        </w:tc>
      </w:tr>
      <w:tr w:rsidR="008E3F15">
        <w:trPr>
          <w:trHeight w:val="706"/>
        </w:trPr>
        <w:tc>
          <w:tcPr>
            <w:tcW w:w="2835" w:type="dxa"/>
            <w:tcBorders>
              <w:top w:val="double" w:sz="6" w:space="0" w:color="000000"/>
              <w:left w:val="double" w:sz="6" w:space="0" w:color="000000"/>
              <w:bottom w:val="nil"/>
              <w:right w:val="double" w:sz="6" w:space="0" w:color="000000"/>
            </w:tcBorders>
          </w:tcPr>
          <w:p w:rsidR="008E3F15" w:rsidRDefault="005F449A">
            <w:pPr>
              <w:spacing w:after="0" w:line="259" w:lineRule="auto"/>
              <w:ind w:left="3" w:right="0" w:firstLine="0"/>
            </w:pPr>
            <w:r>
              <w:t>Синдром Вольфа–</w:t>
            </w:r>
          </w:p>
          <w:p w:rsidR="008E3F15" w:rsidRDefault="005F449A">
            <w:pPr>
              <w:spacing w:after="0" w:line="259" w:lineRule="auto"/>
              <w:ind w:left="3" w:right="0" w:firstLine="0"/>
            </w:pPr>
            <w:r>
              <w:t>Паркинсона–Уайта</w:t>
            </w:r>
          </w:p>
        </w:tc>
        <w:tc>
          <w:tcPr>
            <w:tcW w:w="4275" w:type="dxa"/>
            <w:tcBorders>
              <w:top w:val="double" w:sz="6" w:space="0" w:color="000000"/>
              <w:left w:val="double" w:sz="6" w:space="0" w:color="000000"/>
              <w:bottom w:val="nil"/>
              <w:right w:val="double" w:sz="6" w:space="0" w:color="000000"/>
            </w:tcBorders>
          </w:tcPr>
          <w:p w:rsidR="008E3F15" w:rsidRDefault="005F449A">
            <w:pPr>
              <w:spacing w:after="0" w:line="259" w:lineRule="auto"/>
              <w:ind w:left="1" w:right="0" w:firstLine="0"/>
            </w:pPr>
            <w:r>
              <w:t>Катетерная абляция, IС и IА класс</w:t>
            </w:r>
          </w:p>
        </w:tc>
        <w:tc>
          <w:tcPr>
            <w:tcW w:w="3375" w:type="dxa"/>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pPr>
            <w:r>
              <w:t>Блокаторы кальциевых каналов, β-</w:t>
            </w:r>
          </w:p>
        </w:tc>
      </w:tr>
      <w:tr w:rsidR="008E3F15">
        <w:trPr>
          <w:trHeight w:val="525"/>
        </w:trPr>
        <w:tc>
          <w:tcPr>
            <w:tcW w:w="2835"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275"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375" w:type="dxa"/>
            <w:tcBorders>
              <w:top w:val="nil"/>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адреноблокаторы, дигоксин, амиодарон внутривенный</w:t>
            </w:r>
          </w:p>
        </w:tc>
      </w:tr>
      <w:tr w:rsidR="008E3F15">
        <w:trPr>
          <w:trHeight w:val="570"/>
        </w:trPr>
        <w:tc>
          <w:tcPr>
            <w:tcW w:w="28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Цирроз печени</w:t>
            </w:r>
          </w:p>
        </w:tc>
        <w:tc>
          <w:tcPr>
            <w:tcW w:w="42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Неселективные β-адреноблокаторы, блокаторы кальциевых каналов</w:t>
            </w:r>
          </w:p>
        </w:tc>
        <w:tc>
          <w:tcPr>
            <w:tcW w:w="33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Амиодарон, ранолазин, антикоагулянты</w:t>
            </w:r>
          </w:p>
        </w:tc>
      </w:tr>
    </w:tbl>
    <w:p w:rsidR="008E3F15" w:rsidRDefault="005F449A">
      <w:pPr>
        <w:pStyle w:val="Heading1"/>
        <w:ind w:left="2"/>
      </w:pPr>
      <w:r>
        <w:t>Часть I. Сердечно-сосудистые болезни</w:t>
      </w:r>
    </w:p>
    <w:p w:rsidR="008E3F15" w:rsidRDefault="005F449A">
      <w:pPr>
        <w:spacing w:after="179"/>
        <w:ind w:left="2" w:right="6488"/>
      </w:pPr>
      <w:r>
        <w:t xml:space="preserve">Глава 5. Экстрасистолы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67808" behindDoc="0" locked="0" layoutInCell="1" allowOverlap="1">
                <wp:simplePos x="0" y="0"/>
                <wp:positionH relativeFrom="column">
                  <wp:posOffset>214164</wp:posOffset>
                </wp:positionH>
                <wp:positionV relativeFrom="paragraph">
                  <wp:posOffset>34826</wp:posOffset>
                </wp:positionV>
                <wp:extent cx="57150" cy="666750"/>
                <wp:effectExtent l="0" t="0" r="0" b="0"/>
                <wp:wrapSquare wrapText="bothSides"/>
                <wp:docPr id="282927" name="Group 28292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9042" name="Shape 9042"/>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44" name="Shape 9044"/>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46" name="Shape 9046"/>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48" name="Shape 9048"/>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50" name="Shape 9050"/>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1013"/>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1013"/>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2927" style="width:4.5pt;height:52.5pt;position:absolute;mso-position-horizontal-relative:text;mso-position-horizontal:absolute;margin-left:16.8633pt;mso-position-vertical-relative:text;margin-top:2.74219pt;" coordsize="571,6667">
                <v:shape id="Shape 9042" style="position:absolute;width:571;height:571;left:0;top:0;" coordsize="57150,57150" path="m28575,0c32364,0,36009,744,39510,2133c43011,3572,46101,5655,48781,8334c51460,11013,53525,14139,54975,17611c56425,21134,57150,24755,57150,28575c57150,32296,56425,35917,54975,39439c53525,42912,51460,45988,48781,48716c46101,51346,43011,53429,39510,54918c36009,56307,32364,57051,28575,57150c24786,57051,21141,56307,17640,54918c14139,53429,11049,51346,8369,48716c5690,45988,3625,42912,2175,39439c725,35917,0,32296,0,28575c0,24755,725,21134,2175,17611c3625,14139,5690,11013,8369,8334c11049,5655,14139,3572,17640,2133c21141,744,24786,0,28575,0x">
                  <v:stroke weight="0pt" endcap="flat" joinstyle="miter" miterlimit="4" on="false" color="#000000" opacity="0"/>
                  <v:fill on="true" color="#333333"/>
                </v:shape>
                <v:shape id="Shape 9044" style="position:absolute;width:571;height:571;left:0;top:1524;" coordsize="57150,57150" path="m28575,0c32364,0,36009,744,39510,2133c43011,3572,46101,5655,48781,8334c51460,11013,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1013,8369,8334c11049,5655,14139,3572,17640,2133c21141,744,24786,0,28575,0x">
                  <v:stroke weight="0pt" endcap="flat" joinstyle="miter" miterlimit="4" on="false" color="#000000" opacity="0"/>
                  <v:fill on="true" color="#333333"/>
                </v:shape>
                <v:shape id="Shape 9046" style="position:absolute;width:571;height:571;left:0;top:3048;" coordsize="57150,57150" path="m28575,0c32364,0,36009,645,39510,2084c43011,3572,46101,5655,48781,8334c51460,11013,53525,14039,54975,17562c56425,21034,57150,24755,57150,28575c57150,32296,56425,35917,54975,39439c53525,42912,51460,45988,48781,48716c46101,51346,43011,53429,39510,54818c36009,56307,32364,57051,28575,57150c24786,57051,21141,56307,17640,54818c14139,53429,11049,51346,8369,48716c5690,45988,3625,42912,2175,39439c725,35917,0,32296,0,28575c0,24755,725,21034,2175,17562c3625,14039,5690,11013,8369,8334c11049,5655,14139,3572,17640,2084c21141,645,24786,0,28575,0x">
                  <v:stroke weight="0pt" endcap="flat" joinstyle="miter" miterlimit="4" on="false" color="#000000" opacity="0"/>
                  <v:fill on="true" color="#333333"/>
                </v:shape>
                <v:shape id="Shape 9048" style="position:absolute;width:571;height:571;left:0;top:4572;" coordsize="57150,57150" path="m28575,0c32364,0,36009,645,39510,2084c43011,3572,46101,5655,48781,8334c51460,11013,53525,14039,54975,17562c56425,21034,57150,24755,57150,28575c57150,32296,56425,35868,54975,39340c53525,42863,51460,45988,48781,48716c46101,51346,43011,53429,39510,54818c36009,56307,32364,57051,28575,57150c24786,57051,21141,56307,17640,54818c14139,53429,11049,51346,8369,48716c5690,45988,3625,42863,2175,39340c725,35868,0,32296,0,28575c0,24755,725,21034,2175,17562c3625,14039,5690,11013,8369,8334c11049,5655,14139,3572,17640,2084c21141,645,24786,0,28575,0x">
                  <v:stroke weight="0pt" endcap="flat" joinstyle="miter" miterlimit="4" on="false" color="#000000" opacity="0"/>
                  <v:fill on="true" color="#333333"/>
                </v:shape>
                <v:shape id="Shape 9050" style="position:absolute;width:571;height:571;left:0;top:6096;" coordsize="57150,57150" path="m28575,0c32364,0,36009,645,39510,2084c43011,3473,46101,5556,48781,8334c51460,11013,53525,14039,54975,17562c56425,21034,57150,24755,57150,28575c57150,32296,56425,35868,54975,39340c53525,42863,51460,45988,48781,48716c46101,51346,43011,53429,39510,54818c36009,56257,32364,57051,28575,57150c24786,57051,21141,56257,17640,54818c14139,53429,11049,51346,8369,48716c5690,45988,3625,42863,2175,39340c725,35868,0,32296,0,28575c0,24755,725,21034,2175,17562c3625,14039,5690,11013,8369,8334c11049,5556,14139,3473,17640,2084c21141,645,24786,0,28575,0x">
                  <v:stroke weight="0pt" endcap="flat" joinstyle="miter" miterlimit="4" on="false" color="#000000" opacity="0"/>
                  <v:fill on="true" color="#333333"/>
                </v:shape>
                <w10:wrap type="square"/>
              </v:group>
            </w:pict>
          </mc:Fallback>
        </mc:AlternateContent>
      </w:r>
      <w:r>
        <w:t>ЭКГ.</w:t>
      </w:r>
    </w:p>
    <w:p w:rsidR="008E3F15" w:rsidRDefault="005F449A">
      <w:pPr>
        <w:spacing w:after="31"/>
        <w:ind w:left="347" w:right="15"/>
      </w:pPr>
      <w:r>
        <w:t>Мониторирование ЭКГ.</w:t>
      </w:r>
    </w:p>
    <w:p w:rsidR="008E3F15" w:rsidRDefault="005F449A">
      <w:pPr>
        <w:spacing w:after="31"/>
        <w:ind w:left="347" w:right="15"/>
      </w:pPr>
      <w:r>
        <w:t>Эхокардиография, мониторинг при частых желудочковых ЭС.</w:t>
      </w:r>
    </w:p>
    <w:p w:rsidR="008E3F15" w:rsidRDefault="005F449A">
      <w:pPr>
        <w:spacing w:after="179"/>
        <w:ind w:left="347" w:right="344"/>
      </w:pPr>
      <w:r>
        <w:t>Подозрение на коронарную болезнь: КТ-ангиография, визуальный стресс-тест. Оценка психического состояния (тревоги).</w:t>
      </w:r>
    </w:p>
    <w:p w:rsidR="008E3F15" w:rsidRDefault="005F449A">
      <w:pPr>
        <w:pStyle w:val="Heading2"/>
        <w:ind w:left="2"/>
      </w:pPr>
      <w:r>
        <w:t>Лечение</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68832" behindDoc="0" locked="0" layoutInCell="1" allowOverlap="1">
                <wp:simplePos x="0" y="0"/>
                <wp:positionH relativeFrom="column">
                  <wp:posOffset>214164</wp:posOffset>
                </wp:positionH>
                <wp:positionV relativeFrom="paragraph">
                  <wp:posOffset>34826</wp:posOffset>
                </wp:positionV>
                <wp:extent cx="57150" cy="819150"/>
                <wp:effectExtent l="0" t="0" r="0" b="0"/>
                <wp:wrapSquare wrapText="bothSides"/>
                <wp:docPr id="282929" name="Group 282929"/>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9053" name="Shape 9053"/>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56" name="Shape 9056"/>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58" name="Shape 9058"/>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60" name="Shape 9060"/>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62" name="Shape 9062"/>
                        <wps:cNvSpPr/>
                        <wps:spPr>
                          <a:xfrm>
                            <a:off x="0" y="7620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2929" style="width:4.5pt;height:64.5pt;position:absolute;mso-position-horizontal-relative:text;mso-position-horizontal:absolute;margin-left:16.8633pt;mso-position-vertical-relative:text;margin-top:2.74219pt;" coordsize="571,8191">
                <v:shape id="Shape 9053" style="position:absolute;width:571;height:571;left:0;top:0;" coordsize="57150,57150" path="m28575,0c32364,0,36009,645,39510,2084c43011,3473,46101,5556,48781,8334c51460,10914,53525,14039,54975,17562c56425,21034,57150,24755,57150,28575c57150,32345,56425,35917,54975,39439c53525,42912,51460,45988,48781,48716c46101,51346,43011,53429,39510,54918c36009,56307,32364,57051,28575,57150c24786,57051,21141,56307,17640,54918c14139,53429,11049,51346,8369,48716c5690,45988,3625,42912,2175,39439c725,35917,0,32345,0,28575c0,24755,725,21034,2175,17562c3625,14039,5690,10914,8369,8334c11049,5556,14139,3473,17640,2084c21141,645,24786,0,28575,0x">
                  <v:stroke weight="0pt" endcap="flat" joinstyle="miter" miterlimit="4" on="false" color="#000000" opacity="0"/>
                  <v:fill on="true" color="#333333"/>
                </v:shape>
                <v:shape id="Shape 9056" style="position:absolute;width:571;height:571;left:0;top:3048;" coordsize="57150,57150" path="m28575,0c32364,0,36009,645,39510,2084c43011,3473,46101,5556,48781,8334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334c11049,5556,14139,3473,17640,2084c21141,645,24786,0,28575,0x">
                  <v:stroke weight="0pt" endcap="flat" joinstyle="miter" miterlimit="4" on="false" color="#000000" opacity="0"/>
                  <v:fill on="true" color="#333333"/>
                </v:shape>
                <v:shape id="Shape 9058" style="position:absolute;width:571;height:571;left:0;top:4572;" coordsize="57150,57150" path="m28575,0c32364,0,36009,645,39510,2084c43011,3473,46101,5556,48781,8235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235c11049,5556,14139,3473,17640,2084c21141,645,24786,0,28575,0x">
                  <v:stroke weight="0pt" endcap="flat" joinstyle="miter" miterlimit="4" on="false" color="#000000" opacity="0"/>
                  <v:fill on="true" color="#333333"/>
                </v:shape>
                <v:shape id="Shape 9060" style="position:absolute;width:571;height:571;left:0;top:6096;" coordsize="57150,57150" path="m28575,0c32364,0,36009,645,39510,2084c43011,3473,46101,5556,48781,8235c51460,10914,53525,14039,54975,17562c56425,21034,57150,24755,57150,28575c57150,32296,56425,35917,54975,39439c53525,42912,51460,45988,48781,48716c46101,51346,43011,53429,39510,54818c36009,56257,32364,57051,28575,57150c24786,57051,21141,56257,17640,54818c14139,53429,11049,51346,8369,48716c5690,45988,3625,42912,2175,39439c725,35917,0,32296,0,28575c0,24755,725,21034,2175,17562c3625,14039,5690,10914,8369,8235c11049,5556,14139,3473,17640,2084c21141,645,24786,0,28575,0x">
                  <v:stroke weight="0pt" endcap="flat" joinstyle="miter" miterlimit="4" on="false" color="#000000" opacity="0"/>
                  <v:fill on="true" color="#333333"/>
                </v:shape>
                <v:shape id="Shape 9062" style="position:absolute;width:571;height:571;left:0;top:7620;" coordsize="57150,57150" path="m28575,0c32364,0,36009,645,39510,2084c43011,3473,46101,5556,48781,8235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235c11049,5556,14139,3473,17640,2084c21141,645,24786,0,28575,0x">
                  <v:stroke weight="0pt" endcap="flat" joinstyle="miter" miterlimit="4" on="false" color="#000000" opacity="0"/>
                  <v:fill on="true" color="#333333"/>
                </v:shape>
                <w10:wrap type="square"/>
              </v:group>
            </w:pict>
          </mc:Fallback>
        </mc:AlternateContent>
      </w:r>
      <w:r>
        <w:t>Лечение основного заболевания: ишемия мио карда, дисфункция левого желудочка, гипоксемия, электролитные нарушения.</w:t>
      </w:r>
    </w:p>
    <w:p w:rsidR="008E3F15" w:rsidRDefault="005F449A">
      <w:pPr>
        <w:spacing w:after="31"/>
        <w:ind w:left="347" w:right="15"/>
      </w:pPr>
      <w:r>
        <w:t xml:space="preserve">Антиаритмические </w:t>
      </w:r>
      <w:r>
        <w:t>препараты.</w:t>
      </w:r>
    </w:p>
    <w:p w:rsidR="008E3F15" w:rsidRDefault="005F449A">
      <w:pPr>
        <w:spacing w:after="31"/>
        <w:ind w:left="347" w:right="15"/>
      </w:pPr>
      <w:r>
        <w:t>Катетерная абляция.</w:t>
      </w:r>
    </w:p>
    <w:p w:rsidR="008E3F15" w:rsidRDefault="005F449A">
      <w:pPr>
        <w:spacing w:after="31"/>
        <w:ind w:left="347" w:right="15"/>
      </w:pPr>
      <w:r>
        <w:t>Когнитивно-поведенческая терапия.</w:t>
      </w:r>
    </w:p>
    <w:p w:rsidR="008E3F15" w:rsidRDefault="005F449A">
      <w:pPr>
        <w:spacing w:after="345"/>
        <w:ind w:left="347" w:right="15"/>
      </w:pPr>
      <w:r>
        <w:t>Противотревожные препараты: антидепрессанты, транквилизаторы.</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spacing w:after="165"/>
        <w:ind w:left="2" w:right="15"/>
      </w:pPr>
      <w:r>
        <w:t>Причинами или триггерами ЭС могут быть различные заболевания и состояния.</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69856" behindDoc="0" locked="0" layoutInCell="1" allowOverlap="1">
                <wp:simplePos x="0" y="0"/>
                <wp:positionH relativeFrom="column">
                  <wp:posOffset>214164</wp:posOffset>
                </wp:positionH>
                <wp:positionV relativeFrom="paragraph">
                  <wp:posOffset>34826</wp:posOffset>
                </wp:positionV>
                <wp:extent cx="57150" cy="1276350"/>
                <wp:effectExtent l="0" t="0" r="0" b="0"/>
                <wp:wrapSquare wrapText="bothSides"/>
                <wp:docPr id="282930" name="Group 282930"/>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9067" name="Shape 9067"/>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3990"/>
                                  <a:pt x="54975" y="17463"/>
                                </a:cubicBezTo>
                                <a:cubicBezTo>
                                  <a:pt x="56425" y="20985"/>
                                  <a:pt x="57150" y="24705"/>
                                  <a:pt x="57150" y="28575"/>
                                </a:cubicBezTo>
                                <a:cubicBezTo>
                                  <a:pt x="57150" y="32296"/>
                                  <a:pt x="56425" y="35868"/>
                                  <a:pt x="54975" y="39340"/>
                                </a:cubicBezTo>
                                <a:cubicBezTo>
                                  <a:pt x="53525" y="42863"/>
                                  <a:pt x="51460" y="45889"/>
                                  <a:pt x="48781" y="48667"/>
                                </a:cubicBezTo>
                                <a:cubicBezTo>
                                  <a:pt x="46101" y="51246"/>
                                  <a:pt x="43011" y="53330"/>
                                  <a:pt x="39510" y="54769"/>
                                </a:cubicBezTo>
                                <a:cubicBezTo>
                                  <a:pt x="36009" y="56307"/>
                                  <a:pt x="32364" y="57051"/>
                                  <a:pt x="28575" y="57150"/>
                                </a:cubicBezTo>
                                <a:cubicBezTo>
                                  <a:pt x="24786" y="57051"/>
                                  <a:pt x="21141" y="56307"/>
                                  <a:pt x="17640" y="54769"/>
                                </a:cubicBezTo>
                                <a:cubicBezTo>
                                  <a:pt x="14139" y="53330"/>
                                  <a:pt x="11049" y="51246"/>
                                  <a:pt x="8369" y="48667"/>
                                </a:cubicBezTo>
                                <a:cubicBezTo>
                                  <a:pt x="5690" y="45889"/>
                                  <a:pt x="3625" y="42863"/>
                                  <a:pt x="2175" y="39340"/>
                                </a:cubicBezTo>
                                <a:cubicBezTo>
                                  <a:pt x="725" y="35868"/>
                                  <a:pt x="0" y="32296"/>
                                  <a:pt x="0" y="28575"/>
                                </a:cubicBezTo>
                                <a:cubicBezTo>
                                  <a:pt x="0" y="24705"/>
                                  <a:pt x="725" y="20985"/>
                                  <a:pt x="2175" y="17463"/>
                                </a:cubicBezTo>
                                <a:cubicBezTo>
                                  <a:pt x="3625" y="13990"/>
                                  <a:pt x="5690" y="10914"/>
                                  <a:pt x="8369" y="8334"/>
                                </a:cubicBezTo>
                                <a:cubicBezTo>
                                  <a:pt x="11049" y="5655"/>
                                  <a:pt x="14139" y="3572"/>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70" name="Shape 9070"/>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72" name="Shape 9072"/>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86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864"/>
                                  <a:pt x="8369" y="8235"/>
                                </a:cubicBezTo>
                                <a:cubicBezTo>
                                  <a:pt x="11049" y="5507"/>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74" name="Shape 9074"/>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864"/>
                                  <a:pt x="53525" y="13990"/>
                                  <a:pt x="54975" y="17463"/>
                                </a:cubicBezTo>
                                <a:cubicBezTo>
                                  <a:pt x="56425" y="20985"/>
                                  <a:pt x="57150" y="2470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05"/>
                                  <a:pt x="725" y="20985"/>
                                  <a:pt x="2175" y="17463"/>
                                </a:cubicBezTo>
                                <a:cubicBezTo>
                                  <a:pt x="3625" y="13990"/>
                                  <a:pt x="5690" y="10864"/>
                                  <a:pt x="8369" y="8235"/>
                                </a:cubicBezTo>
                                <a:cubicBezTo>
                                  <a:pt x="11049" y="5507"/>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76" name="Shape 9076"/>
                        <wps:cNvSpPr/>
                        <wps:spPr>
                          <a:xfrm>
                            <a:off x="0" y="7620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79" name="Shape 9079"/>
                        <wps:cNvSpPr/>
                        <wps:spPr>
                          <a:xfrm>
                            <a:off x="0" y="1066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081" name="Shape 9081"/>
                        <wps:cNvSpPr/>
                        <wps:spPr>
                          <a:xfrm>
                            <a:off x="0" y="12192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868"/>
                                  <a:pt x="0" y="32296"/>
                                  <a:pt x="0" y="28575"/>
                                </a:cubicBezTo>
                                <a:cubicBezTo>
                                  <a:pt x="0" y="2475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2930" style="width:4.5pt;height:100.5pt;position:absolute;mso-position-horizontal-relative:text;mso-position-horizontal:absolute;margin-left:16.8633pt;mso-position-vertical-relative:text;margin-top:2.74219pt;" coordsize="571,12763">
                <v:shape id="Shape 9067" style="position:absolute;width:571;height:571;left:0;top:0;" coordsize="57150,57150" path="m28575,0c32364,0,36009,645,39510,2084c43011,3572,46101,5655,48781,8334c51460,10914,53525,13990,54975,17463c56425,20985,57150,24705,57150,28575c57150,32296,56425,35868,54975,39340c53525,42863,51460,45889,48781,48667c46101,51246,43011,53330,39510,54769c36009,56307,32364,57051,28575,57150c24786,57051,21141,56307,17640,54769c14139,53330,11049,51246,8369,48667c5690,45889,3625,42863,2175,39340c725,35868,0,32296,0,28575c0,24705,725,20985,2175,17463c3625,13990,5690,10914,8369,8334c11049,5655,14139,3572,17640,2084c21141,645,24786,0,28575,0x">
                  <v:stroke weight="0pt" endcap="flat" joinstyle="miter" miterlimit="4" on="false" color="#000000" opacity="0"/>
                  <v:fill on="true" color="#333333"/>
                </v:shape>
                <v:shape id="Shape 9070" style="position:absolute;width:571;height:571;left:0;top:3048;" coordsize="57150,57150" path="m28575,0c32364,0,36009,645,39510,2084c43011,3473,46101,5556,48781,8334c51460,10914,53525,13990,54975,17463c56425,20985,57150,24705,57150,28575c57150,32345,56425,35917,54975,39439c53525,42912,51460,46038,48781,48716c46101,51346,43011,53429,39510,54818c36009,56406,32364,57150,28575,57150c24786,57150,21141,56406,17640,54818c14139,53429,11049,51346,8369,48716c5690,46038,3625,42912,2175,39439c725,35917,0,32345,0,28575c0,24705,725,20985,2175,17463c3625,13990,5690,10914,8369,8334c11049,5556,14139,3473,17640,2084c21141,645,24786,0,28575,0x">
                  <v:stroke weight="0pt" endcap="flat" joinstyle="miter" miterlimit="4" on="false" color="#000000" opacity="0"/>
                  <v:fill on="true" color="#333333"/>
                </v:shape>
                <v:shape id="Shape 9072" style="position:absolute;width:571;height:571;left:0;top:4572;" coordsize="57150,57150" path="m28575,0c32364,0,36009,645,39510,2084c43011,3473,46101,5507,48781,8235c51460,10864,53525,13990,54975,17463c56425,20985,57150,24705,57150,28575c57150,32345,56425,35917,54975,39439c53525,42912,51460,46038,48781,48716c46101,51395,43011,53479,39510,54918c36009,56307,32364,57051,28575,57150c24786,57051,21141,56307,17640,54918c14139,53479,11049,51395,8369,48716c5690,46038,3625,42912,2175,39439c725,35917,0,32345,0,28575c0,24705,725,20985,2175,17463c3625,13990,5690,10864,8369,8235c11049,5507,14139,3473,17640,2084c21141,645,24786,0,28575,0x">
                  <v:stroke weight="0pt" endcap="flat" joinstyle="miter" miterlimit="4" on="false" color="#000000" opacity="0"/>
                  <v:fill on="true" color="#333333"/>
                </v:shape>
                <v:shape id="Shape 9074" style="position:absolute;width:571;height:571;left:0;top:6096;" coordsize="57150,57150" path="m28575,0c32364,0,36009,645,39510,2084c43011,3473,46101,5507,48781,8235c51460,10864,53525,13990,54975,17463c56425,20985,57150,24705,57150,28575c57150,32345,56425,35917,54975,39340c53525,42863,51460,45988,48781,48716c46101,51346,43011,53429,39510,54818c36009,56307,32364,57051,28575,57150c24786,57051,21141,56307,17640,54818c14139,53429,11049,51346,8369,48716c5690,45988,3625,42863,2175,39340c725,35917,0,32345,0,28575c0,24705,725,20985,2175,17463c3625,13990,5690,10864,8369,8235c11049,5507,14139,3473,17640,2084c21141,645,24786,0,28575,0x">
                  <v:stroke weight="0pt" endcap="flat" joinstyle="miter" miterlimit="4" on="false" color="#000000" opacity="0"/>
                  <v:fill on="true" color="#333333"/>
                </v:shape>
                <v:shape id="Shape 9076" style="position:absolute;width:571;height:571;left:0;top:7620;" coordsize="57150,57150" path="m28575,0c32364,0,36009,645,39510,2084c43011,3473,46101,5556,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556,14139,3473,17640,2084c21141,645,24786,0,28575,0x">
                  <v:stroke weight="0pt" endcap="flat" joinstyle="miter" miterlimit="4" on="false" color="#000000" opacity="0"/>
                  <v:fill on="true" color="#333333"/>
                </v:shape>
                <v:shape id="Shape 9079" style="position:absolute;width:571;height:571;left:0;top:10668;" coordsize="57150,57150" path="m28575,0c32364,0,36009,645,39510,2084c43011,3473,46101,5556,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556,14139,3473,17640,2084c21141,645,24786,0,28575,0x">
                  <v:stroke weight="0pt" endcap="flat" joinstyle="miter" miterlimit="4" on="false" color="#000000" opacity="0"/>
                  <v:fill on="true" color="#333333"/>
                </v:shape>
                <v:shape id="Shape 9081" style="position:absolute;width:571;height:571;left:0;top:12192;" coordsize="57150,57150" path="m28575,0c32364,0,36009,744,39510,2133c43011,3572,46101,5655,48781,8334c51460,10914,53525,14039,54975,17562c56425,21034,57150,24755,57150,28575c57150,32296,56425,35868,54975,39340c53525,42863,51460,45988,48781,48716c46101,51346,43011,53429,39510,54818c36009,56307,32364,57051,28575,57150c24786,57051,21141,56307,17640,54818c14139,53429,11049,51346,8369,48716c5690,45988,3625,42863,2175,39340c725,35868,0,32296,0,28575c0,24755,725,21034,2175,17562c3625,14039,5690,10914,8369,8334c11049,5655,14139,3572,17640,2133c21141,744,24786,0,28575,0x">
                  <v:stroke weight="0pt" endcap="flat" joinstyle="miter" miterlimit="4" on="false" color="#000000" opacity="0"/>
                  <v:fill on="true" color="#333333"/>
                </v:shape>
                <w10:wrap type="square"/>
              </v:group>
            </w:pict>
          </mc:Fallback>
        </mc:AlternateContent>
      </w:r>
      <w:r>
        <w:t>Поражения мио карда: коронарные синдромы, кардиомиопатии, болезни клапанов сердца, мио кардит, легочное сердце, травма, операция, опухоль.</w:t>
      </w:r>
    </w:p>
    <w:p w:rsidR="008E3F15" w:rsidRDefault="005F449A">
      <w:pPr>
        <w:spacing w:after="31"/>
        <w:ind w:left="347" w:right="15"/>
      </w:pPr>
      <w:r>
        <w:t>Гипоксия: респираторные болезни, СН, анеми</w:t>
      </w:r>
      <w:r>
        <w:t>я.</w:t>
      </w:r>
    </w:p>
    <w:p w:rsidR="008E3F15" w:rsidRDefault="005F449A">
      <w:pPr>
        <w:spacing w:after="31"/>
        <w:ind w:left="347" w:right="15"/>
      </w:pPr>
      <w:r>
        <w:t>Эндокринные болезни: СД, гипертиреоз.</w:t>
      </w:r>
    </w:p>
    <w:p w:rsidR="008E3F15" w:rsidRDefault="005F449A">
      <w:pPr>
        <w:ind w:left="347" w:right="15"/>
      </w:pPr>
      <w:r>
        <w:t>Лекарства: антиаритмические препараты, дигоксин, симпатомиметики, теофиллин. Метаболические расстройства: гипокалиемия, гипомагниемия, почечная недостаточность, алкоголь, никотин, кофеин.</w:t>
      </w:r>
    </w:p>
    <w:p w:rsidR="008E3F15" w:rsidRDefault="005F449A">
      <w:pPr>
        <w:spacing w:after="359"/>
        <w:ind w:left="347" w:right="15"/>
      </w:pPr>
      <w:r>
        <w:t>Другие причины: вегетативны</w:t>
      </w:r>
      <w:r>
        <w:t>е дисфункции, рефлексы, дисфункция синусового узла. Идиопатические.</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ind w:left="2" w:right="15"/>
      </w:pPr>
      <w:r>
        <w:t xml:space="preserve">Классификация ЭС и примеры оформления диагноза представлены в </w:t>
      </w:r>
      <w:r>
        <w:rPr>
          <w:b/>
        </w:rPr>
        <w:t>табл. 5.1</w:t>
      </w:r>
      <w:r>
        <w:t xml:space="preserve"> и </w:t>
      </w:r>
      <w:r>
        <w:rPr>
          <w:b/>
        </w:rPr>
        <w:t>5.2</w:t>
      </w:r>
      <w:r>
        <w:t>. Среди идиопатических форм следует отметить частую локализа</w:t>
      </w:r>
      <w:r>
        <w:t>цию очагов в выводном тракте правого желудочка (</w:t>
      </w:r>
      <w:r>
        <w:rPr>
          <w:b/>
        </w:rPr>
        <w:t>рис. 5.1</w:t>
      </w:r>
      <w:r>
        <w:t>).</w:t>
      </w:r>
    </w:p>
    <w:p w:rsidR="008E3F15" w:rsidRDefault="005F449A">
      <w:pPr>
        <w:spacing w:after="31"/>
        <w:ind w:left="2" w:right="15"/>
      </w:pPr>
      <w:r>
        <w:rPr>
          <w:b/>
        </w:rPr>
        <w:t xml:space="preserve">Таблица 5.1. </w:t>
      </w:r>
      <w:r>
        <w:t>Классификация экстрасистол</w:t>
      </w:r>
    </w:p>
    <w:tbl>
      <w:tblPr>
        <w:tblStyle w:val="TableGrid"/>
        <w:tblW w:w="8775" w:type="dxa"/>
        <w:tblInd w:w="37" w:type="dxa"/>
        <w:tblCellMar>
          <w:top w:w="58" w:type="dxa"/>
          <w:left w:w="45" w:type="dxa"/>
          <w:bottom w:w="0" w:type="dxa"/>
          <w:right w:w="40" w:type="dxa"/>
        </w:tblCellMar>
        <w:tblLook w:val="04A0" w:firstRow="1" w:lastRow="0" w:firstColumn="1" w:lastColumn="0" w:noHBand="0" w:noVBand="1"/>
      </w:tblPr>
      <w:tblGrid>
        <w:gridCol w:w="1530"/>
        <w:gridCol w:w="7245"/>
      </w:tblGrid>
      <w:tr w:rsidR="008E3F15">
        <w:trPr>
          <w:trHeight w:val="308"/>
        </w:trPr>
        <w:tc>
          <w:tcPr>
            <w:tcW w:w="153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rPr>
                <w:b/>
              </w:rPr>
              <w:t>Признак</w:t>
            </w:r>
          </w:p>
        </w:tc>
        <w:tc>
          <w:tcPr>
            <w:tcW w:w="724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rPr>
                <w:b/>
              </w:rPr>
              <w:t>Характеристика</w:t>
            </w:r>
          </w:p>
        </w:tc>
      </w:tr>
      <w:tr w:rsidR="008E3F15">
        <w:trPr>
          <w:trHeight w:val="375"/>
        </w:trPr>
        <w:tc>
          <w:tcPr>
            <w:tcW w:w="8775" w:type="dxa"/>
            <w:gridSpan w:val="2"/>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Локализация Синусовые, предсердные, атриовентрикулярные, желудочковые</w:t>
            </w:r>
          </w:p>
        </w:tc>
      </w:tr>
      <w:tr w:rsidR="008E3F15">
        <w:trPr>
          <w:trHeight w:val="308"/>
        </w:trPr>
        <w:tc>
          <w:tcPr>
            <w:tcW w:w="153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Частота</w:t>
            </w:r>
          </w:p>
        </w:tc>
        <w:tc>
          <w:tcPr>
            <w:tcW w:w="72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Редкие (до 10/ч), средней частоты (10–30/ч), частые (&gt;30/ч)</w:t>
            </w:r>
          </w:p>
        </w:tc>
      </w:tr>
      <w:tr w:rsidR="008E3F15">
        <w:trPr>
          <w:trHeight w:val="330"/>
        </w:trPr>
        <w:tc>
          <w:tcPr>
            <w:tcW w:w="153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Плотность</w:t>
            </w:r>
          </w:p>
        </w:tc>
        <w:tc>
          <w:tcPr>
            <w:tcW w:w="72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Единичные, парные</w:t>
            </w:r>
          </w:p>
        </w:tc>
      </w:tr>
      <w:tr w:rsidR="008E3F15">
        <w:trPr>
          <w:trHeight w:val="330"/>
        </w:trPr>
        <w:tc>
          <w:tcPr>
            <w:tcW w:w="1530" w:type="dxa"/>
            <w:vMerge w:val="restart"/>
            <w:tcBorders>
              <w:top w:val="single" w:sz="6" w:space="0" w:color="000000"/>
              <w:left w:val="single" w:sz="6" w:space="0" w:color="000000"/>
              <w:bottom w:val="single" w:sz="6" w:space="0" w:color="000000"/>
              <w:right w:val="nil"/>
            </w:tcBorders>
          </w:tcPr>
          <w:p w:rsidR="008E3F15" w:rsidRDefault="005F449A">
            <w:pPr>
              <w:spacing w:after="0" w:line="247" w:lineRule="auto"/>
              <w:ind w:left="0" w:right="0" w:firstLine="0"/>
            </w:pPr>
            <w:r>
              <w:rPr>
                <w:bdr w:val="single" w:sz="12" w:space="0" w:color="000000"/>
              </w:rPr>
              <w:t>Морфология Кардиоцикл</w:t>
            </w:r>
          </w:p>
          <w:p w:rsidR="008E3F15" w:rsidRDefault="005F449A">
            <w:pPr>
              <w:spacing w:after="0" w:line="259" w:lineRule="auto"/>
              <w:ind w:left="0" w:right="0" w:firstLine="0"/>
              <w:jc w:val="both"/>
            </w:pPr>
            <w:r>
              <w:rPr>
                <w:bdr w:val="single" w:sz="12" w:space="0" w:color="000000"/>
              </w:rPr>
              <w:t>Ритмичность</w:t>
            </w:r>
          </w:p>
        </w:tc>
        <w:tc>
          <w:tcPr>
            <w:tcW w:w="72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Мономорфные, полиморфные</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72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Ранние (R/T), поздние (во второй половине кардиоцикла)</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72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Периодические (бигимения, тригимения), непериодические</w:t>
            </w:r>
          </w:p>
        </w:tc>
      </w:tr>
    </w:tbl>
    <w:p w:rsidR="008E3F15" w:rsidRDefault="005F449A">
      <w:pPr>
        <w:spacing w:after="31"/>
        <w:ind w:left="2" w:right="15"/>
      </w:pPr>
      <w:r>
        <w:rPr>
          <w:b/>
        </w:rPr>
        <w:t xml:space="preserve">Таблица 5.2. </w:t>
      </w:r>
      <w:r>
        <w:t>Примеры оформления диагноза</w:t>
      </w:r>
    </w:p>
    <w:tbl>
      <w:tblPr>
        <w:tblStyle w:val="TableGrid"/>
        <w:tblW w:w="10485" w:type="dxa"/>
        <w:tblInd w:w="37" w:type="dxa"/>
        <w:tblCellMar>
          <w:top w:w="58" w:type="dxa"/>
          <w:left w:w="40" w:type="dxa"/>
          <w:bottom w:w="0" w:type="dxa"/>
          <w:right w:w="115" w:type="dxa"/>
        </w:tblCellMar>
        <w:tblLook w:val="04A0" w:firstRow="1" w:lastRow="0" w:firstColumn="1" w:lastColumn="0" w:noHBand="0" w:noVBand="1"/>
      </w:tblPr>
      <w:tblGrid>
        <w:gridCol w:w="9150"/>
        <w:gridCol w:w="1335"/>
      </w:tblGrid>
      <w:tr w:rsidR="008E3F15">
        <w:trPr>
          <w:trHeight w:val="548"/>
        </w:trPr>
        <w:tc>
          <w:tcPr>
            <w:tcW w:w="915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5" w:right="0" w:firstLine="0"/>
            </w:pPr>
            <w:r>
              <w:rPr>
                <w:b/>
              </w:rPr>
              <w:t>Диагноз</w:t>
            </w:r>
          </w:p>
        </w:tc>
        <w:tc>
          <w:tcPr>
            <w:tcW w:w="133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6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548"/>
        </w:trPr>
        <w:tc>
          <w:tcPr>
            <w:tcW w:w="91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Желудочковые экстрасистолы из выводного тракта правого желудочка, мономорфная, 14 240/сут</w:t>
            </w:r>
          </w:p>
        </w:tc>
        <w:tc>
          <w:tcPr>
            <w:tcW w:w="133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I49.3</w:t>
            </w:r>
          </w:p>
        </w:tc>
      </w:tr>
      <w:tr w:rsidR="008E3F15">
        <w:trPr>
          <w:trHeight w:val="570"/>
        </w:trPr>
        <w:tc>
          <w:tcPr>
            <w:tcW w:w="9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Гипертоническая болезнь. ХСН с сохраненной ФВЛЖ, NYHA II. Полиморфные желудочковые экстрасистолы, 250/ч</w:t>
            </w:r>
          </w:p>
        </w:tc>
        <w:tc>
          <w:tcPr>
            <w:tcW w:w="13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I11.0</w:t>
            </w:r>
          </w:p>
        </w:tc>
      </w:tr>
      <w:tr w:rsidR="008E3F15">
        <w:trPr>
          <w:trHeight w:val="570"/>
        </w:trPr>
        <w:tc>
          <w:tcPr>
            <w:tcW w:w="9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Генерализованное тревожное расстройство. Предсердные экстрасистолы редкие.</w:t>
            </w:r>
          </w:p>
        </w:tc>
        <w:tc>
          <w:tcPr>
            <w:tcW w:w="13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F41.1</w:t>
            </w:r>
          </w:p>
        </w:tc>
      </w:tr>
    </w:tbl>
    <w:p w:rsidR="008E3F15" w:rsidRDefault="005F449A">
      <w:pPr>
        <w:ind w:left="2" w:right="296"/>
      </w:pPr>
      <w:r>
        <w:t>Устаревшие и невалидизированные градации рисков внезапной смерти у пациентов с ЭС не следует применять и тем более использовать для принятия клинических решений.</w:t>
      </w:r>
    </w:p>
    <w:p w:rsidR="008E3F15" w:rsidRDefault="005F449A">
      <w:pPr>
        <w:spacing w:after="65" w:line="259" w:lineRule="auto"/>
        <w:ind w:left="7" w:right="0" w:firstLine="0"/>
      </w:pPr>
      <w:r>
        <w:rPr>
          <w:noProof/>
        </w:rPr>
        <w:drawing>
          <wp:inline distT="0" distB="0" distL="0" distR="0">
            <wp:extent cx="5057775" cy="5181600"/>
            <wp:effectExtent l="0" t="0" r="0" b="0"/>
            <wp:docPr id="9144" name="Picture 9144"/>
            <wp:cNvGraphicFramePr/>
            <a:graphic xmlns:a="http://schemas.openxmlformats.org/drawingml/2006/main">
              <a:graphicData uri="http://schemas.openxmlformats.org/drawingml/2006/picture">
                <pic:pic xmlns:pic="http://schemas.openxmlformats.org/drawingml/2006/picture">
                  <pic:nvPicPr>
                    <pic:cNvPr id="9144" name="Picture 9144"/>
                    <pic:cNvPicPr/>
                  </pic:nvPicPr>
                  <pic:blipFill>
                    <a:blip r:embed="rId100"/>
                    <a:stretch>
                      <a:fillRect/>
                    </a:stretch>
                  </pic:blipFill>
                  <pic:spPr>
                    <a:xfrm>
                      <a:off x="0" y="0"/>
                      <a:ext cx="5057775" cy="5181600"/>
                    </a:xfrm>
                    <a:prstGeom prst="rect">
                      <a:avLst/>
                    </a:prstGeom>
                  </pic:spPr>
                </pic:pic>
              </a:graphicData>
            </a:graphic>
          </wp:inline>
        </w:drawing>
      </w:r>
    </w:p>
    <w:p w:rsidR="008E3F15" w:rsidRDefault="005F449A">
      <w:pPr>
        <w:spacing w:after="345"/>
        <w:ind w:left="2" w:right="15"/>
      </w:pPr>
      <w:r>
        <w:rPr>
          <w:b/>
        </w:rPr>
        <w:t xml:space="preserve">Рис. 5.1. </w:t>
      </w:r>
      <w:r>
        <w:t>Экстрасистола из выводного тракта правого желудочка</w:t>
      </w:r>
    </w:p>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spacing w:after="165"/>
        <w:ind w:left="2" w:right="15"/>
      </w:pPr>
      <w:r>
        <w:t>Клиническое значение ЭС определяется следующими факторами.</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70880" behindDoc="0" locked="0" layoutInCell="1" allowOverlap="1">
                <wp:simplePos x="0" y="0"/>
                <wp:positionH relativeFrom="column">
                  <wp:posOffset>214164</wp:posOffset>
                </wp:positionH>
                <wp:positionV relativeFrom="paragraph">
                  <wp:posOffset>34776</wp:posOffset>
                </wp:positionV>
                <wp:extent cx="57150" cy="514350"/>
                <wp:effectExtent l="0" t="0" r="0" b="0"/>
                <wp:wrapSquare wrapText="bothSides"/>
                <wp:docPr id="282493" name="Group 282493"/>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9150" name="Shape 9150"/>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152" name="Shape 9152"/>
                        <wps:cNvSpPr/>
                        <wps:spPr>
                          <a:xfrm>
                            <a:off x="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603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154" name="Shape 9154"/>
                        <wps:cNvSpPr/>
                        <wps:spPr>
                          <a:xfrm>
                            <a:off x="0" y="3048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156" name="Shape 9156"/>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69" y="48716"/>
                                </a:cubicBezTo>
                                <a:cubicBezTo>
                                  <a:pt x="5690" y="45988"/>
                                  <a:pt x="3625" y="42912"/>
                                  <a:pt x="2175" y="39439"/>
                                </a:cubicBezTo>
                                <a:cubicBezTo>
                                  <a:pt x="725" y="35917"/>
                                  <a:pt x="0" y="32296"/>
                                  <a:pt x="0" y="28575"/>
                                </a:cubicBezTo>
                                <a:cubicBezTo>
                                  <a:pt x="0" y="24705"/>
                                  <a:pt x="725" y="21034"/>
                                  <a:pt x="2175" y="17562"/>
                                </a:cubicBezTo>
                                <a:cubicBezTo>
                                  <a:pt x="3625" y="13990"/>
                                  <a:pt x="5690" y="1086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2493" style="width:4.5pt;height:40.5pt;position:absolute;mso-position-horizontal-relative:text;mso-position-horizontal:absolute;margin-left:16.8633pt;mso-position-vertical-relative:text;margin-top:2.73828pt;" coordsize="571,5143">
                <v:shape id="Shape 9150" style="position:absolute;width:571;height:571;left:0;top:0;" coordsize="57150,57150" path="m28575,0c32364,0,36009,744,39510,2133c43011,3572,46101,5655,48781,8334c51460,10914,53525,14039,54975,17562c56425,21034,57150,24705,57150,28575c57150,32296,56425,35917,54975,39439c53525,42912,51460,46038,48781,48716c46101,51395,43011,53479,39510,54918c36009,56307,32364,57051,28575,57150c24786,57051,21141,56307,17640,54918c14139,53479,11049,51395,8369,48716c5690,46038,3625,42912,2175,39439c725,35917,0,32296,0,28575c0,24705,725,21034,2175,17562c3625,14039,5690,10914,8369,8334c11049,5655,14139,3572,17640,2133c21141,744,24786,0,28575,0x">
                  <v:stroke weight="0pt" endcap="flat" joinstyle="miter" miterlimit="10" on="false" color="#000000" opacity="0"/>
                  <v:fill on="true" color="#333333"/>
                </v:shape>
                <v:shape id="Shape 9152" style="position:absolute;width:571;height:571;left:0;top:1524;" coordsize="57150,57150" path="m28575,0c32364,0,36009,744,39510,2133c43011,3572,46101,5655,48781,8334c51460,10914,53525,14039,54975,17562c56425,21034,57150,24705,57150,28575c57150,32296,56425,35917,54975,39439c53525,42912,51460,46038,48781,48716c46101,51395,43011,53479,39510,54918c36009,56307,32364,57051,28575,57150c24786,57051,21141,56307,17640,54918c14139,53479,11049,51395,8369,48716c5690,46038,3625,42912,2175,39439c725,35917,0,32296,0,28575c0,24705,725,21034,2175,17562c3625,14039,5690,10914,8369,8334c11049,5655,14139,3572,17640,2133c21141,744,24786,0,28575,0x">
                  <v:stroke weight="0pt" endcap="flat" joinstyle="miter" miterlimit="10" on="false" color="#000000" opacity="0"/>
                  <v:fill on="true" color="#333333"/>
                </v:shape>
                <v:shape id="Shape 9154" style="position:absolute;width:571;height:571;left:0;top:3048;" coordsize="57150,57150" path="m28575,0c32364,0,36009,744,39510,2133c43011,3572,46101,5655,48781,8334c51460,10914,53525,14039,54975,17562c56425,21034,57150,24705,57150,28575c57150,32296,56425,35917,54975,39439c53525,42912,51460,45988,48781,48716c46101,51395,43011,53479,39510,54918c36009,56307,32364,57051,28575,57150c24786,57051,21141,56307,17640,54918c14139,53479,11049,51395,8369,48716c5690,45988,3625,42912,2175,39439c725,35917,0,32296,0,28575c0,24705,725,21034,2175,17562c3625,14039,5690,10914,8369,8334c11049,5655,14139,3572,17640,2133c21141,744,24786,0,28575,0x">
                  <v:stroke weight="0pt" endcap="flat" joinstyle="miter" miterlimit="10" on="false" color="#000000" opacity="0"/>
                  <v:fill on="true" color="#333333"/>
                </v:shape>
                <v:shape id="Shape 9156" style="position:absolute;width:571;height:571;left:0;top:4572;" coordsize="57150,57150" path="m28575,0c32364,0,36009,645,39510,2084c43011,3473,46101,5556,48781,8235c51460,10864,53525,13990,54975,17562c56425,21034,57150,24705,57150,28575c57150,32296,56425,35917,54975,39439c53525,42912,51460,45988,48781,48716c46101,51395,43011,53479,39510,54918c36009,56307,32364,57051,28575,57150c24786,57051,21141,56307,17640,54918c14139,53479,11049,51395,8369,48716c5690,45988,3625,42912,2175,39439c725,35917,0,32296,0,28575c0,24705,725,21034,2175,17562c3625,13990,5690,10864,8369,8235c11049,5556,14139,3473,17640,2084c21141,645,24786,0,28575,0x">
                  <v:stroke weight="0pt" endcap="flat" joinstyle="miter" miterlimit="10" on="false" color="#000000" opacity="0"/>
                  <v:fill on="true" color="#333333"/>
                </v:shape>
                <w10:wrap type="square"/>
              </v:group>
            </w:pict>
          </mc:Fallback>
        </mc:AlternateContent>
      </w:r>
      <w:r>
        <w:t>Субъективный дискомфорт: перебои, замирания (тревога).</w:t>
      </w:r>
    </w:p>
    <w:p w:rsidR="008E3F15" w:rsidRDefault="005F449A">
      <w:pPr>
        <w:spacing w:after="31"/>
        <w:ind w:left="347" w:right="15"/>
      </w:pPr>
      <w:r>
        <w:t>Провокация тахиаритмий.</w:t>
      </w:r>
    </w:p>
    <w:p w:rsidR="008E3F15" w:rsidRDefault="005F449A">
      <w:pPr>
        <w:spacing w:after="31"/>
        <w:ind w:left="347" w:right="15"/>
      </w:pPr>
      <w:r>
        <w:t>Дисфункция левого желудочка (аритмогенная кардиомиопатия).</w:t>
      </w:r>
    </w:p>
    <w:p w:rsidR="008E3F15" w:rsidRDefault="005F449A">
      <w:pPr>
        <w:spacing w:after="359"/>
        <w:ind w:left="347" w:right="15"/>
      </w:pPr>
      <w:r>
        <w:t>Ассоциация желудочковых ЭС с повышением смертности, связанная с заболеванием сердца.</w:t>
      </w:r>
    </w:p>
    <w:p w:rsidR="008E3F15" w:rsidRDefault="005F449A">
      <w:pPr>
        <w:pStyle w:val="Heading1"/>
        <w:ind w:left="2"/>
      </w:pPr>
      <w:r>
        <w:t>Часть I. Сердечно-сосудистые болезни</w:t>
      </w:r>
    </w:p>
    <w:p w:rsidR="008E3F15" w:rsidRDefault="005F449A">
      <w:pPr>
        <w:spacing w:after="31"/>
        <w:ind w:left="2" w:right="15"/>
      </w:pPr>
      <w:r>
        <w:t>Лечение</w:t>
      </w:r>
    </w:p>
    <w:p w:rsidR="008E3F15" w:rsidRDefault="005F449A">
      <w:pPr>
        <w:ind w:left="2" w:right="15"/>
      </w:pPr>
      <w:r>
        <w:t>При необходимости лечения ЭС (непереносимость, аритмогенная кардиомиопатия) в первую очередь следует сосредоточиться на выявле</w:t>
      </w:r>
      <w:r>
        <w:t>нии и лечении первичного заболевания, например коронарной болезни или СН.</w:t>
      </w:r>
    </w:p>
    <w:p w:rsidR="008E3F15" w:rsidRDefault="005F449A">
      <w:pPr>
        <w:ind w:left="2" w:right="15"/>
      </w:pPr>
      <w:r>
        <w:t>Часто ощущения перебоев в сердце, особенно у женщин, связаны с генерализованным тревожным расстройством, что требует длительного лечения антидепрессантами, обычно СИОЗС.</w:t>
      </w:r>
    </w:p>
    <w:p w:rsidR="008E3F15" w:rsidRDefault="005F449A">
      <w:pPr>
        <w:ind w:left="2" w:right="746"/>
      </w:pPr>
      <w:r>
        <w:t>Реже требует</w:t>
      </w:r>
      <w:r>
        <w:t xml:space="preserve">ся проводить антиаритмическое лечение, схема которого представлена на </w:t>
      </w:r>
      <w:r>
        <w:rPr>
          <w:b/>
        </w:rPr>
        <w:t>рис. 5.2</w:t>
      </w:r>
      <w:r>
        <w:t xml:space="preserve">. Выбор препаратов при коморбидности представлен в главе «Фибриляция и трепетание предсердий» в </w:t>
      </w:r>
      <w:r>
        <w:rPr>
          <w:b/>
        </w:rPr>
        <w:t>табл. 4.12</w:t>
      </w:r>
      <w:r>
        <w:t>.</w:t>
      </w:r>
    </w:p>
    <w:p w:rsidR="008E3F15" w:rsidRDefault="005F449A">
      <w:pPr>
        <w:spacing w:after="65" w:line="259" w:lineRule="auto"/>
        <w:ind w:left="7" w:right="0" w:firstLine="0"/>
      </w:pPr>
      <w:r>
        <w:rPr>
          <w:noProof/>
        </w:rPr>
        <w:drawing>
          <wp:inline distT="0" distB="0" distL="0" distR="0">
            <wp:extent cx="5057775" cy="4381500"/>
            <wp:effectExtent l="0" t="0" r="0" b="0"/>
            <wp:docPr id="9183" name="Picture 9183"/>
            <wp:cNvGraphicFramePr/>
            <a:graphic xmlns:a="http://schemas.openxmlformats.org/drawingml/2006/main">
              <a:graphicData uri="http://schemas.openxmlformats.org/drawingml/2006/picture">
                <pic:pic xmlns:pic="http://schemas.openxmlformats.org/drawingml/2006/picture">
                  <pic:nvPicPr>
                    <pic:cNvPr id="9183" name="Picture 9183"/>
                    <pic:cNvPicPr/>
                  </pic:nvPicPr>
                  <pic:blipFill>
                    <a:blip r:embed="rId101"/>
                    <a:stretch>
                      <a:fillRect/>
                    </a:stretch>
                  </pic:blipFill>
                  <pic:spPr>
                    <a:xfrm>
                      <a:off x="0" y="0"/>
                      <a:ext cx="5057775" cy="4381500"/>
                    </a:xfrm>
                    <a:prstGeom prst="rect">
                      <a:avLst/>
                    </a:prstGeom>
                  </pic:spPr>
                </pic:pic>
              </a:graphicData>
            </a:graphic>
          </wp:inline>
        </w:drawing>
      </w:r>
    </w:p>
    <w:p w:rsidR="008E3F15" w:rsidRDefault="005F449A">
      <w:pPr>
        <w:spacing w:after="31"/>
        <w:ind w:left="2" w:right="15"/>
      </w:pPr>
      <w:r>
        <w:rPr>
          <w:b/>
        </w:rPr>
        <w:t xml:space="preserve">Рис. 5.2. </w:t>
      </w:r>
      <w:r>
        <w:t>Алгоритм лечения экстрасистол</w:t>
      </w:r>
    </w:p>
    <w:p w:rsidR="008E3F15" w:rsidRDefault="005F449A">
      <w:pPr>
        <w:spacing w:after="133" w:line="259" w:lineRule="auto"/>
        <w:ind w:left="17" w:right="0"/>
      </w:pPr>
      <w:r>
        <w:rPr>
          <w:i/>
        </w:rPr>
        <w:t>Показания для катетерной абл</w:t>
      </w:r>
      <w:r>
        <w:rPr>
          <w:i/>
        </w:rPr>
        <w:t>яции HRS/EHRA/APHRS/LAHRS:</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771904" behindDoc="1" locked="0" layoutInCell="1" allowOverlap="1">
                <wp:simplePos x="0" y="0"/>
                <wp:positionH relativeFrom="column">
                  <wp:posOffset>214164</wp:posOffset>
                </wp:positionH>
                <wp:positionV relativeFrom="paragraph">
                  <wp:posOffset>34776</wp:posOffset>
                </wp:positionV>
                <wp:extent cx="438150" cy="209550"/>
                <wp:effectExtent l="0" t="0" r="0" b="0"/>
                <wp:wrapNone/>
                <wp:docPr id="281766" name="Group 281766"/>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9187" name="Shape 9187"/>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562"/>
                                </a:cubicBezTo>
                                <a:cubicBezTo>
                                  <a:pt x="56425" y="21034"/>
                                  <a:pt x="57150" y="24705"/>
                                  <a:pt x="57150" y="28575"/>
                                </a:cubicBezTo>
                                <a:cubicBezTo>
                                  <a:pt x="57150" y="32296"/>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296"/>
                                  <a:pt x="0" y="28575"/>
                                </a:cubicBezTo>
                                <a:cubicBezTo>
                                  <a:pt x="0" y="24705"/>
                                  <a:pt x="725" y="21034"/>
                                  <a:pt x="2175" y="17562"/>
                                </a:cubicBezTo>
                                <a:cubicBezTo>
                                  <a:pt x="3625" y="13990"/>
                                  <a:pt x="5690" y="1086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189" name="Shape 9189"/>
                        <wps:cNvSpPr/>
                        <wps:spPr>
                          <a:xfrm>
                            <a:off x="381000" y="15240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603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70" y="48716"/>
                                </a:cubicBezTo>
                                <a:cubicBezTo>
                                  <a:pt x="5690" y="46038"/>
                                  <a:pt x="3625" y="42912"/>
                                  <a:pt x="2175" y="39439"/>
                                </a:cubicBezTo>
                                <a:cubicBezTo>
                                  <a:pt x="725" y="35917"/>
                                  <a:pt x="0" y="32296"/>
                                  <a:pt x="0" y="28575"/>
                                </a:cubicBezTo>
                                <a:cubicBezTo>
                                  <a:pt x="0" y="24755"/>
                                  <a:pt x="725" y="21134"/>
                                  <a:pt x="2175" y="17611"/>
                                </a:cubicBezTo>
                                <a:cubicBezTo>
                                  <a:pt x="3625" y="14139"/>
                                  <a:pt x="5690" y="11013"/>
                                  <a:pt x="8370"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766" style="width:34.5pt;height:16.5pt;position:absolute;z-index:-2147483633;mso-position-horizontal-relative:text;mso-position-horizontal:absolute;margin-left:16.8633pt;mso-position-vertical-relative:text;margin-top:2.73828pt;" coordsize="4381,2095">
                <v:shape id="Shape 9187" style="position:absolute;width:571;height:571;left:0;top:0;" coordsize="57150,57150" path="m28575,0c32364,0,36009,645,39510,2084c43011,3473,46101,5556,48781,8235c51460,10864,53525,13990,54975,17562c56425,21034,57150,24705,57150,28575c57150,32296,56425,35917,54975,39439c53525,42912,51460,46038,48781,48716c46101,51346,43011,53429,39510,54818c36009,56307,32364,57051,28575,57150c24786,57051,21141,56307,17640,54818c14139,53429,11049,51346,8369,48716c5690,46038,3625,42912,2175,39439c725,35917,0,32296,0,28575c0,24705,725,21034,2175,17562c3625,13990,5690,10864,8369,8235c11049,5556,14139,3473,17640,2084c21141,645,24786,0,28575,0x">
                  <v:stroke weight="0pt" endcap="flat" joinstyle="miter" miterlimit="10" on="false" color="#000000" opacity="0"/>
                  <v:fill on="true" color="#333333"/>
                </v:shape>
                <v:shape id="Shape 9189" style="position:absolute;width:571;height:571;left:3810;top:1524;" coordsize="57150,57150" path="m28575,0c32364,0,36009,744,39510,2133c43011,3572,46101,5655,48781,8334c51460,11013,53525,14139,54975,17611c56425,21134,57150,24755,57150,28575c57150,32296,56425,35917,54975,39439c53525,42912,51460,46038,48781,48716c46101,51395,43011,53479,39510,54918c36009,56307,32364,57051,28575,57150c24786,57051,21141,56307,17640,54918c14139,53479,11049,51395,8370,48716c5690,46038,3625,42912,2175,39439c725,35917,0,32296,0,28575c0,24755,725,21134,2175,17611c3625,14139,5690,11013,8370,8334c11049,5655,14139,3572,17640,2133c21141,744,24786,0,28575,0x">
                  <v:stroke weight="0pt" endcap="flat" joinstyle="miter" miterlimit="10" on="false" color="#000000" opacity="0"/>
                  <v:fill on="true" color="#333333"/>
                </v:shape>
              </v:group>
            </w:pict>
          </mc:Fallback>
        </mc:AlternateContent>
      </w:r>
      <w:r>
        <w:rPr>
          <w:i/>
        </w:rPr>
        <w:t>рекомендовано:</w:t>
      </w:r>
    </w:p>
    <w:p w:rsidR="008E3F15" w:rsidRDefault="005F449A">
      <w:pPr>
        <w:ind w:left="1217" w:right="15"/>
      </w:pPr>
      <w:r>
        <w:t>при частых и симптомных желудочковых ЭС из выводного тракта правого желудочка в остальном нормального сердца катетерная абляция предпочтительнее метопролола или пропафенона;</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1767" name="Group 28176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9193" name="Shape 9193"/>
                        <wps:cNvSpPr/>
                        <wps:spPr>
                          <a:xfrm>
                            <a:off x="0" y="0"/>
                            <a:ext cx="57150" cy="57150"/>
                          </a:xfrm>
                          <a:custGeom>
                            <a:avLst/>
                            <a:gdLst/>
                            <a:ahLst/>
                            <a:cxnLst/>
                            <a:rect l="0" t="0" r="0" b="0"/>
                            <a:pathLst>
                              <a:path w="57150" h="57150">
                                <a:moveTo>
                                  <a:pt x="28575" y="0"/>
                                </a:moveTo>
                                <a:cubicBezTo>
                                  <a:pt x="32364" y="0"/>
                                  <a:pt x="36009" y="744"/>
                                  <a:pt x="39510" y="2133"/>
                                </a:cubicBezTo>
                                <a:cubicBezTo>
                                  <a:pt x="43011" y="3572"/>
                                  <a:pt x="46101" y="5655"/>
                                  <a:pt x="48781" y="8334"/>
                                </a:cubicBezTo>
                                <a:cubicBezTo>
                                  <a:pt x="51460" y="11013"/>
                                  <a:pt x="53525" y="14139"/>
                                  <a:pt x="54975" y="17611"/>
                                </a:cubicBezTo>
                                <a:cubicBezTo>
                                  <a:pt x="56425" y="21134"/>
                                  <a:pt x="57150" y="24755"/>
                                  <a:pt x="57150" y="28575"/>
                                </a:cubicBezTo>
                                <a:cubicBezTo>
                                  <a:pt x="57150" y="32296"/>
                                  <a:pt x="56425" y="35917"/>
                                  <a:pt x="54975" y="39439"/>
                                </a:cubicBezTo>
                                <a:cubicBezTo>
                                  <a:pt x="53525" y="42912"/>
                                  <a:pt x="51460" y="45988"/>
                                  <a:pt x="48781" y="48716"/>
                                </a:cubicBezTo>
                                <a:cubicBezTo>
                                  <a:pt x="46101" y="51395"/>
                                  <a:pt x="43011" y="53479"/>
                                  <a:pt x="39510" y="54918"/>
                                </a:cubicBezTo>
                                <a:cubicBezTo>
                                  <a:pt x="36009" y="56307"/>
                                  <a:pt x="32364" y="57051"/>
                                  <a:pt x="28575" y="57150"/>
                                </a:cubicBezTo>
                                <a:cubicBezTo>
                                  <a:pt x="24786" y="57051"/>
                                  <a:pt x="21141" y="56307"/>
                                  <a:pt x="17640" y="54918"/>
                                </a:cubicBezTo>
                                <a:cubicBezTo>
                                  <a:pt x="14139" y="53479"/>
                                  <a:pt x="11049" y="51395"/>
                                  <a:pt x="8370" y="48716"/>
                                </a:cubicBezTo>
                                <a:cubicBezTo>
                                  <a:pt x="5690" y="45988"/>
                                  <a:pt x="3625" y="42912"/>
                                  <a:pt x="2175" y="39439"/>
                                </a:cubicBezTo>
                                <a:cubicBezTo>
                                  <a:pt x="725" y="35917"/>
                                  <a:pt x="0" y="32296"/>
                                  <a:pt x="0" y="28575"/>
                                </a:cubicBezTo>
                                <a:cubicBezTo>
                                  <a:pt x="0" y="24755"/>
                                  <a:pt x="725" y="21134"/>
                                  <a:pt x="2175" y="17611"/>
                                </a:cubicBezTo>
                                <a:cubicBezTo>
                                  <a:pt x="3625" y="14139"/>
                                  <a:pt x="5690" y="11013"/>
                                  <a:pt x="8370" y="8334"/>
                                </a:cubicBezTo>
                                <a:cubicBezTo>
                                  <a:pt x="11049" y="5655"/>
                                  <a:pt x="14139" y="3572"/>
                                  <a:pt x="17640" y="2133"/>
                                </a:cubicBezTo>
                                <a:cubicBezTo>
                                  <a:pt x="21141" y="74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1767" style="width:4.50001pt;height:4.5pt;mso-position-horizontal-relative:char;mso-position-vertical-relative:line" coordsize="571,571">
                <v:shape id="Shape 9193" style="position:absolute;width:571;height:571;left:0;top:0;" coordsize="57150,57150" path="m28575,0c32364,0,36009,744,39510,2133c43011,3572,46101,5655,48781,8334c51460,11013,53525,14139,54975,17611c56425,21134,57150,24755,57150,28575c57150,32296,56425,35917,54975,39439c53525,42912,51460,45988,48781,48716c46101,51395,43011,53479,39510,54918c36009,56307,32364,57051,28575,57150c24786,57051,21141,56307,17640,54918c14139,53479,11049,51395,8370,48716c5690,45988,3625,42912,2175,39439c725,35917,0,32296,0,28575c0,24755,725,21134,2175,17611c3625,14139,5690,11013,8370,8334c11049,5655,14139,3572,17640,2133c21141,744,24786,0,28575,0x">
                  <v:stroke weight="0pt" endcap="flat" joinstyle="miter" miterlimit="10" on="false" color="#000000" opacity="0"/>
                  <v:fill on="true" color="#333333"/>
                </v:shape>
              </v:group>
            </w:pict>
          </mc:Fallback>
        </mc:AlternateContent>
      </w:r>
      <w:r>
        <w:t xml:space="preserve"> кардиомиопатия, которая может быть вызвана частыми и преимущественно мономорфными желудочковыми ЭС, если антиаритмические препараты неэффективны, плохо переносятся или длительная медикаментозная терапия неприемлема для пациента;</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772928" behindDoc="1" locked="0" layoutInCell="1" allowOverlap="1">
                <wp:simplePos x="0" y="0"/>
                <wp:positionH relativeFrom="column">
                  <wp:posOffset>214164</wp:posOffset>
                </wp:positionH>
                <wp:positionV relativeFrom="paragraph">
                  <wp:posOffset>34776</wp:posOffset>
                </wp:positionV>
                <wp:extent cx="438150" cy="209550"/>
                <wp:effectExtent l="0" t="0" r="0" b="0"/>
                <wp:wrapNone/>
                <wp:docPr id="281768" name="Group 281768"/>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9198" name="Shape 9198"/>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00" name="Shape 9200"/>
                        <wps:cNvSpPr/>
                        <wps:spPr>
                          <a:xfrm>
                            <a:off x="381000" y="15240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1013"/>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70" y="48716"/>
                                </a:cubicBezTo>
                                <a:cubicBezTo>
                                  <a:pt x="5690" y="45988"/>
                                  <a:pt x="3625" y="42912"/>
                                  <a:pt x="2175" y="39439"/>
                                </a:cubicBezTo>
                                <a:cubicBezTo>
                                  <a:pt x="725" y="35917"/>
                                  <a:pt x="0" y="32296"/>
                                  <a:pt x="0" y="28575"/>
                                </a:cubicBezTo>
                                <a:cubicBezTo>
                                  <a:pt x="0" y="24755"/>
                                  <a:pt x="725" y="21034"/>
                                  <a:pt x="2175" y="17562"/>
                                </a:cubicBezTo>
                                <a:cubicBezTo>
                                  <a:pt x="3625" y="14039"/>
                                  <a:pt x="5690" y="11013"/>
                                  <a:pt x="8370"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768" style="width:34.5pt;height:16.5pt;position:absolute;z-index:-2147483622;mso-position-horizontal-relative:text;mso-position-horizontal:absolute;margin-left:16.8633pt;mso-position-vertical-relative:text;margin-top:2.73828pt;" coordsize="4381,2095">
                <v:shape id="Shape 9198" style="position:absolute;width:571;height:571;left:0;top:0;" coordsize="57150,57150" path="m28575,0c32364,0,36009,645,39510,2084c43011,3572,46101,5655,48781,8334c51460,11013,53525,14039,54975,17562c56425,21034,57150,24755,57150,28575c57150,32296,56425,35917,54975,39439c53525,42912,51460,45988,48781,48716c46101,51346,43011,53429,39510,54818c36009,56307,32364,57051,28575,57150c24786,57051,21141,56307,17640,54818c14139,53429,11049,51346,8369,48716c5690,45988,3625,42912,2175,39439c725,35917,0,32296,0,28575c0,24755,725,21034,2175,17562c3625,14039,5690,11013,8369,8334c11049,5655,14139,3572,17640,2084c21141,645,24786,0,28575,0x">
                  <v:stroke weight="0pt" endcap="flat" joinstyle="miter" miterlimit="10" on="false" color="#000000" opacity="0"/>
                  <v:fill on="true" color="#333333"/>
                </v:shape>
                <v:shape id="Shape 9200" style="position:absolute;width:571;height:571;left:3810;top:1524;" coordsize="57150,57150" path="m28575,0c32364,0,36009,645,39510,2084c43011,3572,46101,5655,48781,8334c51460,11013,53525,14039,54975,17562c56425,21034,57150,24755,57150,28575c57150,32296,56425,35917,54975,39439c53525,42912,51460,45988,48781,48716c46101,51346,43011,53429,39510,54818c36009,56307,32364,57051,28575,57150c24786,57051,21141,56307,17640,54818c14139,53429,11049,51346,8370,48716c5690,45988,3625,42912,2175,39439c725,35917,0,32296,0,28575c0,24755,725,21034,2175,17562c3625,14039,5690,11013,8370,8334c11049,5655,14139,3572,17640,2084c21141,645,24786,0,28575,0x">
                  <v:stroke weight="0pt" endcap="flat" joinstyle="miter" miterlimit="10" on="false" color="#000000" opacity="0"/>
                  <v:fill on="true" color="#333333"/>
                </v:shape>
              </v:group>
            </w:pict>
          </mc:Fallback>
        </mc:AlternateContent>
      </w:r>
      <w:r>
        <w:rPr>
          <w:i/>
        </w:rPr>
        <w:t>целесообразно:</w:t>
      </w:r>
    </w:p>
    <w:p w:rsidR="008E3F15" w:rsidRDefault="005F449A">
      <w:pPr>
        <w:ind w:left="1217" w:right="351"/>
      </w:pPr>
      <w:r>
        <w:t>структурны</w:t>
      </w:r>
      <w:r>
        <w:t>е заболевания сердца, если частые желудочковые ЭС могут влиять на кардиомиопатию и когда антиаритмические препараты неэффективны, плохо переносятся или длительный прием лекарственных препаратов неприемлем для пациента;</w:t>
      </w:r>
    </w:p>
    <w:p w:rsidR="008E3F15" w:rsidRDefault="005F449A">
      <w:pPr>
        <w:ind w:left="947" w:right="1306"/>
      </w:pPr>
      <w:r>
        <w:rPr>
          <w:rFonts w:ascii="Calibri" w:eastAsia="Calibri" w:hAnsi="Calibri" w:cs="Calibri"/>
          <w:noProof/>
          <w:color w:val="000000"/>
          <w:sz w:val="22"/>
        </w:rPr>
        <mc:AlternateContent>
          <mc:Choice Requires="wpg">
            <w:drawing>
              <wp:anchor distT="0" distB="0" distL="114300" distR="114300" simplePos="0" relativeHeight="251773952" behindDoc="0" locked="0" layoutInCell="1" allowOverlap="1">
                <wp:simplePos x="0" y="0"/>
                <wp:positionH relativeFrom="column">
                  <wp:posOffset>595164</wp:posOffset>
                </wp:positionH>
                <wp:positionV relativeFrom="paragraph">
                  <wp:posOffset>34776</wp:posOffset>
                </wp:positionV>
                <wp:extent cx="57150" cy="361950"/>
                <wp:effectExtent l="0" t="0" r="0" b="0"/>
                <wp:wrapSquare wrapText="bothSides"/>
                <wp:docPr id="281769" name="Group 281769"/>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9205" name="Shape 9205"/>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463"/>
                                </a:cubicBezTo>
                                <a:cubicBezTo>
                                  <a:pt x="56425" y="21034"/>
                                  <a:pt x="57150" y="24755"/>
                                  <a:pt x="57150" y="28575"/>
                                </a:cubicBezTo>
                                <a:cubicBezTo>
                                  <a:pt x="57150" y="322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70" y="48716"/>
                                </a:cubicBezTo>
                                <a:cubicBezTo>
                                  <a:pt x="5690" y="45988"/>
                                  <a:pt x="3625" y="42863"/>
                                  <a:pt x="2175" y="39340"/>
                                </a:cubicBezTo>
                                <a:cubicBezTo>
                                  <a:pt x="725" y="35868"/>
                                  <a:pt x="0" y="32296"/>
                                  <a:pt x="0" y="28575"/>
                                </a:cubicBezTo>
                                <a:cubicBezTo>
                                  <a:pt x="0" y="24755"/>
                                  <a:pt x="725" y="21034"/>
                                  <a:pt x="2175" y="17463"/>
                                </a:cubicBezTo>
                                <a:cubicBezTo>
                                  <a:pt x="3625" y="13990"/>
                                  <a:pt x="5690" y="10864"/>
                                  <a:pt x="8370"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08" name="Shape 9208"/>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864"/>
                                  <a:pt x="53525" y="13990"/>
                                  <a:pt x="54975" y="17463"/>
                                </a:cubicBezTo>
                                <a:cubicBezTo>
                                  <a:pt x="56425" y="21034"/>
                                  <a:pt x="57150" y="24755"/>
                                  <a:pt x="57150" y="28575"/>
                                </a:cubicBezTo>
                                <a:cubicBezTo>
                                  <a:pt x="57150" y="32196"/>
                                  <a:pt x="56425" y="35868"/>
                                  <a:pt x="54975" y="39340"/>
                                </a:cubicBezTo>
                                <a:cubicBezTo>
                                  <a:pt x="53525" y="42863"/>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70" y="48716"/>
                                </a:cubicBezTo>
                                <a:cubicBezTo>
                                  <a:pt x="5690" y="45988"/>
                                  <a:pt x="3625" y="42863"/>
                                  <a:pt x="2175" y="39340"/>
                                </a:cubicBezTo>
                                <a:cubicBezTo>
                                  <a:pt x="725" y="35868"/>
                                  <a:pt x="0" y="32196"/>
                                  <a:pt x="0" y="28575"/>
                                </a:cubicBezTo>
                                <a:cubicBezTo>
                                  <a:pt x="0" y="24755"/>
                                  <a:pt x="725" y="21034"/>
                                  <a:pt x="2175" y="17463"/>
                                </a:cubicBezTo>
                                <a:cubicBezTo>
                                  <a:pt x="3625" y="13990"/>
                                  <a:pt x="5690" y="10864"/>
                                  <a:pt x="8370"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769" style="width:4.50001pt;height:28.5pt;position:absolute;mso-position-horizontal-relative:text;mso-position-horizontal:absolute;margin-left:46.8633pt;mso-position-vertical-relative:text;margin-top:2.73828pt;" coordsize="571,3619">
                <v:shape id="Shape 9205" style="position:absolute;width:571;height:571;left:0;top:0;" coordsize="57150,57150" path="m28575,0c32364,0,36009,645,39510,2084c43011,3473,46101,5556,48781,8235c51460,10864,53525,13990,54975,17463c56425,21034,57150,24755,57150,28575c57150,32296,56425,35868,54975,39340c53525,42863,51460,45988,48781,48716c46101,51346,43011,53429,39510,54818c36009,56257,32364,57051,28575,57150c24786,57051,21141,56257,17640,54818c14139,53429,11049,51346,8370,48716c5690,45988,3625,42863,2175,39340c725,35868,0,32296,0,28575c0,24755,725,21034,2175,17463c3625,13990,5690,10864,8370,8235c11049,5556,14139,3473,17640,2084c21141,645,24786,0,28575,0x">
                  <v:stroke weight="0pt" endcap="flat" joinstyle="miter" miterlimit="10" on="false" color="#000000" opacity="0"/>
                  <v:fill on="true" color="#333333"/>
                </v:shape>
                <v:shape id="Shape 9208" style="position:absolute;width:571;height:571;left:0;top:3048;" coordsize="57150,57150" path="m28575,0c32364,0,36009,645,39510,2084c43011,3473,46101,5556,48781,8235c51460,10864,53525,13990,54975,17463c56425,21034,57150,24755,57150,28575c57150,32196,56425,35868,54975,39340c53525,42863,51460,45988,48781,48716c46101,51346,43011,53429,39510,54818c36009,56257,32364,57051,28575,57150c24786,57051,21141,56257,17640,54818c14139,53429,11049,51346,8370,48716c5690,45988,3625,42863,2175,39340c725,35868,0,32196,0,28575c0,24755,725,21034,2175,17463c3625,13990,5690,10864,8370,8235c11049,5556,14139,3473,17640,2084c21141,645,24786,0,28575,0x">
                  <v:stroke weight="0pt" endcap="flat" joinstyle="miter" miterlimit="10" on="false" color="#000000" opacity="0"/>
                  <v:fill on="true" color="#333333"/>
                </v:shape>
                <w10:wrap type="square"/>
              </v:group>
            </w:pict>
          </mc:Fallback>
        </mc:AlternateContent>
      </w:r>
      <w:r>
        <w:t>локально запускаемая ФЖ, рефрактерна</w:t>
      </w:r>
      <w:r>
        <w:t>я к антиаритмической терапии и провоцируемая похожими желудочковыми ЭС;</w:t>
      </w:r>
    </w:p>
    <w:p w:rsidR="008E3F15" w:rsidRDefault="005F449A">
      <w:pPr>
        <w:spacing w:after="179"/>
        <w:ind w:left="947" w:right="15"/>
      </w:pPr>
      <w:r>
        <w:t>нет эффекта сердечной ресинхронизирующей терапии (СРТ), если частые монофокусные желудочковые ЭС ограничивают оптимальную бивентрикулярную стимуляцию, несмотря на медикаментозное лечен</w:t>
      </w:r>
      <w:r>
        <w:t>ие.</w:t>
      </w:r>
    </w:p>
    <w:p w:rsidR="008E3F15" w:rsidRDefault="005F449A">
      <w:pPr>
        <w:ind w:left="2" w:right="15"/>
      </w:pPr>
      <w:r>
        <w:t>Катетерная абляция позволяет устранить идиопатические симптомные желудочковые ЭС почти у 70% пациентов (Latchamsetty R. et al., 2015). Лучше результаты при локализации очага</w:t>
      </w:r>
    </w:p>
    <w:p w:rsidR="008E3F15" w:rsidRDefault="005F449A">
      <w:pPr>
        <w:spacing w:after="359"/>
        <w:ind w:left="2" w:right="717"/>
      </w:pPr>
      <w:r>
        <w:t>в выводном отделе правого желудочка (80–85%), хуже при расположении очага в па</w:t>
      </w:r>
      <w:r>
        <w:t>пиллярных мышцах, эпикардиально или при множественной локализации (60–65%).</w:t>
      </w:r>
    </w:p>
    <w:p w:rsidR="008E3F15" w:rsidRDefault="005F449A">
      <w:pPr>
        <w:pStyle w:val="Heading1"/>
        <w:ind w:left="2"/>
      </w:pPr>
      <w:r>
        <w:t>Часть I. Сердечно-сосудистые болезни</w:t>
      </w:r>
    </w:p>
    <w:p w:rsidR="008E3F15" w:rsidRDefault="005F449A">
      <w:pPr>
        <w:spacing w:after="179"/>
        <w:ind w:left="2" w:right="4926"/>
      </w:pPr>
      <w:r>
        <w:t xml:space="preserve">Глава 6. Внезапная сердечная смерть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74976" behindDoc="0" locked="0" layoutInCell="1" allowOverlap="1">
                <wp:simplePos x="0" y="0"/>
                <wp:positionH relativeFrom="column">
                  <wp:posOffset>214164</wp:posOffset>
                </wp:positionH>
                <wp:positionV relativeFrom="paragraph">
                  <wp:posOffset>34826</wp:posOffset>
                </wp:positionV>
                <wp:extent cx="57150" cy="1276350"/>
                <wp:effectExtent l="0" t="0" r="0" b="0"/>
                <wp:wrapSquare wrapText="bothSides"/>
                <wp:docPr id="281928" name="Group 281928"/>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9227" name="Shape 9227"/>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33" name="Shape 9233"/>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35" name="Shape 9235"/>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55"/>
                                  <a:pt x="57150" y="28575"/>
                                </a:cubicBezTo>
                                <a:cubicBezTo>
                                  <a:pt x="57150" y="32296"/>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296"/>
                                  <a:pt x="0" y="28575"/>
                                </a:cubicBezTo>
                                <a:cubicBezTo>
                                  <a:pt x="0" y="2475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37" name="Shape 9237"/>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39" name="Shape 9239"/>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41" name="Shape 9241"/>
                        <wps:cNvSpPr/>
                        <wps:spPr>
                          <a:xfrm>
                            <a:off x="0" y="76200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4039"/>
                                  <a:pt x="54975" y="17562"/>
                                </a:cubicBezTo>
                                <a:cubicBezTo>
                                  <a:pt x="56425" y="21034"/>
                                  <a:pt x="57150" y="24705"/>
                                  <a:pt x="57150" y="28575"/>
                                </a:cubicBezTo>
                                <a:cubicBezTo>
                                  <a:pt x="57150" y="32296"/>
                                  <a:pt x="56425" y="35917"/>
                                  <a:pt x="54975" y="39439"/>
                                </a:cubicBezTo>
                                <a:cubicBezTo>
                                  <a:pt x="53525" y="42912"/>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912"/>
                                  <a:pt x="2175" y="39439"/>
                                </a:cubicBezTo>
                                <a:cubicBezTo>
                                  <a:pt x="725" y="35917"/>
                                  <a:pt x="0" y="32296"/>
                                  <a:pt x="0" y="28575"/>
                                </a:cubicBezTo>
                                <a:cubicBezTo>
                                  <a:pt x="0" y="24705"/>
                                  <a:pt x="725" y="21034"/>
                                  <a:pt x="2175" y="17562"/>
                                </a:cubicBezTo>
                                <a:cubicBezTo>
                                  <a:pt x="3625" y="14039"/>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43" name="Shape 9243"/>
                        <wps:cNvSpPr/>
                        <wps:spPr>
                          <a:xfrm>
                            <a:off x="0" y="914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917"/>
                                  <a:pt x="54975" y="39439"/>
                                </a:cubicBezTo>
                                <a:cubicBezTo>
                                  <a:pt x="53525" y="42863"/>
                                  <a:pt x="51460" y="45988"/>
                                  <a:pt x="48781" y="48716"/>
                                </a:cubicBezTo>
                                <a:cubicBezTo>
                                  <a:pt x="46101" y="51346"/>
                                  <a:pt x="43011" y="53429"/>
                                  <a:pt x="39510" y="54918"/>
                                </a:cubicBezTo>
                                <a:cubicBezTo>
                                  <a:pt x="36009" y="56307"/>
                                  <a:pt x="32364" y="57051"/>
                                  <a:pt x="28575" y="57150"/>
                                </a:cubicBezTo>
                                <a:cubicBezTo>
                                  <a:pt x="24786" y="57051"/>
                                  <a:pt x="21141" y="56307"/>
                                  <a:pt x="17640" y="54918"/>
                                </a:cubicBezTo>
                                <a:cubicBezTo>
                                  <a:pt x="14139" y="53429"/>
                                  <a:pt x="11049" y="51346"/>
                                  <a:pt x="8369" y="48716"/>
                                </a:cubicBezTo>
                                <a:cubicBezTo>
                                  <a:pt x="5690" y="45988"/>
                                  <a:pt x="3625" y="42863"/>
                                  <a:pt x="2175" y="39439"/>
                                </a:cubicBezTo>
                                <a:cubicBezTo>
                                  <a:pt x="725" y="35917"/>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45" name="Shape 9245"/>
                        <wps:cNvSpPr/>
                        <wps:spPr>
                          <a:xfrm>
                            <a:off x="0" y="10668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868"/>
                                  <a:pt x="54975" y="39340"/>
                                </a:cubicBezTo>
                                <a:cubicBezTo>
                                  <a:pt x="53525" y="42863"/>
                                  <a:pt x="51460" y="45889"/>
                                  <a:pt x="48781" y="48667"/>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667"/>
                                </a:cubicBezTo>
                                <a:cubicBezTo>
                                  <a:pt x="5690" y="45889"/>
                                  <a:pt x="3625" y="42863"/>
                                  <a:pt x="2175" y="39340"/>
                                </a:cubicBezTo>
                                <a:cubicBezTo>
                                  <a:pt x="725" y="35868"/>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47" name="Shape 9247"/>
                        <wps:cNvSpPr/>
                        <wps:spPr>
                          <a:xfrm>
                            <a:off x="0" y="12192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05"/>
                                  <a:pt x="57150" y="28575"/>
                                </a:cubicBezTo>
                                <a:cubicBezTo>
                                  <a:pt x="57150" y="32296"/>
                                  <a:pt x="56425" y="35868"/>
                                  <a:pt x="54975" y="39340"/>
                                </a:cubicBezTo>
                                <a:cubicBezTo>
                                  <a:pt x="53525" y="42863"/>
                                  <a:pt x="51460" y="45889"/>
                                  <a:pt x="48781" y="48667"/>
                                </a:cubicBezTo>
                                <a:cubicBezTo>
                                  <a:pt x="46101" y="51246"/>
                                  <a:pt x="43011" y="53330"/>
                                  <a:pt x="39510" y="54818"/>
                                </a:cubicBezTo>
                                <a:cubicBezTo>
                                  <a:pt x="36009" y="56307"/>
                                  <a:pt x="32364" y="57051"/>
                                  <a:pt x="28575" y="57150"/>
                                </a:cubicBezTo>
                                <a:cubicBezTo>
                                  <a:pt x="24786" y="57051"/>
                                  <a:pt x="21141" y="56307"/>
                                  <a:pt x="17640" y="54818"/>
                                </a:cubicBezTo>
                                <a:cubicBezTo>
                                  <a:pt x="14139" y="53330"/>
                                  <a:pt x="11049" y="51246"/>
                                  <a:pt x="8369" y="48667"/>
                                </a:cubicBezTo>
                                <a:cubicBezTo>
                                  <a:pt x="5690" y="45889"/>
                                  <a:pt x="3625" y="42863"/>
                                  <a:pt x="2175" y="39340"/>
                                </a:cubicBezTo>
                                <a:cubicBezTo>
                                  <a:pt x="725" y="35868"/>
                                  <a:pt x="0" y="32296"/>
                                  <a:pt x="0" y="28575"/>
                                </a:cubicBezTo>
                                <a:cubicBezTo>
                                  <a:pt x="0" y="2470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928" style="width:4.5pt;height:100.5pt;position:absolute;mso-position-horizontal-relative:text;mso-position-horizontal:absolute;margin-left:16.8633pt;mso-position-vertical-relative:text;margin-top:2.74218pt;" coordsize="571,12763">
                <v:shape id="Shape 9227" style="position:absolute;width:571;height:571;left:0;top:0;" coordsize="57150,57150" path="m28575,0c32364,0,36009,645,39510,2084c43011,3473,46101,5556,48781,8334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334c11049,5556,14139,3473,17640,2084c21141,645,24786,0,28575,0x">
                  <v:stroke weight="0pt" endcap="flat" joinstyle="miter" miterlimit="10" on="false" color="#000000" opacity="0"/>
                  <v:fill on="true" color="#333333"/>
                </v:shape>
                <v:shape id="Shape 9233" style="position:absolute;width:571;height:571;left:0;top:1524;" coordsize="57150,57150" path="m28575,0c32364,0,36009,645,39510,2084c43011,3473,46101,5556,48781,8235c51460,10914,53525,14039,54975,17562c56425,21034,57150,24755,57150,28575c57150,32296,56425,35917,54975,39439c53525,42912,51460,45988,48781,48716c46101,51346,43011,53429,39510,54918c36009,56307,32364,57051,28575,57150c24786,57051,21141,56307,17640,54918c14139,53429,11049,51346,8369,48716c5690,45988,3625,42912,2175,39439c725,35917,0,32296,0,28575c0,24755,725,21034,2175,17562c3625,14039,5690,10914,8369,8235c11049,5556,14139,3473,17640,2084c21141,645,24786,0,28575,0x">
                  <v:stroke weight="0pt" endcap="flat" joinstyle="miter" miterlimit="10" on="false" color="#000000" opacity="0"/>
                  <v:fill on="true" color="#333333"/>
                </v:shape>
                <v:shape id="Shape 9235" style="position:absolute;width:571;height:571;left:0;top:3048;" coordsize="57150,57150" path="m28575,0c32364,0,36009,645,39510,2084c43011,3473,46101,5556,48781,8235c51460,10914,53525,14039,54975,17562c56425,21034,57150,24755,57150,28575c57150,32296,56425,35917,54975,39439c53525,42912,51460,45988,48781,48716c46101,51346,43011,53429,39510,54818c36009,56257,32364,57051,28575,57150c24786,57051,21141,56257,17640,54818c14139,53429,11049,51346,8369,48716c5690,45988,3625,42912,2175,39439c725,35917,0,32296,0,28575c0,24755,725,21034,2175,17562c3625,14039,5690,10914,8369,8235c11049,5556,14139,3473,17640,2084c21141,645,24786,0,28575,0x">
                  <v:stroke weight="0pt" endcap="flat" joinstyle="miter" miterlimit="10" on="false" color="#000000" opacity="0"/>
                  <v:fill on="true" color="#333333"/>
                </v:shape>
                <v:shape id="Shape 9237" style="position:absolute;width:571;height:571;left:0;top:4572;" coordsize="57150,57150" path="m28575,0c32364,0,36009,645,39510,2084c43011,3473,46101,5556,48781,8235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235c11049,5556,14139,3473,17640,2084c21141,645,24786,0,28575,0x">
                  <v:stroke weight="0pt" endcap="flat" joinstyle="miter" miterlimit="10" on="false" color="#000000" opacity="0"/>
                  <v:fill on="true" color="#333333"/>
                </v:shape>
                <v:shape id="Shape 9239" style="position:absolute;width:571;height:571;left:0;top:6096;" coordsize="57150,57150" path="m28575,0c32364,0,36009,645,39510,2084c43011,3473,46101,5556,48781,8235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235c11049,5556,14139,3473,17640,2084c21141,645,24786,0,28575,0x">
                  <v:stroke weight="0pt" endcap="flat" joinstyle="miter" miterlimit="10" on="false" color="#000000" opacity="0"/>
                  <v:fill on="true" color="#333333"/>
                </v:shape>
                <v:shape id="Shape 9241" style="position:absolute;width:571;height:571;left:0;top:7620;" coordsize="57150,57150" path="m28575,0c32364,0,36009,645,39510,2084c43011,3473,46101,5556,48781,8235c51460,10914,53525,14039,54975,17562c56425,21034,57150,24705,57150,28575c57150,32296,56425,35917,54975,39439c53525,42912,51460,45988,48781,48716c46101,51346,43011,53429,39510,54918c36009,56307,32364,57051,28575,57150c24786,57051,21141,56307,17640,54918c14139,53429,11049,51346,8369,48716c5690,45988,3625,42912,2175,39439c725,35917,0,32296,0,28575c0,24705,725,21034,2175,17562c3625,14039,5690,10914,8369,8235c11049,5556,14139,3473,17640,2084c21141,645,24786,0,28575,0x">
                  <v:stroke weight="0pt" endcap="flat" joinstyle="miter" miterlimit="10" on="false" color="#000000" opacity="0"/>
                  <v:fill on="true" color="#333333"/>
                </v:shape>
                <v:shape id="Shape 9243" style="position:absolute;width:571;height:571;left:0;top:9144;" coordsize="57150,57150" path="m28575,0c32364,0,36009,645,39510,2084c43011,3473,46101,5556,48781,8334c51460,10914,53525,14039,54975,17562c56425,21034,57150,24705,57150,28575c57150,32296,56425,35917,54975,39439c53525,42863,51460,45988,48781,48716c46101,51346,43011,53429,39510,54918c36009,56307,32364,57051,28575,57150c24786,57051,21141,56307,17640,54918c14139,53429,11049,51346,8369,48716c5690,45988,3625,42863,2175,39439c725,35917,0,32296,0,28575c0,24705,725,21034,2175,17562c3625,14039,5690,10914,8369,8334c11049,5556,14139,3473,17640,2084c21141,645,24786,0,28575,0x">
                  <v:stroke weight="0pt" endcap="flat" joinstyle="miter" miterlimit="10" on="false" color="#000000" opacity="0"/>
                  <v:fill on="true" color="#333333"/>
                </v:shape>
                <v:shape id="Shape 9245" style="position:absolute;width:571;height:571;left:0;top:10668;" coordsize="57150,57150" path="m28575,0c32364,0,36009,645,39510,2084c43011,3473,46101,5556,48781,8334c51460,10914,53525,14039,54975,17562c56425,21034,57150,24705,57150,28575c57150,32296,56425,35868,54975,39340c53525,42863,51460,45889,48781,48667c46101,51346,43011,53429,39510,54818c36009,56307,32364,57051,28575,57150c24786,57051,21141,56307,17640,54818c14139,53429,11049,51346,8369,48667c5690,45889,3625,42863,2175,39340c725,35868,0,32296,0,28575c0,24705,725,21034,2175,17562c3625,14039,5690,10914,8369,8334c11049,5556,14139,3473,17640,2084c21141,645,24786,0,28575,0x">
                  <v:stroke weight="0pt" endcap="flat" joinstyle="miter" miterlimit="10" on="false" color="#000000" opacity="0"/>
                  <v:fill on="true" color="#333333"/>
                </v:shape>
                <v:shape id="Shape 9247" style="position:absolute;width:571;height:571;left:0;top:12192;" coordsize="57150,57150" path="m28575,0c32364,0,36009,645,39510,2084c43011,3473,46101,5556,48781,8334c51460,10914,53525,14039,54975,17562c56425,21034,57150,24705,57150,28575c57150,32296,56425,35868,54975,39340c53525,42863,51460,45889,48781,48667c46101,51246,43011,53330,39510,54818c36009,56307,32364,57051,28575,57150c24786,57051,21141,56307,17640,54818c14139,53330,11049,51246,8369,48667c5690,45889,3625,42863,2175,39340c725,35868,0,32296,0,28575c0,24705,725,21034,2175,17562c3625,14039,5690,10914,8369,8334c11049,5556,14139,3473,17640,2084c21141,645,24786,0,28575,0x">
                  <v:stroke weight="0pt" endcap="flat" joinstyle="miter" miterlimit="10" on="false" color="#000000" opacity="0"/>
                  <v:fill on="true" color="#333333"/>
                </v:shape>
                <w10:wrap type="square"/>
              </v:group>
            </w:pict>
          </mc:Fallback>
        </mc:AlternateContent>
      </w:r>
      <w:r>
        <w:t xml:space="preserve">ЭКГ с оценкой морфологии </w:t>
      </w:r>
      <w:r>
        <w:rPr>
          <w:i/>
        </w:rPr>
        <w:t>QRS, ST–Т</w:t>
      </w:r>
      <w:r>
        <w:t xml:space="preserve">, интервала </w:t>
      </w:r>
      <w:r>
        <w:rPr>
          <w:i/>
        </w:rPr>
        <w:t>Q–T</w:t>
      </w:r>
      <w:r>
        <w:t>.</w:t>
      </w:r>
    </w:p>
    <w:p w:rsidR="008E3F15" w:rsidRDefault="005F449A">
      <w:pPr>
        <w:spacing w:after="31"/>
        <w:ind w:left="347" w:right="15"/>
      </w:pPr>
      <w:r>
        <w:t>Эхокардиография.</w:t>
      </w:r>
    </w:p>
    <w:p w:rsidR="008E3F15" w:rsidRDefault="005F449A">
      <w:pPr>
        <w:ind w:left="347" w:right="15"/>
      </w:pPr>
      <w:r>
        <w:t>Мониторирование ЭКГ: суточное (с 12 отведениями), событийное, длительное. Стресс-тест.</w:t>
      </w:r>
    </w:p>
    <w:p w:rsidR="008E3F15" w:rsidRDefault="005F449A">
      <w:pPr>
        <w:spacing w:after="31"/>
        <w:ind w:left="347" w:right="15"/>
      </w:pPr>
      <w:r>
        <w:t>Коронарная ангиография.</w:t>
      </w:r>
    </w:p>
    <w:p w:rsidR="008E3F15" w:rsidRDefault="005F449A">
      <w:pPr>
        <w:spacing w:after="31"/>
        <w:ind w:left="347" w:right="15"/>
      </w:pPr>
      <w:r>
        <w:t>Магнитно-резонансная томография сердца.</w:t>
      </w:r>
    </w:p>
    <w:p w:rsidR="008E3F15" w:rsidRDefault="005F449A">
      <w:pPr>
        <w:spacing w:after="31"/>
        <w:ind w:left="347" w:right="15"/>
      </w:pPr>
      <w:r>
        <w:t>Электрофизиологическое исследование.</w:t>
      </w:r>
    </w:p>
    <w:p w:rsidR="008E3F15" w:rsidRDefault="005F449A">
      <w:pPr>
        <w:spacing w:after="179"/>
        <w:ind w:left="347" w:right="3101"/>
      </w:pPr>
      <w:r>
        <w:t>Шкалы: MADIT-II, HCM Risk-SCD, M-FACT, Gollob. Генетические тесты.</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76000" behindDoc="0" locked="0" layoutInCell="1" allowOverlap="1">
                <wp:simplePos x="0" y="0"/>
                <wp:positionH relativeFrom="column">
                  <wp:posOffset>214164</wp:posOffset>
                </wp:positionH>
                <wp:positionV relativeFrom="paragraph">
                  <wp:posOffset>34826</wp:posOffset>
                </wp:positionV>
                <wp:extent cx="57150" cy="666750"/>
                <wp:effectExtent l="0" t="0" r="0" b="0"/>
                <wp:wrapSquare wrapText="bothSides"/>
                <wp:docPr id="281934" name="Group 28193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9250" name="Shape 9250"/>
                        <wps:cNvSpPr/>
                        <wps:spPr>
                          <a:xfrm>
                            <a:off x="0" y="0"/>
                            <a:ext cx="57150" cy="57150"/>
                          </a:xfrm>
                          <a:custGeom>
                            <a:avLst/>
                            <a:gdLst/>
                            <a:ahLst/>
                            <a:cxnLst/>
                            <a:rect l="0" t="0" r="0" b="0"/>
                            <a:pathLst>
                              <a:path w="57150" h="57150">
                                <a:moveTo>
                                  <a:pt x="28575" y="0"/>
                                </a:moveTo>
                                <a:cubicBezTo>
                                  <a:pt x="32364" y="0"/>
                                  <a:pt x="36009" y="645"/>
                                  <a:pt x="39510" y="2084"/>
                                </a:cubicBezTo>
                                <a:cubicBezTo>
                                  <a:pt x="43011" y="3572"/>
                                  <a:pt x="46101" y="5655"/>
                                  <a:pt x="48781" y="8334"/>
                                </a:cubicBezTo>
                                <a:cubicBezTo>
                                  <a:pt x="51460" y="10914"/>
                                  <a:pt x="53525" y="13990"/>
                                  <a:pt x="54975" y="17463"/>
                                </a:cubicBezTo>
                                <a:cubicBezTo>
                                  <a:pt x="56425" y="20985"/>
                                  <a:pt x="57150" y="24705"/>
                                  <a:pt x="57150" y="28575"/>
                                </a:cubicBezTo>
                                <a:cubicBezTo>
                                  <a:pt x="57150" y="32345"/>
                                  <a:pt x="56425" y="36016"/>
                                  <a:pt x="54975" y="39489"/>
                                </a:cubicBezTo>
                                <a:cubicBezTo>
                                  <a:pt x="53525" y="43011"/>
                                  <a:pt x="51460" y="46038"/>
                                  <a:pt x="48781" y="48716"/>
                                </a:cubicBezTo>
                                <a:cubicBezTo>
                                  <a:pt x="46101" y="51346"/>
                                  <a:pt x="43011" y="53429"/>
                                  <a:pt x="39510" y="54818"/>
                                </a:cubicBezTo>
                                <a:cubicBezTo>
                                  <a:pt x="36009" y="56406"/>
                                  <a:pt x="32364" y="57150"/>
                                  <a:pt x="28575" y="57150"/>
                                </a:cubicBezTo>
                                <a:cubicBezTo>
                                  <a:pt x="24786" y="57150"/>
                                  <a:pt x="21141" y="56406"/>
                                  <a:pt x="17640" y="54818"/>
                                </a:cubicBezTo>
                                <a:cubicBezTo>
                                  <a:pt x="14139" y="53429"/>
                                  <a:pt x="11049" y="51346"/>
                                  <a:pt x="8369" y="48716"/>
                                </a:cubicBezTo>
                                <a:cubicBezTo>
                                  <a:pt x="5690" y="46038"/>
                                  <a:pt x="3625" y="43011"/>
                                  <a:pt x="2175" y="39489"/>
                                </a:cubicBezTo>
                                <a:cubicBezTo>
                                  <a:pt x="725" y="36016"/>
                                  <a:pt x="0" y="32345"/>
                                  <a:pt x="0" y="28575"/>
                                </a:cubicBezTo>
                                <a:cubicBezTo>
                                  <a:pt x="0" y="24705"/>
                                  <a:pt x="725" y="20985"/>
                                  <a:pt x="2175" y="17463"/>
                                </a:cubicBezTo>
                                <a:cubicBezTo>
                                  <a:pt x="3625" y="13990"/>
                                  <a:pt x="5690" y="10914"/>
                                  <a:pt x="8369" y="8334"/>
                                </a:cubicBezTo>
                                <a:cubicBezTo>
                                  <a:pt x="11049" y="5655"/>
                                  <a:pt x="14139" y="3572"/>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52" name="Shape 9252"/>
                        <wps:cNvSpPr/>
                        <wps:spPr>
                          <a:xfrm>
                            <a:off x="0" y="1524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54" name="Shape 9254"/>
                        <wps:cNvSpPr/>
                        <wps:spPr>
                          <a:xfrm>
                            <a:off x="0" y="30480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864"/>
                                  <a:pt x="53525" y="13990"/>
                                  <a:pt x="54975" y="17463"/>
                                </a:cubicBezTo>
                                <a:cubicBezTo>
                                  <a:pt x="56425" y="20985"/>
                                  <a:pt x="57150" y="24705"/>
                                  <a:pt x="57150" y="28575"/>
                                </a:cubicBezTo>
                                <a:cubicBezTo>
                                  <a:pt x="57150" y="32345"/>
                                  <a:pt x="56425" y="35917"/>
                                  <a:pt x="54975" y="39439"/>
                                </a:cubicBezTo>
                                <a:cubicBezTo>
                                  <a:pt x="53525" y="42912"/>
                                  <a:pt x="51460" y="4603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6038"/>
                                  <a:pt x="3625" y="42912"/>
                                  <a:pt x="2175" y="39439"/>
                                </a:cubicBezTo>
                                <a:cubicBezTo>
                                  <a:pt x="725" y="35917"/>
                                  <a:pt x="0" y="32345"/>
                                  <a:pt x="0" y="28575"/>
                                </a:cubicBezTo>
                                <a:cubicBezTo>
                                  <a:pt x="0" y="24705"/>
                                  <a:pt x="725" y="20985"/>
                                  <a:pt x="2175" y="17463"/>
                                </a:cubicBezTo>
                                <a:cubicBezTo>
                                  <a:pt x="3625" y="13990"/>
                                  <a:pt x="5690" y="10864"/>
                                  <a:pt x="8369" y="8235"/>
                                </a:cubicBezTo>
                                <a:cubicBezTo>
                                  <a:pt x="11049" y="5507"/>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56" name="Shape 9256"/>
                        <wps:cNvSpPr/>
                        <wps:spPr>
                          <a:xfrm>
                            <a:off x="0" y="457200"/>
                            <a:ext cx="57150" cy="57150"/>
                          </a:xfrm>
                          <a:custGeom>
                            <a:avLst/>
                            <a:gdLst/>
                            <a:ahLst/>
                            <a:cxnLst/>
                            <a:rect l="0" t="0" r="0" b="0"/>
                            <a:pathLst>
                              <a:path w="57150" h="57150">
                                <a:moveTo>
                                  <a:pt x="28575" y="0"/>
                                </a:moveTo>
                                <a:cubicBezTo>
                                  <a:pt x="32364" y="0"/>
                                  <a:pt x="36009" y="645"/>
                                  <a:pt x="39510" y="2084"/>
                                </a:cubicBezTo>
                                <a:cubicBezTo>
                                  <a:pt x="43011" y="3473"/>
                                  <a:pt x="46101" y="5507"/>
                                  <a:pt x="48781" y="8235"/>
                                </a:cubicBezTo>
                                <a:cubicBezTo>
                                  <a:pt x="51460" y="10864"/>
                                  <a:pt x="53525" y="13990"/>
                                  <a:pt x="54975" y="17463"/>
                                </a:cubicBezTo>
                                <a:cubicBezTo>
                                  <a:pt x="56425" y="20985"/>
                                  <a:pt x="57150" y="2470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05"/>
                                  <a:pt x="725" y="20985"/>
                                  <a:pt x="2175" y="17463"/>
                                </a:cubicBezTo>
                                <a:cubicBezTo>
                                  <a:pt x="3625" y="13990"/>
                                  <a:pt x="5690" y="10864"/>
                                  <a:pt x="8369" y="8235"/>
                                </a:cubicBezTo>
                                <a:cubicBezTo>
                                  <a:pt x="11049" y="5507"/>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258" name="Shape 9258"/>
                        <wps:cNvSpPr/>
                        <wps:spPr>
                          <a:xfrm>
                            <a:off x="0" y="609600"/>
                            <a:ext cx="57150" cy="57150"/>
                          </a:xfrm>
                          <a:custGeom>
                            <a:avLst/>
                            <a:gdLst/>
                            <a:ahLst/>
                            <a:cxnLst/>
                            <a:rect l="0" t="0" r="0" b="0"/>
                            <a:pathLst>
                              <a:path w="57150" h="57150">
                                <a:moveTo>
                                  <a:pt x="28575" y="0"/>
                                </a:moveTo>
                                <a:cubicBezTo>
                                  <a:pt x="32364" y="0"/>
                                  <a:pt x="36009" y="645"/>
                                  <a:pt x="39510" y="2084"/>
                                </a:cubicBezTo>
                                <a:cubicBezTo>
                                  <a:pt x="43011" y="3473"/>
                                  <a:pt x="46101" y="5556"/>
                                  <a:pt x="48781" y="8334"/>
                                </a:cubicBezTo>
                                <a:cubicBezTo>
                                  <a:pt x="51460" y="10914"/>
                                  <a:pt x="53525" y="14039"/>
                                  <a:pt x="54975" y="17562"/>
                                </a:cubicBezTo>
                                <a:cubicBezTo>
                                  <a:pt x="56425" y="21034"/>
                                  <a:pt x="57150" y="24755"/>
                                  <a:pt x="57150" y="28575"/>
                                </a:cubicBezTo>
                                <a:cubicBezTo>
                                  <a:pt x="57150" y="32345"/>
                                  <a:pt x="56425" y="35917"/>
                                  <a:pt x="54975" y="39340"/>
                                </a:cubicBezTo>
                                <a:cubicBezTo>
                                  <a:pt x="53525" y="42863"/>
                                  <a:pt x="51460" y="45988"/>
                                  <a:pt x="48781" y="48716"/>
                                </a:cubicBezTo>
                                <a:cubicBezTo>
                                  <a:pt x="46101" y="51346"/>
                                  <a:pt x="43011" y="53429"/>
                                  <a:pt x="39510" y="54818"/>
                                </a:cubicBezTo>
                                <a:cubicBezTo>
                                  <a:pt x="36009" y="56307"/>
                                  <a:pt x="32364" y="57051"/>
                                  <a:pt x="28575" y="57150"/>
                                </a:cubicBezTo>
                                <a:cubicBezTo>
                                  <a:pt x="24786" y="57051"/>
                                  <a:pt x="21141" y="56307"/>
                                  <a:pt x="17640" y="54818"/>
                                </a:cubicBezTo>
                                <a:cubicBezTo>
                                  <a:pt x="14139" y="53429"/>
                                  <a:pt x="11049" y="51346"/>
                                  <a:pt x="8369" y="48716"/>
                                </a:cubicBezTo>
                                <a:cubicBezTo>
                                  <a:pt x="5690" y="45988"/>
                                  <a:pt x="3625" y="42863"/>
                                  <a:pt x="2175" y="39340"/>
                                </a:cubicBezTo>
                                <a:cubicBezTo>
                                  <a:pt x="725" y="35917"/>
                                  <a:pt x="0" y="32345"/>
                                  <a:pt x="0" y="28575"/>
                                </a:cubicBezTo>
                                <a:cubicBezTo>
                                  <a:pt x="0" y="24755"/>
                                  <a:pt x="725" y="21034"/>
                                  <a:pt x="2175" y="17562"/>
                                </a:cubicBezTo>
                                <a:cubicBezTo>
                                  <a:pt x="3625" y="14039"/>
                                  <a:pt x="5690" y="10914"/>
                                  <a:pt x="8369" y="8334"/>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1934" style="width:4.5pt;height:52.5pt;position:absolute;mso-position-horizontal-relative:text;mso-position-horizontal:absolute;margin-left:16.8633pt;mso-position-vertical-relative:text;margin-top:2.74219pt;" coordsize="571,6667">
                <v:shape id="Shape 9250" style="position:absolute;width:571;height:571;left:0;top:0;" coordsize="57150,57150" path="m28575,0c32364,0,36009,645,39510,2084c43011,3572,46101,5655,48781,8334c51460,10914,53525,13990,54975,17463c56425,20985,57150,24705,57150,28575c57150,32345,56425,36016,54975,39489c53525,43011,51460,46038,48781,48716c46101,51346,43011,53429,39510,54818c36009,56406,32364,57150,28575,57150c24786,57150,21141,56406,17640,54818c14139,53429,11049,51346,8369,48716c5690,46038,3625,43011,2175,39489c725,36016,0,32345,0,28575c0,24705,725,20985,2175,17463c3625,13990,5690,10914,8369,8334c11049,5655,14139,3572,17640,2084c21141,645,24786,0,28575,0x">
                  <v:stroke weight="0pt" endcap="flat" joinstyle="miter" miterlimit="10" on="false" color="#000000" opacity="0"/>
                  <v:fill on="true" color="#333333"/>
                </v:shape>
                <v:shape id="Shape 9252" style="position:absolute;width:571;height:571;left:0;top:1524;" coordsize="57150,57150" path="m28575,0c32364,0,36009,645,39510,2084c43011,3473,46101,5556,48781,8334c51460,10914,53525,13990,54975,17463c56425,20985,57150,24705,57150,28575c57150,32345,56425,35917,54975,39439c53525,42912,51460,46038,48781,48716c46101,51346,43011,53429,39510,54818c36009,56307,32364,57051,28575,57150c24786,57051,21141,56307,17640,54818c14139,53429,11049,51346,8369,48716c5690,46038,3625,42912,2175,39439c725,35917,0,32345,0,28575c0,24705,725,20985,2175,17463c3625,13990,5690,10914,8369,8334c11049,5556,14139,3473,17640,2084c21141,645,24786,0,28575,0x">
                  <v:stroke weight="0pt" endcap="flat" joinstyle="miter" miterlimit="10" on="false" color="#000000" opacity="0"/>
                  <v:fill on="true" color="#333333"/>
                </v:shape>
                <v:shape id="Shape 9254" style="position:absolute;width:571;height:571;left:0;top:3048;" coordsize="57150,57150" path="m28575,0c32364,0,36009,645,39510,2084c43011,3473,46101,5507,48781,8235c51460,10864,53525,13990,54975,17463c56425,20985,57150,24705,57150,28575c57150,32345,56425,35917,54975,39439c53525,42912,51460,46038,48781,48716c46101,51346,43011,53429,39510,54818c36009,56307,32364,57051,28575,57150c24786,57051,21141,56307,17640,54818c14139,53429,11049,51346,8369,48716c5690,46038,3625,42912,2175,39439c725,35917,0,32345,0,28575c0,24705,725,20985,2175,17463c3625,13990,5690,10864,8369,8235c11049,5507,14139,3473,17640,2084c21141,645,24786,0,28575,0x">
                  <v:stroke weight="0pt" endcap="flat" joinstyle="miter" miterlimit="10" on="false" color="#000000" opacity="0"/>
                  <v:fill on="true" color="#333333"/>
                </v:shape>
                <v:shape id="Shape 9256" style="position:absolute;width:571;height:571;left:0;top:4572;" coordsize="57150,57150" path="m28575,0c32364,0,36009,645,39510,2084c43011,3473,46101,5507,48781,8235c51460,10864,53525,13990,54975,17463c56425,20985,57150,24705,57150,28575c57150,32345,56425,35917,54975,39340c53525,42863,51460,45988,48781,48716c46101,51346,43011,53429,39510,54818c36009,56307,32364,57051,28575,57150c24786,57051,21141,56307,17640,54818c14139,53429,11049,51346,8369,48716c5690,45988,3625,42863,2175,39340c725,35917,0,32345,0,28575c0,24705,725,20985,2175,17463c3625,13990,5690,10864,8369,8235c11049,5507,14139,3473,17640,2084c21141,645,24786,0,28575,0x">
                  <v:stroke weight="0pt" endcap="flat" joinstyle="miter" miterlimit="10" on="false" color="#000000" opacity="0"/>
                  <v:fill on="true" color="#333333"/>
                </v:shape>
                <v:shape id="Shape 9258" style="position:absolute;width:571;height:571;left:0;top:6096;" coordsize="57150,57150" path="m28575,0c32364,0,36009,645,39510,2084c43011,3473,46101,5556,48781,8334c51460,10914,53525,14039,54975,17562c56425,21034,57150,24755,57150,28575c57150,32345,56425,35917,54975,39340c53525,42863,51460,45988,48781,48716c46101,51346,43011,53429,39510,54818c36009,56307,32364,57051,28575,57150c24786,57051,21141,56307,17640,54818c14139,53429,11049,51346,8369,48716c5690,45988,3625,42863,2175,39340c725,35917,0,32345,0,28575c0,24755,725,21034,2175,17562c3625,14039,5690,10914,8369,8334c11049,5556,14139,3473,17640,2084c21141,645,24786,0,28575,0x">
                  <v:stroke weight="0pt" endcap="flat" joinstyle="miter" miterlimit="10" on="false" color="#000000" opacity="0"/>
                  <v:fill on="true" color="#333333"/>
                </v:shape>
                <w10:wrap type="square"/>
              </v:group>
            </w:pict>
          </mc:Fallback>
        </mc:AlternateContent>
      </w:r>
      <w:r>
        <w:t>Реанимационные мероприятия.</w:t>
      </w:r>
    </w:p>
    <w:p w:rsidR="008E3F15" w:rsidRDefault="005F449A">
      <w:pPr>
        <w:spacing w:after="31"/>
        <w:ind w:left="347" w:right="15"/>
      </w:pPr>
      <w:r>
        <w:t>β-Адреноблокаторы.</w:t>
      </w:r>
    </w:p>
    <w:p w:rsidR="008E3F15" w:rsidRDefault="005F449A">
      <w:pPr>
        <w:spacing w:after="31"/>
        <w:ind w:left="347" w:right="15"/>
      </w:pPr>
      <w:r>
        <w:t>Терапия СН: иАПФ, сакубитрил + валсартан, аМКР.</w:t>
      </w:r>
    </w:p>
    <w:p w:rsidR="008E3F15" w:rsidRDefault="005F449A">
      <w:pPr>
        <w:spacing w:after="179"/>
        <w:ind w:left="347" w:right="6189"/>
      </w:pPr>
      <w:r>
        <w:t>Реваскуляризация мио карда. ИКД.</w:t>
      </w:r>
    </w:p>
    <w:p w:rsidR="008E3F15" w:rsidRDefault="005F449A">
      <w:pPr>
        <w:ind w:left="2" w:right="15"/>
      </w:pPr>
      <w:r>
        <w:t>Внезапная сердечная смерть (ВСС) — естественная смерть вследствие сердечной причины, которой предшествовала внезапная п</w:t>
      </w:r>
      <w:r>
        <w:t>отеря сознания в течение одного часа после острого изменения сердечно-сосудистого статуса. Предшествующее заболевание сердца может быть известно или неизвестно, время и способ наступления смерти неожиданны (Myerburg R., Castellanos A., 2015).</w:t>
      </w:r>
    </w:p>
    <w:p w:rsidR="008E3F15" w:rsidRDefault="005F449A">
      <w:pPr>
        <w:ind w:left="2" w:right="15"/>
      </w:pPr>
      <w:r>
        <w:t>Остановка сер</w:t>
      </w:r>
      <w:r>
        <w:t>дца в 2/3 случаев наблюдается во внебольничных условиях, обычно в дневное время и чаще в присутствии свидетелей. Почти 90% внезапных смертей имеют сердечную природу и обозначаются как «внезапная сердечная смерть».</w:t>
      </w:r>
    </w:p>
    <w:p w:rsidR="008E3F15" w:rsidRDefault="005F449A">
      <w:pPr>
        <w:spacing w:after="359"/>
        <w:ind w:left="2" w:right="15"/>
      </w:pPr>
      <w:r>
        <w:t>По данным датского исследования, ВСС соста</w:t>
      </w:r>
      <w:r>
        <w:t>вляет до 13% всех смертей, и почти половина случается у лиц без ССЗ в прошлом (Lynge T. et al., 2021).</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ind w:left="2" w:right="15"/>
      </w:pPr>
      <w:r>
        <w:t>У молодых среди причин ВСС доминируют каналопатии, кардиомиопатии, мио кардиты, злоупотребле</w:t>
      </w:r>
      <w:r>
        <w:t>ние психоактивными веществами.</w:t>
      </w:r>
    </w:p>
    <w:p w:rsidR="008E3F15" w:rsidRDefault="005F449A">
      <w:pPr>
        <w:ind w:left="2" w:right="293"/>
      </w:pPr>
      <w:r>
        <w:t>Основной причиной ВСС является коронарная болезнь, включая острый или перенесенный ИМ, и СН (</w:t>
      </w:r>
      <w:r>
        <w:rPr>
          <w:b/>
        </w:rPr>
        <w:t>рис. 6.1</w:t>
      </w:r>
      <w:r>
        <w:t>). Семейный анамнез ВСС ассоциируется с увеличением риска события на 46% (Friedlander Y. et al., 1998).</w:t>
      </w:r>
    </w:p>
    <w:p w:rsidR="008E3F15" w:rsidRDefault="005F449A">
      <w:pPr>
        <w:spacing w:after="65" w:line="259" w:lineRule="auto"/>
        <w:ind w:left="7" w:right="0" w:firstLine="0"/>
      </w:pPr>
      <w:r>
        <w:rPr>
          <w:noProof/>
        </w:rPr>
        <w:drawing>
          <wp:inline distT="0" distB="0" distL="0" distR="0">
            <wp:extent cx="5057775" cy="2724150"/>
            <wp:effectExtent l="0" t="0" r="0" b="0"/>
            <wp:docPr id="9280" name="Picture 9280"/>
            <wp:cNvGraphicFramePr/>
            <a:graphic xmlns:a="http://schemas.openxmlformats.org/drawingml/2006/main">
              <a:graphicData uri="http://schemas.openxmlformats.org/drawingml/2006/picture">
                <pic:pic xmlns:pic="http://schemas.openxmlformats.org/drawingml/2006/picture">
                  <pic:nvPicPr>
                    <pic:cNvPr id="9280" name="Picture 9280"/>
                    <pic:cNvPicPr/>
                  </pic:nvPicPr>
                  <pic:blipFill>
                    <a:blip r:embed="rId102"/>
                    <a:stretch>
                      <a:fillRect/>
                    </a:stretch>
                  </pic:blipFill>
                  <pic:spPr>
                    <a:xfrm>
                      <a:off x="0" y="0"/>
                      <a:ext cx="5057775" cy="2724150"/>
                    </a:xfrm>
                    <a:prstGeom prst="rect">
                      <a:avLst/>
                    </a:prstGeom>
                  </pic:spPr>
                </pic:pic>
              </a:graphicData>
            </a:graphic>
          </wp:inline>
        </w:drawing>
      </w:r>
    </w:p>
    <w:p w:rsidR="008E3F15" w:rsidRDefault="005F449A">
      <w:pPr>
        <w:spacing w:after="31"/>
        <w:ind w:left="2" w:right="15"/>
      </w:pPr>
      <w:r>
        <w:rPr>
          <w:b/>
        </w:rPr>
        <w:t xml:space="preserve">Рис. 6.1. </w:t>
      </w:r>
      <w:r>
        <w:t>Причины внезапной смерти по данным аутопсий (Lynge T. et al., 2021)</w:t>
      </w:r>
    </w:p>
    <w:p w:rsidR="008E3F15" w:rsidRDefault="005F449A">
      <w:pPr>
        <w:ind w:left="2" w:right="15"/>
      </w:pPr>
      <w:r>
        <w:t>Даже после аутопсии значительная часть внезапных смертей (2–54%) остается необъясненной (Mazzanti A. et al., 2014). На практике частота неуточненных внезапных смертей еще выше вследствие о</w:t>
      </w:r>
      <w:r>
        <w:t xml:space="preserve">граниченных диагностических возможностей патологоанатомических отделений. </w:t>
      </w:r>
      <w:r>
        <w:rPr>
          <w:i/>
        </w:rPr>
        <w:t>Причины ВСС:</w:t>
      </w:r>
    </w:p>
    <w:p w:rsidR="008E3F15" w:rsidRDefault="005F449A">
      <w:pPr>
        <w:ind w:left="347" w:right="2280"/>
      </w:pPr>
      <w:r>
        <w:rPr>
          <w:rFonts w:ascii="Calibri" w:eastAsia="Calibri" w:hAnsi="Calibri" w:cs="Calibri"/>
          <w:noProof/>
          <w:color w:val="000000"/>
          <w:sz w:val="22"/>
        </w:rPr>
        <mc:AlternateContent>
          <mc:Choice Requires="wpg">
            <w:drawing>
              <wp:anchor distT="0" distB="0" distL="114300" distR="114300" simplePos="0" relativeHeight="251777024" behindDoc="0" locked="0" layoutInCell="1" allowOverlap="1">
                <wp:simplePos x="0" y="0"/>
                <wp:positionH relativeFrom="column">
                  <wp:posOffset>214164</wp:posOffset>
                </wp:positionH>
                <wp:positionV relativeFrom="paragraph">
                  <wp:posOffset>34826</wp:posOffset>
                </wp:positionV>
                <wp:extent cx="57150" cy="1428750"/>
                <wp:effectExtent l="0" t="0" r="0" b="0"/>
                <wp:wrapSquare wrapText="bothSides"/>
                <wp:docPr id="283507" name="Group 283507"/>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9316" name="Shape 9316"/>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5917"/>
                                  <a:pt x="54975" y="39390"/>
                                </a:cubicBezTo>
                                <a:cubicBezTo>
                                  <a:pt x="53525" y="42863"/>
                                  <a:pt x="51460" y="45938"/>
                                  <a:pt x="48781" y="487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716"/>
                                </a:cubicBezTo>
                                <a:cubicBezTo>
                                  <a:pt x="5690" y="45938"/>
                                  <a:pt x="3625" y="42863"/>
                                  <a:pt x="2175" y="39390"/>
                                </a:cubicBezTo>
                                <a:cubicBezTo>
                                  <a:pt x="725" y="35917"/>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18" name="Shape 931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5917"/>
                                  <a:pt x="54975" y="39390"/>
                                </a:cubicBezTo>
                                <a:cubicBezTo>
                                  <a:pt x="53525" y="42863"/>
                                  <a:pt x="51460" y="45938"/>
                                  <a:pt x="48781" y="487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716"/>
                                </a:cubicBezTo>
                                <a:cubicBezTo>
                                  <a:pt x="5690" y="45938"/>
                                  <a:pt x="3625" y="42863"/>
                                  <a:pt x="2175" y="39390"/>
                                </a:cubicBezTo>
                                <a:cubicBezTo>
                                  <a:pt x="725" y="35917"/>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20" name="Shape 932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445"/>
                                  <a:pt x="56425" y="36016"/>
                                  <a:pt x="54975" y="39489"/>
                                </a:cubicBezTo>
                                <a:cubicBezTo>
                                  <a:pt x="53525" y="42962"/>
                                  <a:pt x="51460" y="46038"/>
                                  <a:pt x="48781" y="48816"/>
                                </a:cubicBezTo>
                                <a:cubicBezTo>
                                  <a:pt x="46101" y="51495"/>
                                  <a:pt x="43011" y="53578"/>
                                  <a:pt x="39510" y="54967"/>
                                </a:cubicBezTo>
                                <a:cubicBezTo>
                                  <a:pt x="36009" y="56455"/>
                                  <a:pt x="32364" y="57150"/>
                                  <a:pt x="28575" y="57150"/>
                                </a:cubicBezTo>
                                <a:cubicBezTo>
                                  <a:pt x="24786" y="57150"/>
                                  <a:pt x="21141" y="56455"/>
                                  <a:pt x="17640" y="54967"/>
                                </a:cubicBezTo>
                                <a:cubicBezTo>
                                  <a:pt x="14139" y="53578"/>
                                  <a:pt x="11049" y="51495"/>
                                  <a:pt x="8369" y="48816"/>
                                </a:cubicBezTo>
                                <a:cubicBezTo>
                                  <a:pt x="5690" y="46038"/>
                                  <a:pt x="3625" y="42962"/>
                                  <a:pt x="2175" y="39489"/>
                                </a:cubicBezTo>
                                <a:cubicBezTo>
                                  <a:pt x="725" y="36016"/>
                                  <a:pt x="0" y="324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22" name="Shape 9322"/>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962"/>
                                  <a:pt x="51460" y="46038"/>
                                  <a:pt x="48781" y="48816"/>
                                </a:cubicBezTo>
                                <a:cubicBezTo>
                                  <a:pt x="46101" y="51395"/>
                                  <a:pt x="43011" y="53479"/>
                                  <a:pt x="39510" y="54967"/>
                                </a:cubicBezTo>
                                <a:cubicBezTo>
                                  <a:pt x="36009" y="56455"/>
                                  <a:pt x="32364" y="57150"/>
                                  <a:pt x="28575" y="57150"/>
                                </a:cubicBezTo>
                                <a:cubicBezTo>
                                  <a:pt x="24786" y="57150"/>
                                  <a:pt x="21141" y="56455"/>
                                  <a:pt x="17640" y="54967"/>
                                </a:cubicBezTo>
                                <a:cubicBezTo>
                                  <a:pt x="14139" y="53479"/>
                                  <a:pt x="11049" y="51395"/>
                                  <a:pt x="8369" y="48816"/>
                                </a:cubicBezTo>
                                <a:cubicBezTo>
                                  <a:pt x="5690" y="46038"/>
                                  <a:pt x="3625" y="42962"/>
                                  <a:pt x="2175" y="39489"/>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24" name="Shape 9324"/>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863"/>
                                  <a:pt x="51460" y="46038"/>
                                  <a:pt x="48781" y="48816"/>
                                </a:cubicBezTo>
                                <a:cubicBezTo>
                                  <a:pt x="46101" y="51395"/>
                                  <a:pt x="43011" y="53380"/>
                                  <a:pt x="39510" y="54967"/>
                                </a:cubicBezTo>
                                <a:cubicBezTo>
                                  <a:pt x="36009" y="56356"/>
                                  <a:pt x="32364" y="57150"/>
                                  <a:pt x="28575" y="57150"/>
                                </a:cubicBezTo>
                                <a:cubicBezTo>
                                  <a:pt x="24786" y="57150"/>
                                  <a:pt x="21141" y="56356"/>
                                  <a:pt x="17640" y="54967"/>
                                </a:cubicBezTo>
                                <a:cubicBezTo>
                                  <a:pt x="14139" y="53380"/>
                                  <a:pt x="11049" y="51395"/>
                                  <a:pt x="8369" y="48816"/>
                                </a:cubicBezTo>
                                <a:cubicBezTo>
                                  <a:pt x="5690" y="46038"/>
                                  <a:pt x="3625" y="42863"/>
                                  <a:pt x="2175" y="39489"/>
                                </a:cubicBezTo>
                                <a:cubicBezTo>
                                  <a:pt x="725" y="36016"/>
                                  <a:pt x="0" y="32345"/>
                                  <a:pt x="0" y="28575"/>
                                </a:cubicBezTo>
                                <a:cubicBezTo>
                                  <a:pt x="0" y="24705"/>
                                  <a:pt x="725" y="21034"/>
                                  <a:pt x="2175" y="17562"/>
                                </a:cubicBezTo>
                                <a:cubicBezTo>
                                  <a:pt x="3625" y="13990"/>
                                  <a:pt x="5690" y="11013"/>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26" name="Shape 9326"/>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6016"/>
                                  <a:pt x="54975" y="39489"/>
                                </a:cubicBezTo>
                                <a:cubicBezTo>
                                  <a:pt x="53525" y="42863"/>
                                  <a:pt x="51460" y="46038"/>
                                  <a:pt x="48781" y="48816"/>
                                </a:cubicBezTo>
                                <a:cubicBezTo>
                                  <a:pt x="46101" y="51395"/>
                                  <a:pt x="43011" y="53380"/>
                                  <a:pt x="39510" y="54868"/>
                                </a:cubicBezTo>
                                <a:cubicBezTo>
                                  <a:pt x="36009" y="56356"/>
                                  <a:pt x="32364" y="57150"/>
                                  <a:pt x="28575" y="57150"/>
                                </a:cubicBezTo>
                                <a:cubicBezTo>
                                  <a:pt x="24786" y="57150"/>
                                  <a:pt x="21141" y="56356"/>
                                  <a:pt x="17640" y="54868"/>
                                </a:cubicBezTo>
                                <a:cubicBezTo>
                                  <a:pt x="14139" y="53380"/>
                                  <a:pt x="11049" y="51395"/>
                                  <a:pt x="8369" y="48816"/>
                                </a:cubicBezTo>
                                <a:cubicBezTo>
                                  <a:pt x="5690" y="46038"/>
                                  <a:pt x="3625" y="42863"/>
                                  <a:pt x="2175" y="39489"/>
                                </a:cubicBezTo>
                                <a:cubicBezTo>
                                  <a:pt x="725" y="36016"/>
                                  <a:pt x="0" y="323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30" name="Shape 9330"/>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390"/>
                                </a:cubicBezTo>
                                <a:cubicBezTo>
                                  <a:pt x="53525" y="42863"/>
                                  <a:pt x="51460" y="46038"/>
                                  <a:pt x="48781" y="48816"/>
                                </a:cubicBezTo>
                                <a:cubicBezTo>
                                  <a:pt x="46101" y="51395"/>
                                  <a:pt x="43011" y="53380"/>
                                  <a:pt x="39510" y="54868"/>
                                </a:cubicBezTo>
                                <a:cubicBezTo>
                                  <a:pt x="36009" y="56356"/>
                                  <a:pt x="32364" y="57150"/>
                                  <a:pt x="28575" y="57150"/>
                                </a:cubicBezTo>
                                <a:cubicBezTo>
                                  <a:pt x="24786" y="57150"/>
                                  <a:pt x="21141" y="56356"/>
                                  <a:pt x="17640" y="54868"/>
                                </a:cubicBezTo>
                                <a:cubicBezTo>
                                  <a:pt x="14139" y="53380"/>
                                  <a:pt x="11049" y="51395"/>
                                  <a:pt x="8369" y="48816"/>
                                </a:cubicBezTo>
                                <a:cubicBezTo>
                                  <a:pt x="5690" y="460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33" name="Shape 9333"/>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390"/>
                                </a:cubicBezTo>
                                <a:cubicBezTo>
                                  <a:pt x="53525" y="42863"/>
                                  <a:pt x="51460" y="46038"/>
                                  <a:pt x="48781" y="488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816"/>
                                </a:cubicBezTo>
                                <a:cubicBezTo>
                                  <a:pt x="5690" y="460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335" name="Shape 9335"/>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390"/>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716"/>
                                </a:cubicBezTo>
                                <a:cubicBezTo>
                                  <a:pt x="5690" y="459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507" style="width:4.5pt;height:112.5pt;position:absolute;mso-position-horizontal-relative:text;mso-position-horizontal:absolute;margin-left:16.8633pt;mso-position-vertical-relative:text;margin-top:2.74219pt;" coordsize="571,14287">
                <v:shape id="Shape 9316" style="position:absolute;width:571;height:571;left:0;top:0;" coordsize="57150,57150" path="m28575,0c32364,0,36009,695,39510,2084c43011,3572,46101,5655,48781,8334c51460,11013,53525,14089,54975,17562c56425,21134,57150,24705,57150,28575c57150,32345,56425,35917,54975,39390c53525,42863,51460,45938,48781,48716c46101,51395,43011,53479,39510,54868c36009,56356,32364,57150,28575,57150c24786,57150,21141,56356,17640,54868c14139,53479,11049,51395,8369,48716c5690,45938,3625,42863,2175,39390c725,35917,0,32345,0,28575c0,24705,725,21134,2175,17562c3625,14089,5690,11013,8369,8334c11049,5655,14139,3572,17640,2084c21141,695,24786,0,28575,0x">
                  <v:stroke weight="0pt" endcap="flat" joinstyle="miter" miterlimit="4" on="false" color="#000000" opacity="0"/>
                  <v:fill on="true" color="#333333"/>
                </v:shape>
                <v:shape id="Shape 9318" style="position:absolute;width:571;height:571;left:0;top:1524;" coordsize="57150,57150" path="m28575,0c32364,0,36009,695,39510,2084c43011,3572,46101,5655,48781,8334c51460,11013,53525,14089,54975,17562c56425,21134,57150,24705,57150,28575c57150,32345,56425,35917,54975,39390c53525,42863,51460,45938,48781,48716c46101,51395,43011,53479,39510,54868c36009,56356,32364,57150,28575,57150c24786,57150,21141,56356,17640,54868c14139,53479,11049,51395,8369,48716c5690,45938,3625,42863,2175,39390c725,35917,0,32345,0,28575c0,24705,725,21134,2175,17562c3625,14089,5690,11013,8369,8334c11049,5655,14139,3572,17640,2084c21141,695,24786,0,28575,0x">
                  <v:stroke weight="0pt" endcap="flat" joinstyle="miter" miterlimit="4" on="false" color="#000000" opacity="0"/>
                  <v:fill on="true" color="#333333"/>
                </v:shape>
                <v:shape id="Shape 9320" style="position:absolute;width:571;height:571;left:0;top:3048;" coordsize="57150,57150" path="m28575,0c32364,0,36009,695,39510,2084c43011,3572,46101,5655,48781,8334c51460,11013,53525,14089,54975,17562c56425,21134,57150,24705,57150,28575c57150,32445,56425,36016,54975,39489c53525,42962,51460,46038,48781,48816c46101,51495,43011,53578,39510,54967c36009,56455,32364,57150,28575,57150c24786,57150,21141,56455,17640,54967c14139,53578,11049,51495,8369,48816c5690,46038,3625,42962,2175,39489c725,36016,0,32445,0,28575c0,24705,725,21134,2175,17562c3625,14089,5690,11013,8369,8334c11049,5655,14139,3572,17640,2084c21141,695,24786,0,28575,0x">
                  <v:stroke weight="0pt" endcap="flat" joinstyle="miter" miterlimit="4" on="false" color="#000000" opacity="0"/>
                  <v:fill on="true" color="#333333"/>
                </v:shape>
                <v:shape id="Shape 9322" style="position:absolute;width:571;height:571;left:0;top:4572;" coordsize="57150,57150" path="m28575,0c32364,0,36009,695,39510,2084c43011,3572,46101,5655,48781,8334c51460,11013,53525,13990,54975,17562c56425,21034,57150,24705,57150,28575c57150,32445,56425,36016,54975,39489c53525,42962,51460,46038,48781,48816c46101,51395,43011,53479,39510,54967c36009,56455,32364,57150,28575,57150c24786,57150,21141,56455,17640,54967c14139,53479,11049,51395,8369,48816c5690,46038,3625,42962,2175,39489c725,36016,0,32445,0,28575c0,24705,725,21034,2175,17562c3625,13990,5690,11013,8369,8334c11049,5655,14139,3572,17640,2084c21141,695,24786,0,28575,0x">
                  <v:stroke weight="0pt" endcap="flat" joinstyle="miter" miterlimit="4" on="false" color="#000000" opacity="0"/>
                  <v:fill on="true" color="#333333"/>
                </v:shape>
                <v:shape id="Shape 9324" style="position:absolute;width:571;height:571;left:0;top:6096;" coordsize="57150,57150" path="m28575,0c32364,0,36009,794,39510,2183c43011,3572,46101,5655,48781,8334c51460,11013,53525,13990,54975,17562c56425,21034,57150,24705,57150,28575c57150,32345,56425,36016,54975,39489c53525,42863,51460,46038,48781,48816c46101,51395,43011,53380,39510,54967c36009,56356,32364,57150,28575,57150c24786,57150,21141,56356,17640,54967c14139,53380,11049,51395,8369,48816c5690,46038,3625,42863,2175,39489c725,36016,0,32345,0,28575c0,24705,725,21034,2175,17562c3625,13990,5690,11013,8369,8334c11049,5655,14139,3572,17640,2183c21141,794,24786,0,28575,0x">
                  <v:stroke weight="0pt" endcap="flat" joinstyle="miter" miterlimit="4" on="false" color="#000000" opacity="0"/>
                  <v:fill on="true" color="#333333"/>
                </v:shape>
                <v:shape id="Shape 9326" style="position:absolute;width:571;height:571;left:0;top:7620;" coordsize="57150,57150" path="m28575,0c32364,0,36009,695,39510,2084c43011,3572,46101,5655,48781,8334c51460,11013,53525,14089,54975,17562c56425,21134,57150,24805,57150,28575c57150,32345,56425,36016,54975,39489c53525,42863,51460,46038,48781,48816c46101,51395,43011,53380,39510,54868c36009,56356,32364,57150,28575,57150c24786,57150,21141,56356,17640,54868c14139,53380,11049,51395,8369,48816c5690,46038,3625,42863,2175,39489c725,36016,0,32345,0,28575c0,24805,725,21134,2175,17562c3625,14089,5690,11013,8369,8334c11049,5655,14139,3572,17640,2084c21141,695,24786,0,28575,0x">
                  <v:stroke weight="0pt" endcap="flat" joinstyle="miter" miterlimit="4" on="false" color="#000000" opacity="0"/>
                  <v:fill on="true" color="#333333"/>
                </v:shape>
                <v:shape id="Shape 9330" style="position:absolute;width:571;height:571;left:0;top:9144;" coordsize="57150,57150" path="m28575,0c32364,0,36009,695,39510,2084c43011,3572,46101,5655,48781,8334c51460,11013,53525,14089,54975,17562c56425,21134,57150,24805,57150,28575c57150,32445,56425,36016,54975,39390c53525,42863,51460,46038,48781,48816c46101,51395,43011,53380,39510,54868c36009,56356,32364,57150,28575,57150c24786,57150,21141,56356,17640,54868c14139,53380,11049,51395,8369,48816c5690,46038,3625,42863,2175,39390c725,36016,0,32445,0,28575c0,24805,725,21134,2175,17562c3625,14089,5690,11013,8369,8334c11049,5655,14139,3572,17640,2084c21141,695,24786,0,28575,0x">
                  <v:stroke weight="0pt" endcap="flat" joinstyle="miter" miterlimit="4" on="false" color="#000000" opacity="0"/>
                  <v:fill on="true" color="#333333"/>
                </v:shape>
                <v:shape id="Shape 9333" style="position:absolute;width:571;height:571;left:0;top:12192;" coordsize="57150,57150" path="m28575,0c32364,0,36009,695,39510,2084c43011,3572,46101,5655,48781,8334c51460,11013,53525,14089,54975,17562c56425,21134,57150,24805,57150,28575c57150,32445,56425,36016,54975,39390c53525,42863,51460,46038,48781,48816c46101,51395,43011,53479,39510,54868c36009,56356,32364,57150,28575,57150c24786,57150,21141,56356,17640,54868c14139,53479,11049,51395,8369,48816c5690,46038,3625,42863,2175,39390c725,36016,0,32445,0,28575c0,24805,725,21134,2175,17562c3625,14089,5690,11013,8369,8334c11049,5655,14139,3572,17640,2084c21141,695,24786,0,28575,0x">
                  <v:stroke weight="0pt" endcap="flat" joinstyle="miter" miterlimit="4" on="false" color="#000000" opacity="0"/>
                  <v:fill on="true" color="#333333"/>
                </v:shape>
                <v:shape id="Shape 9335" style="position:absolute;width:571;height:571;left:0;top:13716;" coordsize="57150,57150" path="m28575,0c32364,0,36009,695,39510,2084c43011,3572,46101,5655,48781,8334c51460,11013,53525,14089,54975,17562c56425,21134,57150,24805,57150,28575c57150,32445,56425,36016,54975,39390c53525,42863,51460,45938,48781,48716c46101,51296,43011,53380,39510,54868c36009,56356,32364,57150,28575,57150c24786,57150,21141,56356,17640,54868c14139,53380,11049,51296,8369,48716c5690,45938,3625,42863,2175,39390c725,36016,0,32445,0,28575c0,24805,725,21134,2175,17562c3625,14089,5690,11013,8369,8334c11049,5655,14139,3572,17640,2084c21141,695,24786,0,28575,0x">
                  <v:stroke weight="0pt" endcap="flat" joinstyle="miter" miterlimit="4" on="false" color="#000000" opacity="0"/>
                  <v:fill on="true" color="#333333"/>
                </v:shape>
                <w10:wrap type="square"/>
              </v:group>
            </w:pict>
          </mc:Fallback>
        </mc:AlternateContent>
      </w:r>
      <w:r>
        <w:t>коронарная болезнь, аномалии развития коронарных артерий; кардиомиопатии (дилатационная, гипертрофическая, аритмогенная); пороки сердца (врожденные, приобретенные); мио</w:t>
      </w:r>
      <w:r>
        <w:t xml:space="preserve"> кардит;</w:t>
      </w:r>
    </w:p>
    <w:p w:rsidR="008E3F15" w:rsidRDefault="005F449A">
      <w:pPr>
        <w:spacing w:after="31"/>
        <w:ind w:left="347" w:right="15"/>
      </w:pPr>
      <w:r>
        <w:t>болезни мио карда (саркоидоз, амилоидоз, опухоли сердца);</w:t>
      </w:r>
    </w:p>
    <w:p w:rsidR="008E3F15" w:rsidRDefault="005F449A">
      <w:pPr>
        <w:ind w:left="347" w:right="558"/>
      </w:pPr>
      <w:r>
        <w:t xml:space="preserve">каналопатии (синдромы Бругада, удлиненного и короткого интервала </w:t>
      </w:r>
      <w:r>
        <w:rPr>
          <w:i/>
        </w:rPr>
        <w:t>Q–T</w:t>
      </w:r>
      <w:r>
        <w:t>); аритмии: ЖТ (катехоламинчувствительная, идиопатическая), синдром Вольфа–</w:t>
      </w:r>
    </w:p>
    <w:p w:rsidR="008E3F15" w:rsidRDefault="005F449A">
      <w:pPr>
        <w:spacing w:after="179"/>
        <w:ind w:left="347" w:right="2653"/>
      </w:pPr>
      <w:r>
        <w:t>Паркинсона–Уайта, синдром ранней реполяризаци</w:t>
      </w:r>
      <w:r>
        <w:t>и желудочков; кокаиновая интоксикация; электролитный дисбаланс.</w:t>
      </w:r>
    </w:p>
    <w:p w:rsidR="008E3F15" w:rsidRDefault="005F449A">
      <w:pPr>
        <w:ind w:left="2" w:right="1964"/>
      </w:pPr>
      <w:r>
        <w:t>Эффективность скрининга заболеваний, способствующих ВСС (включая ЭКГ и эхокардиографию), в общей популяции и у спортсменов не доказана.</w:t>
      </w:r>
    </w:p>
    <w:p w:rsidR="008E3F15" w:rsidRDefault="005F449A">
      <w:pPr>
        <w:spacing w:after="359"/>
        <w:ind w:left="2" w:right="15"/>
      </w:pPr>
      <w:r>
        <w:t>В случаях каналопатий, некоторых кардиомиопатий и выраже</w:t>
      </w:r>
      <w:r>
        <w:t>нной гиперхолестеринемии показано обследование (включая генетические тесты) родственников. При сборе семейного анамнеза нужно обращать внимание также на эпизоды сердцебиения, предобмороков, обмороков и «эпилепсии».</w:t>
      </w:r>
    </w:p>
    <w:p w:rsidR="008E3F15" w:rsidRDefault="005F449A">
      <w:pPr>
        <w:pStyle w:val="Heading1"/>
        <w:ind w:left="2"/>
      </w:pPr>
      <w:r>
        <w:t>Часть I. Сердечно-сосудистые болезни</w:t>
      </w:r>
    </w:p>
    <w:p w:rsidR="008E3F15" w:rsidRDefault="005F449A">
      <w:pPr>
        <w:spacing w:after="31"/>
        <w:ind w:left="2" w:right="15"/>
      </w:pPr>
      <w:r>
        <w:t>Диаг</w:t>
      </w:r>
      <w:r>
        <w:t>ностика</w:t>
      </w:r>
    </w:p>
    <w:p w:rsidR="008E3F15" w:rsidRDefault="005F449A">
      <w:pPr>
        <w:ind w:left="2" w:right="15"/>
      </w:pPr>
      <w:r>
        <w:t>При остановке сердечной деятельности через 15–20 с пациент теряет сознание, через 40–50 с развивается однократное тоническое сокращение скелетных мышц. В это же время начинают расширяться зрачки. Дыхание постепенно становится реже и прекращается.</w:t>
      </w:r>
    </w:p>
    <w:p w:rsidR="008E3F15" w:rsidRDefault="005F449A">
      <w:pPr>
        <w:ind w:left="2" w:right="15"/>
      </w:pPr>
      <w:r>
        <w:t>Д</w:t>
      </w:r>
      <w:r>
        <w:t>ля диагностики состояния смерти необходимо наличие только двух признаков: отсутствие сознания и отсутствие пульса на сонных артериях.</w:t>
      </w:r>
    </w:p>
    <w:p w:rsidR="008E3F15" w:rsidRDefault="005F449A">
      <w:pPr>
        <w:ind w:left="2" w:right="15"/>
      </w:pPr>
      <w:r>
        <w:t>Метод определения пульса на сонных артериях для оценки наличия или отсутствия кровообращения считается недостаточно точным</w:t>
      </w:r>
      <w:r>
        <w:t xml:space="preserve"> (ERC). Могут помочь в оценке состояния кашель, дыхательные и мышечные движения. На это следует тратить не более 10 с. Основным механизмом ВСС является ФЖ, которая составляет более 80% случаев, а оставшаяся часть обусловлена асистолией или электромеханичес</w:t>
      </w:r>
      <w:r>
        <w:t>кой диссоциацией. По данным канадского исследования, 30-дневная смертность составила 78 и 99% у пациентов с ФЖ/ЖТ и асистолией соответственно (Ko D. et al., 2016).</w:t>
      </w:r>
    </w:p>
    <w:p w:rsidR="008E3F15" w:rsidRDefault="005F449A">
      <w:pPr>
        <w:ind w:left="2" w:right="15"/>
      </w:pPr>
      <w:r>
        <w:t xml:space="preserve">Снижение мозгового кровотока вследствие отсутствия эффективной сердечной деятельности может </w:t>
      </w:r>
      <w:r>
        <w:t>привести к стойкому повреждению мозга через 4 мин, после 7 мин повреждение обычно становится необратимым.</w:t>
      </w:r>
    </w:p>
    <w:p w:rsidR="008E3F15" w:rsidRDefault="005F449A">
      <w:pPr>
        <w:ind w:left="2" w:right="15"/>
      </w:pPr>
      <w:r>
        <w:rPr>
          <w:b/>
        </w:rPr>
        <w:t xml:space="preserve">Оформление диагноза. </w:t>
      </w:r>
      <w:r>
        <w:t>Определенные сложности представляют ситуации неожиданно развившейся смерти, когда отсутствует информация о состоянии пациента пер</w:t>
      </w:r>
      <w:r>
        <w:t>ед катастрофой. В этих случаях возможны ИМ, ЛЭ, реже инсульт, а также ВСС (</w:t>
      </w:r>
      <w:r>
        <w:rPr>
          <w:b/>
        </w:rPr>
        <w:t>табл. 6.1</w:t>
      </w:r>
      <w:r>
        <w:t>).</w:t>
      </w:r>
    </w:p>
    <w:p w:rsidR="008E3F15" w:rsidRDefault="005F449A">
      <w:pPr>
        <w:spacing w:after="31"/>
        <w:ind w:left="2" w:right="15"/>
      </w:pPr>
      <w:r>
        <w:rPr>
          <w:b/>
        </w:rPr>
        <w:t xml:space="preserve">Таблица 6.1. </w:t>
      </w:r>
      <w:r>
        <w:t>Примеры оформления клинического диагноза</w:t>
      </w:r>
    </w:p>
    <w:tbl>
      <w:tblPr>
        <w:tblStyle w:val="TableGrid"/>
        <w:tblW w:w="10485" w:type="dxa"/>
        <w:tblInd w:w="37" w:type="dxa"/>
        <w:tblCellMar>
          <w:top w:w="80" w:type="dxa"/>
          <w:left w:w="38" w:type="dxa"/>
          <w:bottom w:w="0" w:type="dxa"/>
          <w:right w:w="115" w:type="dxa"/>
        </w:tblCellMar>
        <w:tblLook w:val="04A0" w:firstRow="1" w:lastRow="0" w:firstColumn="1" w:lastColumn="0" w:noHBand="0" w:noVBand="1"/>
      </w:tblPr>
      <w:tblGrid>
        <w:gridCol w:w="9045"/>
        <w:gridCol w:w="1440"/>
      </w:tblGrid>
      <w:tr w:rsidR="008E3F15">
        <w:trPr>
          <w:trHeight w:val="570"/>
        </w:trPr>
        <w:tc>
          <w:tcPr>
            <w:tcW w:w="90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Диагноз</w:t>
            </w:r>
          </w:p>
        </w:tc>
        <w:tc>
          <w:tcPr>
            <w:tcW w:w="14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 xml:space="preserve">Синдром удлиненного интервала </w:t>
            </w:r>
            <w:r>
              <w:rPr>
                <w:i/>
              </w:rPr>
              <w:t>Q–T</w:t>
            </w:r>
            <w:r>
              <w:t>, внезапная смерть (22.05.2023, 9:15)</w:t>
            </w:r>
          </w:p>
        </w:tc>
        <w:tc>
          <w:tcPr>
            <w:tcW w:w="14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I45.8</w:t>
            </w:r>
          </w:p>
        </w:tc>
      </w:tr>
      <w:tr w:rsidR="008E3F15">
        <w:trPr>
          <w:trHeight w:val="33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Внезапная сердечная смерть (11.03.2023)</w:t>
            </w:r>
          </w:p>
        </w:tc>
        <w:tc>
          <w:tcPr>
            <w:tcW w:w="14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I46.1</w:t>
            </w:r>
          </w:p>
        </w:tc>
      </w:tr>
      <w:tr w:rsidR="008E3F15">
        <w:trPr>
          <w:trHeight w:val="33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Внезапная коронарная смерть (02.04.2023, 2:30)</w:t>
            </w:r>
          </w:p>
        </w:tc>
        <w:tc>
          <w:tcPr>
            <w:tcW w:w="14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I24.8</w:t>
            </w:r>
          </w:p>
        </w:tc>
      </w:tr>
      <w:tr w:rsidR="008E3F15">
        <w:trPr>
          <w:trHeight w:val="33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Острый коронарный синдром. Внезапная сердечная смерть (12.04.2023)</w:t>
            </w:r>
          </w:p>
        </w:tc>
        <w:tc>
          <w:tcPr>
            <w:tcW w:w="14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I20.0</w:t>
            </w:r>
          </w:p>
        </w:tc>
      </w:tr>
      <w:tr w:rsidR="008E3F15">
        <w:trPr>
          <w:trHeight w:val="57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Инфаркт мио карда (2010), стенокардия III ФК. ХСН NYHA III. Легочная эмболия (11.</w:t>
            </w:r>
            <w:r>
              <w:t>01.2023)</w:t>
            </w:r>
          </w:p>
        </w:tc>
        <w:tc>
          <w:tcPr>
            <w:tcW w:w="14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I25.2</w:t>
            </w:r>
          </w:p>
        </w:tc>
      </w:tr>
      <w:tr w:rsidR="008E3F15">
        <w:trPr>
          <w:trHeight w:val="570"/>
        </w:trPr>
        <w:tc>
          <w:tcPr>
            <w:tcW w:w="90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Гипертоническая болезнь. ХСН, NYHA II. Внезапная сердечная смерть (11.03.2023)</w:t>
            </w:r>
          </w:p>
        </w:tc>
        <w:tc>
          <w:tcPr>
            <w:tcW w:w="14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I11</w:t>
            </w:r>
          </w:p>
        </w:tc>
      </w:tr>
    </w:tbl>
    <w:p w:rsidR="008E3F15" w:rsidRDefault="005F449A">
      <w:pPr>
        <w:ind w:left="2" w:right="79"/>
      </w:pPr>
      <w:r>
        <w:t xml:space="preserve">По определению ВОЗ, причиной смерти являются «все те болезни, патологические состояния или травмы, которые привели к смерти или способствовали ее наступлению, а также обстоятельства несчастного случая или акта насилия, которые вызвали любые такие травмы». </w:t>
      </w:r>
      <w:r>
        <w:t>Это определение не предусматривает включение в свидетельство о смерти симптомов и явлений, сопровождающих наступление смерти (механизм смерти): сердечная или дыхательная недостаточность, полиорганная недостаточность, интоксикация и другие подобные симптомы</w:t>
      </w:r>
      <w:r>
        <w:t>.</w:t>
      </w:r>
    </w:p>
    <w:p w:rsidR="008E3F15" w:rsidRDefault="005F449A">
      <w:pPr>
        <w:ind w:left="2" w:right="112"/>
      </w:pPr>
      <w:r>
        <w:t>Для заполнения пункта 19 «Причины смерти» необходимо из заключительного клинического диагноза выбирать одну первоначальную причину смерти. Эта первоначальная причина с ее осложнениями указывается в подпунктах а)–г) части I пункта 19 свидетельства: а) неп</w:t>
      </w:r>
      <w:r>
        <w:t>осредственная причина;</w:t>
      </w:r>
    </w:p>
    <w:p w:rsidR="008E3F15" w:rsidRDefault="005F449A">
      <w:pPr>
        <w:spacing w:after="31"/>
        <w:ind w:left="2" w:right="15"/>
      </w:pPr>
      <w:r>
        <w:t>б) промежуточная причина;</w:t>
      </w:r>
    </w:p>
    <w:p w:rsidR="008E3F15" w:rsidRDefault="005F449A">
      <w:pPr>
        <w:spacing w:after="31"/>
        <w:ind w:left="2" w:right="15"/>
      </w:pPr>
      <w:r>
        <w:t>в) первоначальная причина;</w:t>
      </w:r>
    </w:p>
    <w:p w:rsidR="008E3F15" w:rsidRDefault="005F449A">
      <w:pPr>
        <w:spacing w:after="31"/>
        <w:ind w:left="2" w:right="15"/>
      </w:pPr>
      <w:r>
        <w:t>г) внешняя причина при травмах (отравлениях).</w:t>
      </w:r>
    </w:p>
    <w:p w:rsidR="008E3F15" w:rsidRDefault="005F449A">
      <w:pPr>
        <w:spacing w:after="179"/>
        <w:ind w:left="2" w:right="15"/>
      </w:pPr>
      <w:r>
        <w:t>В части II пункта 19 свидетельства указываются прочие важные причины смерти. Первоначальной причиной смерти являются:</w:t>
      </w:r>
    </w:p>
    <w:p w:rsidR="008E3F15" w:rsidRDefault="005F449A">
      <w:pPr>
        <w:spacing w:after="179"/>
        <w:ind w:left="347" w:right="15"/>
      </w:pPr>
      <w:r>
        <w:rPr>
          <w:rFonts w:ascii="Calibri" w:eastAsia="Calibri" w:hAnsi="Calibri" w:cs="Calibri"/>
          <w:noProof/>
          <w:color w:val="000000"/>
          <w:sz w:val="22"/>
        </w:rPr>
        <mc:AlternateContent>
          <mc:Choice Requires="wpg">
            <w:drawing>
              <wp:anchor distT="0" distB="0" distL="114300" distR="114300" simplePos="0" relativeHeight="251778048" behindDoc="0" locked="0" layoutInCell="1" allowOverlap="1">
                <wp:simplePos x="0" y="0"/>
                <wp:positionH relativeFrom="column">
                  <wp:posOffset>214164</wp:posOffset>
                </wp:positionH>
                <wp:positionV relativeFrom="paragraph">
                  <wp:posOffset>34826</wp:posOffset>
                </wp:positionV>
                <wp:extent cx="57150" cy="209550"/>
                <wp:effectExtent l="0" t="0" r="0" b="0"/>
                <wp:wrapSquare wrapText="bothSides"/>
                <wp:docPr id="285177" name="Group 285177"/>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9432" name="Shape 943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134"/>
                                  <a:pt x="57150" y="24805"/>
                                  <a:pt x="57150" y="28575"/>
                                </a:cubicBezTo>
                                <a:cubicBezTo>
                                  <a:pt x="57150" y="32345"/>
                                  <a:pt x="56425" y="35917"/>
                                  <a:pt x="54975" y="39390"/>
                                </a:cubicBezTo>
                                <a:cubicBezTo>
                                  <a:pt x="53525" y="42863"/>
                                  <a:pt x="51460" y="46038"/>
                                  <a:pt x="48781" y="488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816"/>
                                </a:cubicBezTo>
                                <a:cubicBezTo>
                                  <a:pt x="5690" y="46038"/>
                                  <a:pt x="3625" y="42863"/>
                                  <a:pt x="2175" y="39390"/>
                                </a:cubicBezTo>
                                <a:cubicBezTo>
                                  <a:pt x="725" y="35917"/>
                                  <a:pt x="0" y="32345"/>
                                  <a:pt x="0" y="28575"/>
                                </a:cubicBezTo>
                                <a:cubicBezTo>
                                  <a:pt x="0" y="248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9434" name="Shape 943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034"/>
                                  <a:pt x="57150" y="24705"/>
                                  <a:pt x="57150" y="28575"/>
                                </a:cubicBezTo>
                                <a:cubicBezTo>
                                  <a:pt x="57150" y="32345"/>
                                  <a:pt x="56425" y="36016"/>
                                  <a:pt x="54975" y="39489"/>
                                </a:cubicBezTo>
                                <a:cubicBezTo>
                                  <a:pt x="53525" y="42962"/>
                                  <a:pt x="51460" y="46137"/>
                                  <a:pt x="48781" y="488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816"/>
                                </a:cubicBezTo>
                                <a:cubicBezTo>
                                  <a:pt x="5690" y="46137"/>
                                  <a:pt x="3625" y="42962"/>
                                  <a:pt x="2175" y="39489"/>
                                </a:cubicBezTo>
                                <a:cubicBezTo>
                                  <a:pt x="725" y="36016"/>
                                  <a:pt x="0" y="32345"/>
                                  <a:pt x="0" y="28575"/>
                                </a:cubicBezTo>
                                <a:cubicBezTo>
                                  <a:pt x="0" y="24705"/>
                                  <a:pt x="725" y="210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177" style="width:4.5pt;height:16.5pt;position:absolute;mso-position-horizontal-relative:text;mso-position-horizontal:absolute;margin-left:16.8633pt;mso-position-vertical-relative:text;margin-top:2.74219pt;" coordsize="571,2095">
                <v:shape id="Shape 9432" style="position:absolute;width:571;height:571;left:0;top:0;" coordsize="57150,57150" path="m28575,0c32364,0,36009,695,39510,2084c43011,3572,46101,5655,48781,8334c51460,10914,53525,13990,54975,17562c56425,21134,57150,24805,57150,28575c57150,32345,56425,35917,54975,39390c53525,42863,51460,46038,48781,48816c46101,51395,43011,53479,39510,54868c36009,56356,32364,57150,28575,57150c24786,57150,21141,56356,17640,54868c14139,53479,11049,51395,8369,48816c5690,46038,3625,42863,2175,39390c725,35917,0,32345,0,28575c0,24805,725,21134,2175,17562c3625,13990,5690,10914,8369,8334c11049,5655,14139,3572,17640,2084c21141,695,24786,0,28575,0x">
                  <v:stroke weight="0pt" endcap="flat" joinstyle="miter" miterlimit="4" on="false" color="#000000" opacity="0"/>
                  <v:fill on="true" color="#333333"/>
                </v:shape>
                <v:shape id="Shape 9434" style="position:absolute;width:571;height:571;left:0;top:1524;" coordsize="57150,57150" path="m28575,0c32364,0,36009,695,39510,2084c43011,3572,46101,5655,48781,8334c51460,10914,53525,13990,54975,17562c56425,21034,57150,24705,57150,28575c57150,32345,56425,36016,54975,39489c53525,42962,51460,46137,48781,48816c46101,51395,43011,53479,39510,54868c36009,56356,32364,57150,28575,57150c24786,57150,21141,56356,17640,54868c14139,53479,11049,51395,8369,48816c5690,46137,3625,42962,2175,39489c725,36016,0,32345,0,28575c0,24705,725,21034,2175,17562c3625,13990,5690,10914,8369,8334c11049,5655,14139,3572,17640,2084c21141,695,24786,0,28575,0x">
                  <v:stroke weight="0pt" endcap="flat" joinstyle="miter" miterlimit="4" on="false" color="#000000" opacity="0"/>
                  <v:fill on="true" color="#333333"/>
                </v:shape>
                <w10:wrap type="square"/>
              </v:group>
            </w:pict>
          </mc:Fallback>
        </mc:AlternateContent>
      </w:r>
      <w:r>
        <w:t>болезнь или травма, вызвавшая цепь событий, непосредственно приведших к смерти; обстоятельства несчастного случая или акта насилия, которые вызвали смертельную травму.</w:t>
      </w:r>
    </w:p>
    <w:p w:rsidR="008E3F15" w:rsidRDefault="005F449A">
      <w:pPr>
        <w:ind w:left="2" w:right="15"/>
      </w:pPr>
      <w:r>
        <w:t>В свидетельство не включаются все содержащиеся в диагнозе состояния. Из множества формул</w:t>
      </w:r>
      <w:r>
        <w:t>ировок, записанных в первичной медицинской документации, отбирается только необходимая информация.</w:t>
      </w:r>
    </w:p>
    <w:p w:rsidR="008E3F15" w:rsidRDefault="005F449A">
      <w:pPr>
        <w:spacing w:after="200"/>
        <w:ind w:left="2" w:right="15"/>
      </w:pPr>
      <w:r>
        <w:t>Запись причин смерти производится в строгом соответствии с установленными требованиями:</w:t>
      </w:r>
    </w:p>
    <w:p w:rsidR="008E3F15" w:rsidRDefault="005F449A">
      <w:pPr>
        <w:ind w:left="607" w:right="269"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5178" name="Group 28517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9442" name="Shape 944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134"/>
                                  <a:pt x="57150" y="24805"/>
                                  <a:pt x="57150" y="28575"/>
                                </a:cubicBezTo>
                                <a:cubicBezTo>
                                  <a:pt x="57150" y="323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816"/>
                                </a:cubicBezTo>
                                <a:cubicBezTo>
                                  <a:pt x="5690" y="46038"/>
                                  <a:pt x="3625" y="42962"/>
                                  <a:pt x="2175" y="39489"/>
                                </a:cubicBezTo>
                                <a:cubicBezTo>
                                  <a:pt x="725" y="36016"/>
                                  <a:pt x="0" y="32345"/>
                                  <a:pt x="0" y="28575"/>
                                </a:cubicBezTo>
                                <a:cubicBezTo>
                                  <a:pt x="0" y="24805"/>
                                  <a:pt x="725" y="211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5178" style="width:4.5pt;height:4.5pt;mso-position-horizontal-relative:char;mso-position-vertical-relative:line" coordsize="571,571">
                <v:shape id="Shape 9442" style="position:absolute;width:571;height:571;left:0;top:0;" coordsize="57150,57150" path="m28575,0c32364,0,36009,695,39510,2084c43011,3572,46101,5655,48781,8334c51460,11013,53525,13990,54975,17562c56425,21134,57150,24805,57150,28575c57150,32345,56425,36016,54975,39489c53525,42962,51460,46038,48781,48816c46101,51395,43011,53479,39510,54868c36009,56356,32364,57150,28575,57150c24786,57150,21141,56356,17640,54868c14139,53479,11049,51395,8369,48816c5690,46038,3625,42962,2175,39489c725,36016,0,32345,0,28575c0,24805,725,21134,2175,17562c3625,13990,5690,11013,8369,8334c11049,5655,14139,3572,17640,2084c21141,695,24786,0,28575,0x">
                  <v:stroke weight="0pt" endcap="flat" joinstyle="miter" miterlimit="4" on="false" color="#000000" opacity="0"/>
                  <v:fill on="true" color="#333333"/>
                </v:shape>
              </v:group>
            </w:pict>
          </mc:Fallback>
        </mc:AlternateContent>
      </w:r>
      <w:r>
        <w:t xml:space="preserve"> в каждом подпункте части I указывается только одна причина смерти, </w:t>
      </w:r>
      <w:r>
        <w:t>при этом могут быть заполнены строка подпункта а), строки подпунктов а) и б) или строки подпунктов а), б) и в). Строка подпункта г) заполняется, если причиной смерти являются травмы и отравления;</w:t>
      </w:r>
    </w:p>
    <w:p w:rsidR="008E3F15" w:rsidRDefault="005F449A">
      <w:pPr>
        <w:spacing w:after="179"/>
        <w:ind w:left="347" w:right="15"/>
      </w:pPr>
      <w:r>
        <w:rPr>
          <w:rFonts w:ascii="Calibri" w:eastAsia="Calibri" w:hAnsi="Calibri" w:cs="Calibri"/>
          <w:noProof/>
          <w:color w:val="000000"/>
          <w:sz w:val="22"/>
        </w:rPr>
        <mc:AlternateContent>
          <mc:Choice Requires="wpg">
            <w:drawing>
              <wp:inline distT="0" distB="0" distL="0" distR="0">
                <wp:extent cx="57150" cy="57150"/>
                <wp:effectExtent l="0" t="0" r="0" b="0"/>
                <wp:docPr id="285179" name="Group 28517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9447" name="Shape 9447"/>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3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5179" style="width:4.5pt;height:4.5pt;mso-position-horizontal-relative:char;mso-position-vertical-relative:line" coordsize="571,571">
                <v:shape id="Shape 9447" style="position:absolute;width:571;height:571;left:0;top:0;" coordsize="57150,57150" path="m28575,0c32364,0,36009,695,39510,2084c43011,3572,46101,5655,48781,8334c51460,11013,53525,14089,54975,17562c56425,21134,57150,24805,57150,28575c57150,32345,56425,35917,54975,39390c53525,42863,51460,46038,48781,48816c46101,51395,43011,53479,39510,54868c36009,56257,32364,57150,28575,57150c24786,57150,21141,56257,17640,54868c14139,53479,11049,51395,8369,48816c5690,46038,3625,42863,2175,39390c725,35917,0,32345,0,28575c0,24805,725,21134,2175,17562c3625,14089,5690,11013,8369,8334c11049,5655,14139,3572,17640,2084c21141,695,24786,0,28575,0x">
                  <v:stroke weight="0pt" endcap="flat" joinstyle="miter" miterlimit="4" on="false" color="#000000" opacity="0"/>
                  <v:fill on="true" color="#333333"/>
                </v:shape>
              </v:group>
            </w:pict>
          </mc:Fallback>
        </mc:AlternateContent>
      </w:r>
      <w:r>
        <w:t xml:space="preserve"> заполнение части I пункта 19 свидетельства производится в </w:t>
      </w:r>
      <w:r>
        <w:t>обратной последовательности к основному заболеванию с осложнениями: формулировка основного заболевания заносится, как правило, на строку подпункта в). Затем выбираются 1–2 осложнения, из которых составляют «логическую последовательность» и записывают их на</w:t>
      </w:r>
      <w:r>
        <w:t xml:space="preserve"> строках подпунктов а) и б). При этом состояние, записанное строкой ниже, должно являться причиной возникновения состояния, записанного строкой выше; </w:t>
      </w:r>
      <w:r>
        <w:rPr>
          <w:rFonts w:ascii="Calibri" w:eastAsia="Calibri" w:hAnsi="Calibri" w:cs="Calibri"/>
          <w:noProof/>
          <w:color w:val="000000"/>
          <w:sz w:val="22"/>
        </w:rPr>
        <mc:AlternateContent>
          <mc:Choice Requires="wpg">
            <w:drawing>
              <wp:inline distT="0" distB="0" distL="0" distR="0">
                <wp:extent cx="57150" cy="57150"/>
                <wp:effectExtent l="0" t="0" r="0" b="0"/>
                <wp:docPr id="285180" name="Group 28518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9454" name="Shape 9454"/>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962"/>
                                  <a:pt x="2175" y="39489"/>
                                </a:cubicBezTo>
                                <a:cubicBezTo>
                                  <a:pt x="725" y="36016"/>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5180" style="width:4.5pt;height:4.5pt;mso-position-horizontal-relative:char;mso-position-vertical-relative:line" coordsize="571,571">
                <v:shape id="Shape 9454" style="position:absolute;width:571;height:571;left:0;top:0;" coordsize="57150,57150" path="m28575,0c32364,0,36009,695,39510,2084c43011,3572,46101,5655,48781,8334c51460,11013,53525,14089,54975,17562c56425,21134,57150,24705,57150,28575c57150,32345,56425,36016,54975,39489c53525,42962,51460,46038,48781,48816c46101,51395,43011,53479,39510,54967c36009,56356,32364,57150,28575,57150c24786,57150,21141,56356,17640,54967c14139,53479,11049,51395,8369,48816c5690,46038,3625,42962,2175,39489c725,36016,0,32345,0,28575c0,24705,725,21134,2175,17562c3625,14089,5690,11013,8369,8334c11049,5655,14139,3572,17640,2084c21141,695,24786,0,28575,0x">
                  <v:stroke weight="0pt" endcap="flat" joinstyle="miter" miterlimit="4" on="false" color="#000000" opacity="0"/>
                  <v:fill on="true" color="#333333"/>
                </v:shape>
              </v:group>
            </w:pict>
          </mc:Fallback>
        </mc:AlternateContent>
      </w:r>
      <w:r>
        <w:t xml:space="preserve"> в части I пункта 19 может быть записана только одна нозологическая единица, если это не оговорено специа</w:t>
      </w:r>
      <w:r>
        <w:t>льными правилами МКБ-10.</w:t>
      </w:r>
    </w:p>
    <w:p w:rsidR="008E3F15" w:rsidRDefault="005F449A">
      <w:pPr>
        <w:spacing w:after="359"/>
        <w:ind w:left="2" w:right="168"/>
      </w:pPr>
      <w:r>
        <w:t>Часть II пункта 19 включает прочие причины смерти — это те прочие важные заболевания, состояния (фоновые, конкурирующие), которые не были связаны с первоначальной причиной смерти, но способствовали наступлению смерти. В данной част</w:t>
      </w:r>
      <w:r>
        <w:t>и также указывают факт употребления алкоголя, наркотических средств, психотропных и других токсических веществ, содержание их в крови, а также произведенные операции или другие медицинские вмешательства, которые имели отношение к смерти. Количество записыв</w:t>
      </w:r>
      <w:r>
        <w:t>аемых состояний не ограничено.</w:t>
      </w:r>
    </w:p>
    <w:p w:rsidR="008E3F15" w:rsidRDefault="005F449A">
      <w:pPr>
        <w:pStyle w:val="Heading1"/>
        <w:ind w:left="2"/>
      </w:pPr>
      <w:r>
        <w:t>Часть I. Сердечно-сосудистые болезни</w:t>
      </w:r>
    </w:p>
    <w:p w:rsidR="008E3F15" w:rsidRDefault="005F449A">
      <w:pPr>
        <w:pStyle w:val="Heading2"/>
        <w:spacing w:after="0"/>
        <w:ind w:left="2"/>
      </w:pPr>
      <w:r>
        <w:t>Свидетельство о смерти (пункт 19)</w:t>
      </w:r>
    </w:p>
    <w:tbl>
      <w:tblPr>
        <w:tblStyle w:val="TableGrid"/>
        <w:tblW w:w="10485" w:type="dxa"/>
        <w:tblInd w:w="37" w:type="dxa"/>
        <w:tblCellMar>
          <w:top w:w="80" w:type="dxa"/>
          <w:left w:w="38" w:type="dxa"/>
          <w:bottom w:w="0" w:type="dxa"/>
          <w:right w:w="76" w:type="dxa"/>
        </w:tblCellMar>
        <w:tblLook w:val="04A0" w:firstRow="1" w:lastRow="0" w:firstColumn="1" w:lastColumn="0" w:noHBand="0" w:noVBand="1"/>
      </w:tblPr>
      <w:tblGrid>
        <w:gridCol w:w="6660"/>
        <w:gridCol w:w="2790"/>
        <w:gridCol w:w="1035"/>
      </w:tblGrid>
      <w:tr w:rsidR="008E3F15">
        <w:trPr>
          <w:trHeight w:val="1290"/>
        </w:trPr>
        <w:tc>
          <w:tcPr>
            <w:tcW w:w="6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19. Причины смерти:</w:t>
            </w:r>
          </w:p>
        </w:tc>
        <w:tc>
          <w:tcPr>
            <w:tcW w:w="27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Приблизительный период времени между началом патологического процесса и смертью</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rPr>
                <w:b/>
              </w:rPr>
              <w:t>Код</w:t>
            </w:r>
          </w:p>
          <w:p w:rsidR="008E3F15" w:rsidRDefault="005F449A">
            <w:pPr>
              <w:spacing w:after="0" w:line="259" w:lineRule="auto"/>
              <w:ind w:left="8" w:right="0" w:firstLine="0"/>
              <w:jc w:val="both"/>
            </w:pPr>
            <w:r>
              <w:rPr>
                <w:b/>
              </w:rPr>
              <w:t>МКБ-10</w:t>
            </w:r>
          </w:p>
        </w:tc>
      </w:tr>
      <w:tr w:rsidR="008E3F15">
        <w:trPr>
          <w:trHeight w:val="570"/>
        </w:trPr>
        <w:tc>
          <w:tcPr>
            <w:tcW w:w="6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I. а) _______________________________________________ (болезнь или состояние, непосредственно приведшее к смерти)</w:t>
            </w:r>
          </w:p>
        </w:tc>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r>
      <w:tr w:rsidR="008E3F15">
        <w:trPr>
          <w:trHeight w:val="810"/>
        </w:trPr>
        <w:tc>
          <w:tcPr>
            <w:tcW w:w="6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б) _______________________________________________ (состояние,</w:t>
            </w:r>
          </w:p>
          <w:p w:rsidR="008E3F15" w:rsidRDefault="005F449A">
            <w:pPr>
              <w:spacing w:after="0" w:line="259" w:lineRule="auto"/>
              <w:ind w:left="7" w:right="0" w:firstLine="0"/>
            </w:pPr>
            <w:r>
              <w:t>которое привело к возникновению вышеуказанной причины)</w:t>
            </w:r>
          </w:p>
        </w:tc>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r>
      <w:tr w:rsidR="008E3F15">
        <w:trPr>
          <w:trHeight w:val="570"/>
        </w:trPr>
        <w:tc>
          <w:tcPr>
            <w:tcW w:w="6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в) _______________________________________________</w:t>
            </w:r>
          </w:p>
          <w:p w:rsidR="008E3F15" w:rsidRDefault="005F449A">
            <w:pPr>
              <w:spacing w:after="0" w:line="259" w:lineRule="auto"/>
              <w:ind w:left="7" w:right="0" w:firstLine="0"/>
            </w:pPr>
            <w:r>
              <w:t>(первоначальная причина смерти указывается последней)</w:t>
            </w:r>
          </w:p>
        </w:tc>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r>
      <w:tr w:rsidR="008E3F15">
        <w:trPr>
          <w:trHeight w:val="570"/>
        </w:trPr>
        <w:tc>
          <w:tcPr>
            <w:tcW w:w="6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г)_______________________________________________ (внешняя причина при травмах и отравлениях)</w:t>
            </w:r>
          </w:p>
        </w:tc>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r>
      <w:tr w:rsidR="008E3F15">
        <w:trPr>
          <w:trHeight w:val="1530"/>
        </w:trPr>
        <w:tc>
          <w:tcPr>
            <w:tcW w:w="6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II. Прочие важные состояния, способствовавшие смерти, но не связанные с болезнью или патологическим состоянием, приведшим к ней, включая употребление алкоголя, наркотических средств, психотропных и других токсических веществ, содержание их в крови, а также</w:t>
            </w:r>
            <w:r>
              <w:t xml:space="preserve"> операции (название, дата)</w:t>
            </w:r>
          </w:p>
        </w:tc>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c>
          <w:tcPr>
            <w:tcW w:w="10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w:t>
            </w:r>
          </w:p>
        </w:tc>
      </w:tr>
    </w:tbl>
    <w:p w:rsidR="008E3F15" w:rsidRDefault="005F449A">
      <w:pPr>
        <w:ind w:left="2" w:right="15"/>
      </w:pPr>
      <w:r>
        <w:t>Ряд болезней, таких как некоторые цереброваскулярные заболевания, коронарная болезнь, бронхиальная астма, болезни, связанные с употреблением алкоголя, и др., часто способствуют р</w:t>
      </w:r>
      <w:r>
        <w:tab/>
        <w:t>,</w:t>
      </w:r>
      <w:r>
        <w:tab/>
        <w:t>,</w:t>
      </w:r>
      <w:r>
        <w:tab/>
        <w:t>у</w:t>
      </w:r>
      <w:r>
        <w:tab/>
        <w:t>р</w:t>
      </w:r>
      <w:r>
        <w:tab/>
        <w:t>,</w:t>
      </w:r>
      <w:r>
        <w:tab/>
        <w:t>др ,</w:t>
      </w:r>
      <w:r>
        <w:tab/>
        <w:t>у</w:t>
      </w:r>
    </w:p>
    <w:p w:rsidR="008E3F15" w:rsidRDefault="005F449A">
      <w:pPr>
        <w:ind w:left="2" w:right="163"/>
      </w:pPr>
      <w:r>
        <w:t>смерти, поэтому если они были при жизни у умершего(-ей), их необходимо включать в часть II пункта 19 свидетельства. После заполнения всех необходимых строк свидетельства необходимо произвести выбор первоначальной причины смерти. В статистическую разработку</w:t>
      </w:r>
      <w:r>
        <w:t xml:space="preserve"> включаются только одна первоначальная причина при смерти от заболеваний и две причины при смерти от травм (отравлений): первая — по характеру травмы (XIX класс МКБ-10), вторая — внешняя причина (ХХ класс МКБ-10).</w:t>
      </w:r>
    </w:p>
    <w:p w:rsidR="008E3F15" w:rsidRDefault="005F449A">
      <w:pPr>
        <w:ind w:left="2" w:right="15"/>
      </w:pPr>
      <w:r>
        <w:t>Необходимо иметь в виду, что первоначальна</w:t>
      </w:r>
      <w:r>
        <w:t>я причина смерти может указываться не только на строке подпункта в) части I, но и на других строках. Например, промежуточная причина смерти может быть отобрана как первоначальная, при этом последняя будет располагаться на строке подпункта б).</w:t>
      </w:r>
    </w:p>
    <w:p w:rsidR="008E3F15" w:rsidRDefault="005F449A">
      <w:pPr>
        <w:ind w:left="2" w:right="239"/>
      </w:pPr>
      <w:r>
        <w:t>Код первонача</w:t>
      </w:r>
      <w:r>
        <w:t>льной причины смерти по МКБ-10 записывается в графе «Код МКБ-10» напротив выбранного пункта и подчеркивается. Коды других причин смерти записываются в той же графе, напротив каждой строки, без подчеркивания.</w:t>
      </w:r>
    </w:p>
    <w:p w:rsidR="008E3F15" w:rsidRDefault="005F449A">
      <w:pPr>
        <w:ind w:left="2" w:right="111"/>
      </w:pPr>
      <w:r>
        <w:t>В графе «Приблизительный период времени между на</w:t>
      </w:r>
      <w:r>
        <w:t>чалом патологического процесса и смертью» напротив каждой отобранной причины указывается период времени в минутах, часах, днях, неделях, месяцах, годах. При этом следует учитывать, что период, указанный на строке выше, не может быть больше периода, указанн</w:t>
      </w:r>
      <w:r>
        <w:t>ого строкой ниже. Данные сведения необходимы для получения информации о средней продолжительности жизни при различных заболеваниях (состояниях). При отсутствии сведений делается запись «неизвестно».</w:t>
      </w:r>
    </w:p>
    <w:p w:rsidR="008E3F15" w:rsidRDefault="005F449A">
      <w:pPr>
        <w:ind w:left="2" w:right="490"/>
      </w:pPr>
      <w:r>
        <w:t>Сложности представляет определение причины неожиданной см</w:t>
      </w:r>
      <w:r>
        <w:t>ерти взрослых, умерших на дому. Основной причиной смерти таких пациентов является коронарная болезнь (ИМ, внезапная коронарная смерть), реже инсульт, ЛЭ, особенно если есть факторы риска ССЗ (</w:t>
      </w:r>
      <w:r>
        <w:rPr>
          <w:b/>
        </w:rPr>
        <w:t>табл. 6.2</w:t>
      </w:r>
      <w:r>
        <w:t>).</w:t>
      </w:r>
    </w:p>
    <w:p w:rsidR="008E3F15" w:rsidRDefault="005F449A">
      <w:pPr>
        <w:spacing w:after="31"/>
        <w:ind w:left="2" w:right="15"/>
      </w:pPr>
      <w:r>
        <w:rPr>
          <w:b/>
        </w:rPr>
        <w:t xml:space="preserve">Таблица 6.2. </w:t>
      </w:r>
      <w:r>
        <w:t>Примеры оформления свидетельства при не</w:t>
      </w:r>
      <w:r>
        <w:t>ожиданной смерти</w:t>
      </w:r>
    </w:p>
    <w:tbl>
      <w:tblPr>
        <w:tblStyle w:val="TableGrid"/>
        <w:tblW w:w="10140" w:type="dxa"/>
        <w:tblInd w:w="37" w:type="dxa"/>
        <w:tblCellMar>
          <w:top w:w="80" w:type="dxa"/>
          <w:left w:w="39" w:type="dxa"/>
          <w:bottom w:w="0" w:type="dxa"/>
          <w:right w:w="51" w:type="dxa"/>
        </w:tblCellMar>
        <w:tblLook w:val="04A0" w:firstRow="1" w:lastRow="0" w:firstColumn="1" w:lastColumn="0" w:noHBand="0" w:noVBand="1"/>
      </w:tblPr>
      <w:tblGrid>
        <w:gridCol w:w="8625"/>
        <w:gridCol w:w="1515"/>
      </w:tblGrid>
      <w:tr w:rsidR="008E3F15">
        <w:trPr>
          <w:trHeight w:val="330"/>
        </w:trPr>
        <w:tc>
          <w:tcPr>
            <w:tcW w:w="862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rPr>
                <w:b/>
              </w:rPr>
              <w:t>Пункт 19</w:t>
            </w:r>
          </w:p>
        </w:tc>
        <w:tc>
          <w:tcPr>
            <w:tcW w:w="15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Код МКБ-10</w:t>
            </w:r>
          </w:p>
        </w:tc>
      </w:tr>
      <w:tr w:rsidR="008E3F15">
        <w:trPr>
          <w:trHeight w:val="33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Инфаркт мозга, вызванный тромбозом мозговых артерий</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I63.3</w:t>
            </w:r>
          </w:p>
        </w:tc>
      </w:tr>
      <w:tr w:rsidR="008E3F15">
        <w:trPr>
          <w:trHeight w:val="33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Внезапная коронарная смерть</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I24.8</w:t>
            </w:r>
          </w:p>
        </w:tc>
      </w:tr>
      <w:tr w:rsidR="008E3F15">
        <w:trPr>
          <w:trHeight w:val="81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Тромбоэмболия легочной артерии.</w:t>
            </w:r>
          </w:p>
          <w:p w:rsidR="008E3F15" w:rsidRDefault="005F449A">
            <w:pPr>
              <w:spacing w:after="0" w:line="259" w:lineRule="auto"/>
              <w:ind w:left="6" w:right="0" w:firstLine="0"/>
            </w:pPr>
            <w:r>
              <w:t>б) Хроническая сердечная недостаточность.</w:t>
            </w:r>
          </w:p>
          <w:p w:rsidR="008E3F15" w:rsidRDefault="005F449A">
            <w:pPr>
              <w:spacing w:after="0" w:line="259" w:lineRule="auto"/>
              <w:ind w:left="6" w:right="0" w:firstLine="0"/>
            </w:pPr>
            <w:r>
              <w:t>в) Перенесенный инфаркт мио карда</w:t>
            </w:r>
          </w:p>
        </w:tc>
        <w:tc>
          <w:tcPr>
            <w:tcW w:w="15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I25.2</w:t>
            </w:r>
          </w:p>
        </w:tc>
      </w:tr>
      <w:tr w:rsidR="008E3F15">
        <w:trPr>
          <w:trHeight w:val="33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Внезапная сердечная смерть</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I46.1</w:t>
            </w:r>
          </w:p>
        </w:tc>
      </w:tr>
      <w:tr w:rsidR="008E3F15">
        <w:trPr>
          <w:trHeight w:val="57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Острый трансмуральный инфаркт мио карда неуточненной локализации. II. Сахарный диабет 2 типа</w:t>
            </w:r>
          </w:p>
        </w:tc>
        <w:tc>
          <w:tcPr>
            <w:tcW w:w="15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I21.3</w:t>
            </w:r>
          </w:p>
        </w:tc>
      </w:tr>
      <w:tr w:rsidR="008E3F15">
        <w:trPr>
          <w:trHeight w:val="810"/>
        </w:trPr>
        <w:tc>
          <w:tcPr>
            <w:tcW w:w="86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 а) Внезапная сердечная смерть.</w:t>
            </w:r>
          </w:p>
          <w:p w:rsidR="008E3F15" w:rsidRDefault="005F449A">
            <w:pPr>
              <w:spacing w:after="0" w:line="259" w:lineRule="auto"/>
              <w:ind w:left="6" w:right="0" w:firstLine="0"/>
            </w:pPr>
            <w:r>
              <w:t>б) Хроническая сердечная недостаточность.</w:t>
            </w:r>
          </w:p>
          <w:p w:rsidR="008E3F15" w:rsidRDefault="005F449A">
            <w:pPr>
              <w:spacing w:after="0" w:line="259" w:lineRule="auto"/>
              <w:ind w:left="6" w:right="0" w:firstLine="0"/>
            </w:pPr>
            <w:r>
              <w:t>в) Гипертоническая болезнь</w:t>
            </w:r>
          </w:p>
        </w:tc>
        <w:tc>
          <w:tcPr>
            <w:tcW w:w="15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I11.0</w:t>
            </w:r>
          </w:p>
        </w:tc>
      </w:tr>
    </w:tbl>
    <w:p w:rsidR="008E3F15" w:rsidRDefault="005F449A">
      <w:pPr>
        <w:ind w:left="2" w:right="15"/>
      </w:pPr>
      <w:r>
        <w:t>Не рекомендуется использовать коды МКБ-10, относящиеся к группам заболеваний (например, I21), неуточненные (например, I21.9), осложнения (например, I23.3).</w:t>
      </w:r>
    </w:p>
    <w:p w:rsidR="008E3F15" w:rsidRDefault="005F449A">
      <w:pPr>
        <w:spacing w:after="359"/>
        <w:ind w:left="2" w:right="15"/>
      </w:pPr>
      <w:r>
        <w:t>Если в части I свидетельства о смерти заполнено более одной подрубрики (а–в), несердечные заболевания могут квалифицироваться как причины острой терминальной болезни системы кровообращения, например «I а) Инфаркт миокарда. б) Сахарный диабет». Если же испо</w:t>
      </w:r>
      <w:r>
        <w:t>льзована только одна подрубрика части I («I а) Инфаркт миокарда. Сахарный диабет» или «I а) Ин фаркт миокарда. II Сахарный диабет»), то устанавливается код ИМ. Среди причин смерти оценки доли СД, который, несомненно, увеличивает смертность, сильно варьирую</w:t>
      </w:r>
      <w:r>
        <w:t>т (3–12% всех смертей). Особенно большие разночтения в установлении первопричины смерти имеются при сочетании СД и ССЗ. В рекомендациях Российского общества патологоанатомов в случаях с ИМ диагноз «сахарный диабет» отнесен к части II. В случаях неожиданной</w:t>
      </w:r>
      <w:r>
        <w:t xml:space="preserve"> смерти обязательно проводится патологоанатомическое исследование с дополнительными лабораторными тестами, а на период уточнения диагноза выдается предварительное свидетельство о смерти. Врач-патологоанатом или судебномедицинский эксперт после получения ре</w:t>
      </w:r>
      <w:r>
        <w:t>зультатов лабораторных исследований и/или других необходимых сведений составляют новое «Медицинское свидетельство о смерти» «взамен предварительного» или «взамен окончательного» в срок не позднее 45 дней после установления причины смерти, затем передают ег</w:t>
      </w:r>
      <w:r>
        <w:t>о уполномоченным лицам органов управления здравоохранением и медицинских учреждений.</w:t>
      </w:r>
    </w:p>
    <w:p w:rsidR="008E3F15" w:rsidRDefault="005F449A">
      <w:pPr>
        <w:pStyle w:val="Heading1"/>
        <w:ind w:left="2"/>
      </w:pPr>
      <w:r>
        <w:t>Часть I. Сердечно-сосудистые болезни</w:t>
      </w:r>
    </w:p>
    <w:p w:rsidR="008E3F15" w:rsidRDefault="005F449A">
      <w:pPr>
        <w:spacing w:after="31"/>
        <w:ind w:left="2" w:right="15"/>
      </w:pPr>
      <w:r>
        <w:t>Реанимационные мероприятия</w:t>
      </w:r>
    </w:p>
    <w:p w:rsidR="008E3F15" w:rsidRDefault="005F449A">
      <w:pPr>
        <w:ind w:left="2" w:right="505"/>
      </w:pPr>
      <w:r>
        <w:t xml:space="preserve">Ключевое значение для успешного восстановления кровообращения имеют ранняя СЛР и дефибрилляция. Общая схема реанимационных мероприятий, согласно общепринятым международным рекомендациям, представлена на </w:t>
      </w:r>
      <w:r>
        <w:rPr>
          <w:b/>
        </w:rPr>
        <w:t>рис. 6.2</w:t>
      </w:r>
      <w:r>
        <w:t>.</w:t>
      </w:r>
    </w:p>
    <w:p w:rsidR="008E3F15" w:rsidRDefault="005F449A">
      <w:pPr>
        <w:spacing w:after="65" w:line="259" w:lineRule="auto"/>
        <w:ind w:left="7" w:right="0" w:firstLine="0"/>
      </w:pPr>
      <w:r>
        <w:rPr>
          <w:noProof/>
        </w:rPr>
        <w:drawing>
          <wp:inline distT="0" distB="0" distL="0" distR="0">
            <wp:extent cx="5057775" cy="3895725"/>
            <wp:effectExtent l="0" t="0" r="0" b="0"/>
            <wp:docPr id="9626" name="Picture 9626"/>
            <wp:cNvGraphicFramePr/>
            <a:graphic xmlns:a="http://schemas.openxmlformats.org/drawingml/2006/main">
              <a:graphicData uri="http://schemas.openxmlformats.org/drawingml/2006/picture">
                <pic:pic xmlns:pic="http://schemas.openxmlformats.org/drawingml/2006/picture">
                  <pic:nvPicPr>
                    <pic:cNvPr id="9626" name="Picture 9626"/>
                    <pic:cNvPicPr/>
                  </pic:nvPicPr>
                  <pic:blipFill>
                    <a:blip r:embed="rId103"/>
                    <a:stretch>
                      <a:fillRect/>
                    </a:stretch>
                  </pic:blipFill>
                  <pic:spPr>
                    <a:xfrm>
                      <a:off x="0" y="0"/>
                      <a:ext cx="5057775" cy="3895725"/>
                    </a:xfrm>
                    <a:prstGeom prst="rect">
                      <a:avLst/>
                    </a:prstGeom>
                  </pic:spPr>
                </pic:pic>
              </a:graphicData>
            </a:graphic>
          </wp:inline>
        </w:drawing>
      </w:r>
    </w:p>
    <w:p w:rsidR="008E3F15" w:rsidRDefault="005F449A">
      <w:pPr>
        <w:spacing w:after="31"/>
        <w:ind w:left="2" w:right="15"/>
      </w:pPr>
      <w:r>
        <w:rPr>
          <w:b/>
        </w:rPr>
        <w:t xml:space="preserve">Рис. 6.2. </w:t>
      </w:r>
      <w:r>
        <w:t xml:space="preserve">Реанимационные мероприятия при </w:t>
      </w:r>
      <w:r>
        <w:t>остановке сердца (ILCOR/ESC)</w:t>
      </w:r>
    </w:p>
    <w:p w:rsidR="008E3F15" w:rsidRDefault="005F449A">
      <w:pPr>
        <w:ind w:left="2" w:right="571"/>
      </w:pPr>
      <w:r>
        <w:t>Реанимационные мероприятия начинают на месте возникновения клинической смерти, и их нельзя прерывать. Как можно быстрее, не прерывая массажа сердца, необходимо доставить дефибриллятор и провести электрическую дефибрилляцию.</w:t>
      </w:r>
    </w:p>
    <w:p w:rsidR="008E3F15" w:rsidRDefault="005F449A">
      <w:pPr>
        <w:ind w:left="2" w:right="435"/>
      </w:pPr>
      <w:r>
        <w:t>Бол</w:t>
      </w:r>
      <w:r>
        <w:t>ьного с максимально запрокинутой головой и приподнятыми нижними конечностями укладывают на твердую основу. Закрытый массаж сердца проводят с частотой 100 в 1 мин с соотношением продолжительности компрессий 1:1. Руки массирующего располагаются одна над друг</w:t>
      </w:r>
      <w:r>
        <w:t xml:space="preserve">ой так, чтобы основание ладони, лежащей на грудине, находилось строго на средней линии, на два поперечных пальца выше мечевидного отростка. Смещение грудины к позвоночнику на 5 см (избегая избыточного смещения &gt;6 см) осуществляют, не сгибая рук, используя </w:t>
      </w:r>
      <w:r>
        <w:t>массу тела. В паузах руки массирующего остаются на грудине больного.</w:t>
      </w:r>
    </w:p>
    <w:p w:rsidR="008E3F15" w:rsidRDefault="005F449A">
      <w:pPr>
        <w:ind w:left="2" w:right="15"/>
      </w:pPr>
      <w:r>
        <w:t>Не рекомендуется наносить удар по грудной клетке, поскольку можно не только прервать ЖТ, но и перевести последнюю в ФЖ. После удара ЖТ перешла в наджелудочковый ритм в 11%, а в 44% — в бо</w:t>
      </w:r>
      <w:r>
        <w:t>лее тяжелую форму — ФЖ, асистолию и электромеханическую диссоциацию</w:t>
      </w:r>
    </w:p>
    <w:p w:rsidR="008E3F15" w:rsidRDefault="005F449A">
      <w:pPr>
        <w:spacing w:after="31"/>
        <w:ind w:left="2" w:right="15"/>
      </w:pPr>
      <w:r>
        <w:t>(Miller J. et al., 1984).</w:t>
      </w:r>
    </w:p>
    <w:p w:rsidR="008E3F15" w:rsidRDefault="005F449A">
      <w:pPr>
        <w:ind w:left="2" w:right="15"/>
      </w:pPr>
      <w:r>
        <w:t>Для проведения вентиляции легких голову больного удерживают в запрокинутом положении и выдвигают вперед его нижнюю челюсть. При возможности используют воздуховод. Воздух вдувают в рот больного или в воздуховод, зажимая при этом нос пациента, либо с помощью</w:t>
      </w:r>
      <w:r>
        <w:t xml:space="preserve"> маски, по два быстрых вдувания подряд через каждые 30 массажных движений, затрачивая не более 10 с. По возможности используют 100% кислород. По сопротивлению в момент вдоха, экскурсиям грудной клетки и звуку выходящего при выдохе воздуха постоянно контрол</w:t>
      </w:r>
      <w:r>
        <w:t>ируют проходимость дыхательных путей.</w:t>
      </w:r>
    </w:p>
    <w:p w:rsidR="008E3F15" w:rsidRDefault="005F449A">
      <w:pPr>
        <w:ind w:left="2" w:right="456"/>
      </w:pPr>
      <w:r>
        <w:t>Массаж сердца рекомендуют прерывать каждые 2 мин для оценки сердечного ритма. Если в течение 30 мин сохраняется асистолия, реанимационные мероприятия можно прекратить, если ситуация не связана с переохлаждением, утопле</w:t>
      </w:r>
      <w:r>
        <w:t>нием или ЛЭ (NHS). Увеличение времени реанимации с 15–17 до 25–28 мин повысило частоту возвращения спонтанного кровообращения на 12% (Goldberger Z. et al., 2013).</w:t>
      </w:r>
    </w:p>
    <w:p w:rsidR="008E3F15" w:rsidRDefault="005F449A">
      <w:pPr>
        <w:ind w:left="2" w:right="1299"/>
      </w:pPr>
      <w:r>
        <w:t>Устройства для механической компрессии грудной клетки не дают преимуществ по сравнению с ручн</w:t>
      </w:r>
      <w:r>
        <w:t>ой компрессией (Cochrane Reviews).</w:t>
      </w:r>
    </w:p>
    <w:p w:rsidR="008E3F15" w:rsidRDefault="005F449A">
      <w:pPr>
        <w:ind w:left="2" w:right="154"/>
      </w:pPr>
      <w:r>
        <w:rPr>
          <w:i/>
        </w:rPr>
        <w:t>Компрессионная сердечная реанимация без вентиляции,</w:t>
      </w:r>
      <w:r>
        <w:t xml:space="preserve"> по данным наблюдательных исследований, как и традиционная с искусственной вентиляцией, почти в 2 раза увеличивает выживаемость (SOS–KANTO; Dumas F. et al., 2013; SRCR). </w:t>
      </w:r>
      <w:r>
        <w:t>Такой подход привлекателен в условиях повышенного риска респираторных инфекций.</w:t>
      </w:r>
    </w:p>
    <w:p w:rsidR="008E3F15" w:rsidRDefault="005F449A">
      <w:pPr>
        <w:ind w:left="2" w:right="15"/>
      </w:pPr>
      <w:r>
        <w:t>При регургитации желудочного содержимого используют прием Селлика (прижимают гортань к задней стенке глотки), голову больного на несколько секунд поворачивают набок, удаляют со</w:t>
      </w:r>
      <w:r>
        <w:t>держимое из полости рта и глотки с помощью отсоса или тампона.</w:t>
      </w:r>
    </w:p>
    <w:p w:rsidR="008E3F15" w:rsidRDefault="005F449A">
      <w:pPr>
        <w:ind w:left="2" w:right="154"/>
      </w:pPr>
      <w:r>
        <w:t xml:space="preserve">Постоянно контролируют эффективность реанимационных мероприятий, о которой судят по улучшению цвета кожи и слизистых оболочек, сужению зрачков и появлению их реакции на свет, возобновлению или </w:t>
      </w:r>
      <w:r>
        <w:t>улучшению спонтанного дыхания, появлению пульса на сонной артерии.</w:t>
      </w:r>
    </w:p>
    <w:p w:rsidR="008E3F15" w:rsidRDefault="005F449A">
      <w:pPr>
        <w:ind w:left="2" w:right="880"/>
      </w:pPr>
      <w:r>
        <w:t>Следует учитывать, что зрачки могут расширяться в ответ на введение эпинефрина или атропина.</w:t>
      </w:r>
    </w:p>
    <w:p w:rsidR="008E3F15" w:rsidRDefault="005F449A">
      <w:pPr>
        <w:spacing w:after="165"/>
        <w:ind w:left="2" w:right="15"/>
      </w:pPr>
      <w:r>
        <w:rPr>
          <w:i/>
        </w:rPr>
        <w:t xml:space="preserve">Дефибрилляцию </w:t>
      </w:r>
      <w:r>
        <w:t>осуществляют сильными электрическими разрядами (ILCOR):</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79072" behindDoc="0" locked="0" layoutInCell="1" allowOverlap="1">
                <wp:simplePos x="0" y="0"/>
                <wp:positionH relativeFrom="column">
                  <wp:posOffset>214164</wp:posOffset>
                </wp:positionH>
                <wp:positionV relativeFrom="paragraph">
                  <wp:posOffset>34775</wp:posOffset>
                </wp:positionV>
                <wp:extent cx="57150" cy="514350"/>
                <wp:effectExtent l="0" t="0" r="0" b="0"/>
                <wp:wrapSquare wrapText="bothSides"/>
                <wp:docPr id="283770" name="Group 283770"/>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9685" name="Shape 9685"/>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588"/>
                                </a:cubicBezTo>
                                <a:cubicBezTo>
                                  <a:pt x="53525" y="42962"/>
                                  <a:pt x="51460" y="46038"/>
                                  <a:pt x="48781" y="48816"/>
                                </a:cubicBezTo>
                                <a:cubicBezTo>
                                  <a:pt x="46101" y="51395"/>
                                  <a:pt x="43011" y="53479"/>
                                  <a:pt x="39510" y="54868"/>
                                </a:cubicBezTo>
                                <a:cubicBezTo>
                                  <a:pt x="36009" y="56455"/>
                                  <a:pt x="32364" y="57150"/>
                                  <a:pt x="28575" y="57150"/>
                                </a:cubicBezTo>
                                <a:cubicBezTo>
                                  <a:pt x="24786" y="57150"/>
                                  <a:pt x="21141" y="56455"/>
                                  <a:pt x="17640" y="54967"/>
                                </a:cubicBezTo>
                                <a:cubicBezTo>
                                  <a:pt x="14139" y="53479"/>
                                  <a:pt x="11049" y="51395"/>
                                  <a:pt x="8369" y="48816"/>
                                </a:cubicBezTo>
                                <a:cubicBezTo>
                                  <a:pt x="5690" y="46038"/>
                                  <a:pt x="3625" y="42962"/>
                                  <a:pt x="2175" y="39489"/>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688" name="Shape 968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962"/>
                                  <a:pt x="51460" y="46137"/>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137"/>
                                  <a:pt x="3625" y="42962"/>
                                  <a:pt x="2175" y="39489"/>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690" name="Shape 969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0914"/>
                                  <a:pt x="53525" y="13990"/>
                                  <a:pt x="54975" y="17562"/>
                                </a:cubicBezTo>
                                <a:cubicBezTo>
                                  <a:pt x="56425" y="21034"/>
                                  <a:pt x="57150" y="24705"/>
                                  <a:pt x="57150" y="28575"/>
                                </a:cubicBezTo>
                                <a:cubicBezTo>
                                  <a:pt x="57150" y="32445"/>
                                  <a:pt x="56425" y="36016"/>
                                  <a:pt x="54975" y="39489"/>
                                </a:cubicBezTo>
                                <a:cubicBezTo>
                                  <a:pt x="53525" y="42962"/>
                                  <a:pt x="51460" y="46137"/>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137"/>
                                  <a:pt x="3625" y="42962"/>
                                  <a:pt x="2175" y="39489"/>
                                </a:cubicBezTo>
                                <a:cubicBezTo>
                                  <a:pt x="725" y="36016"/>
                                  <a:pt x="0" y="32445"/>
                                  <a:pt x="0" y="28575"/>
                                </a:cubicBezTo>
                                <a:cubicBezTo>
                                  <a:pt x="0" y="24705"/>
                                  <a:pt x="725" y="21034"/>
                                  <a:pt x="2175" y="17562"/>
                                </a:cubicBezTo>
                                <a:cubicBezTo>
                                  <a:pt x="3625" y="13990"/>
                                  <a:pt x="5690" y="10914"/>
                                  <a:pt x="8369" y="8334"/>
                                </a:cubicBezTo>
                                <a:cubicBezTo>
                                  <a:pt x="11049" y="5556"/>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770" style="width:4.5pt;height:40.5pt;position:absolute;mso-position-horizontal-relative:text;mso-position-horizontal:absolute;margin-left:16.8633pt;mso-position-vertical-relative:text;margin-top:2.73822pt;" coordsize="571,5143">
                <v:shape id="Shape 9685" style="position:absolute;width:571;height:571;left:0;top:0;" coordsize="57150,57150" path="m28575,0c32364,0,36009,695,39510,2084c43011,3572,46101,5655,48781,8334c51460,11013,53525,13990,54975,17562c56425,21034,57150,24705,57150,28575c57150,32445,56425,36016,54975,39588c53525,42962,51460,46038,48781,48816c46101,51395,43011,53479,39510,54868c36009,56455,32364,57150,28575,57150c24786,57150,21141,56455,17640,54967c14139,53479,11049,51395,8369,48816c5690,46038,3625,42962,2175,39489c725,36016,0,32445,0,28575c0,24705,725,21034,2175,17562c3625,13990,5690,11013,8369,8334c11049,5655,14139,3572,17640,2084c21141,695,24786,0,28575,0x">
                  <v:stroke weight="0pt" endcap="flat" joinstyle="miter" miterlimit="10" on="false" color="#000000" opacity="0"/>
                  <v:fill on="true" color="#333333"/>
                </v:shape>
                <v:shape id="Shape 9688" style="position:absolute;width:571;height:571;left:0;top:3048;" coordsize="57150,57150" path="m28575,0c32364,0,36009,695,39510,2084c43011,3572,46101,5655,48781,8334c51460,11013,53525,13990,54975,17562c56425,21034,57150,24705,57150,28575c57150,32445,56425,36016,54975,39489c53525,42962,51460,46137,48781,48816c46101,51395,43011,53479,39510,54868c36009,56356,32364,57150,28575,57150c24786,57150,21141,56356,17640,54967c14139,53479,11049,51395,8369,48816c5690,46137,3625,42962,2175,39489c725,36016,0,32445,0,28575c0,24705,725,21034,2175,17562c3625,13990,5690,11013,8369,8334c11049,5655,14139,3572,17640,2084c21141,695,24786,0,28575,0x">
                  <v:stroke weight="0pt" endcap="flat" joinstyle="miter" miterlimit="10" on="false" color="#000000" opacity="0"/>
                  <v:fill on="true" color="#333333"/>
                </v:shape>
                <v:shape id="Shape 9690" style="position:absolute;width:571;height:571;left:0;top:4572;" coordsize="57150,57150" path="m28575,0c32364,0,36009,695,39510,2084c43011,3572,46101,5556,48781,8334c51460,10914,53525,13990,54975,17562c56425,21034,57150,24705,57150,28575c57150,32445,56425,36016,54975,39489c53525,42962,51460,46137,48781,48816c46101,51495,43011,53578,39510,54967c36009,56356,32364,57150,28575,57150c24786,57150,21141,56356,17640,54967c14139,53578,11049,51495,8369,48816c5690,46137,3625,42962,2175,39489c725,36016,0,32445,0,28575c0,24705,725,21034,2175,17562c3625,13990,5690,10914,8369,8334c11049,5556,14139,3572,17640,2084c21141,695,24786,0,28575,0x">
                  <v:stroke weight="0pt" endcap="flat" joinstyle="miter" miterlimit="10" on="false" color="#000000" opacity="0"/>
                  <v:fill on="true" color="#333333"/>
                </v:shape>
                <w10:wrap type="square"/>
              </v:group>
            </w:pict>
          </mc:Fallback>
        </mc:AlternateContent>
      </w:r>
      <w:r>
        <w:t>150–200 Дж при бифазной в</w:t>
      </w:r>
      <w:r>
        <w:t>олновой форме импульса, повторные разряды можно увеличивать до 300–360 Дж (BIPHASIC);</w:t>
      </w:r>
    </w:p>
    <w:p w:rsidR="008E3F15" w:rsidRDefault="005F449A">
      <w:pPr>
        <w:spacing w:after="179"/>
        <w:ind w:left="347" w:right="3995"/>
      </w:pPr>
      <w:r>
        <w:t>120 Дж при бифазной линейной форме импульса; 360 Дж при монофазной форме импульса.</w:t>
      </w:r>
    </w:p>
    <w:p w:rsidR="008E3F15" w:rsidRDefault="005F449A">
      <w:pPr>
        <w:spacing w:after="179"/>
        <w:ind w:left="2" w:right="15"/>
      </w:pPr>
      <w:r>
        <w:t xml:space="preserve">Лучше наносить разряд после предварительной записи ЭКГ и подтверждения наличия ФЖ. Для </w:t>
      </w:r>
      <w:r>
        <w:t>амбулаторных учреждений актуальны два типа наружных дефибрилляторов:</w:t>
      </w:r>
    </w:p>
    <w:p w:rsidR="008E3F15" w:rsidRDefault="005F449A">
      <w:pPr>
        <w:spacing w:after="179"/>
        <w:ind w:left="347" w:right="791"/>
      </w:pPr>
      <w:r>
        <w:rPr>
          <w:rFonts w:ascii="Calibri" w:eastAsia="Calibri" w:hAnsi="Calibri" w:cs="Calibri"/>
          <w:noProof/>
          <w:color w:val="000000"/>
          <w:sz w:val="22"/>
        </w:rPr>
        <mc:AlternateContent>
          <mc:Choice Requires="wpg">
            <w:drawing>
              <wp:anchor distT="0" distB="0" distL="114300" distR="114300" simplePos="0" relativeHeight="251780096"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83771" name="Group 28377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9694" name="Shape 969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3990"/>
                                  <a:pt x="54975" y="17562"/>
                                </a:cubicBezTo>
                                <a:cubicBezTo>
                                  <a:pt x="56425" y="21034"/>
                                  <a:pt x="57150" y="24705"/>
                                  <a:pt x="57150" y="28575"/>
                                </a:cubicBezTo>
                                <a:cubicBezTo>
                                  <a:pt x="57150" y="323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5917"/>
                                  <a:pt x="0" y="32345"/>
                                  <a:pt x="0" y="28575"/>
                                </a:cubicBezTo>
                                <a:cubicBezTo>
                                  <a:pt x="0" y="24705"/>
                                  <a:pt x="725" y="210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697" name="Shape 969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0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6038"/>
                                  <a:pt x="3625" y="42962"/>
                                  <a:pt x="2175" y="39489"/>
                                </a:cubicBezTo>
                                <a:cubicBezTo>
                                  <a:pt x="725" y="36016"/>
                                  <a:pt x="0" y="32345"/>
                                  <a:pt x="0" y="28575"/>
                                </a:cubicBezTo>
                                <a:cubicBezTo>
                                  <a:pt x="0" y="24705"/>
                                  <a:pt x="725" y="21134"/>
                                  <a:pt x="2175" y="17562"/>
                                </a:cubicBezTo>
                                <a:cubicBezTo>
                                  <a:pt x="3625" y="14089"/>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3771" style="width:4.5pt;height:28.5pt;position:absolute;mso-position-horizontal-relative:text;mso-position-horizontal:absolute;margin-left:16.8633pt;mso-position-vertical-relative:text;margin-top:2.74219pt;" coordsize="571,3619">
                <v:shape id="Shape 9694" style="position:absolute;width:571;height:571;left:0;top:0;" coordsize="57150,57150" path="m28575,0c32364,0,36009,794,39510,2183c43011,3572,46101,5655,48781,8334c51460,10914,53525,13990,54975,17562c56425,21034,57150,24705,57150,28575c57150,32345,56425,36016,54975,39489c53525,42962,51460,46038,48781,48816c46101,51395,43011,53479,39510,54868c36009,56356,32364,57150,28575,57150c24786,57150,21141,56356,17640,54967c14139,53479,11049,51395,8369,48816c5690,46038,3625,42863,2175,39390c725,35917,0,32345,0,28575c0,24705,725,21034,2175,17562c3625,13990,5690,10914,8369,8334c11049,5655,14139,3572,17640,2084c21141,695,24786,0,28575,0x">
                  <v:stroke weight="0pt" endcap="flat" joinstyle="miter" miterlimit="10" on="false" color="#000000" opacity="0"/>
                  <v:fill on="true" color="#333333"/>
                </v:shape>
                <v:shape id="Shape 9697" style="position:absolute;width:571;height:571;left:0;top:3048;" coordsize="57150,57150" path="m28575,0c32364,0,36009,794,39510,2183c43011,3572,46101,5655,48781,8334c51460,11013,53525,14089,54975,17562c56425,21134,57150,24705,57150,28575c57150,32345,56425,36016,54975,39489c53525,42962,51460,46038,48781,48716c46101,51296,43011,53380,39510,54868c36009,56356,32364,57150,28575,57150c24786,57150,21141,56356,17640,54967c14139,53380,11049,51296,8369,48716c5690,46038,3625,42962,2175,39489c725,36016,0,32345,0,28575c0,24705,725,21134,2175,17562c3625,14089,5690,11013,8369,8334c11049,5655,14139,3572,17640,2183c21141,794,24786,0,28575,0x">
                  <v:stroke weight="0pt" endcap="flat" joinstyle="miter" miterlimit="10" on="false" color="#000000" opacity="0"/>
                  <v:fill on="true" color="#333333"/>
                </v:shape>
                <w10:wrap type="square"/>
              </v:group>
            </w:pict>
          </mc:Fallback>
        </mc:AlternateContent>
      </w:r>
      <w:r>
        <w:t>неавтоматические ручные дефибрилляторы для проведения электрической дефибрилляции и электроимпульсной терапии медицинским персоналом; автоматические дефибрилляторы для проведения дефибри</w:t>
      </w:r>
      <w:r>
        <w:t>лляции медицинским и немедицинским персоналом.</w:t>
      </w:r>
    </w:p>
    <w:p w:rsidR="008E3F15" w:rsidRDefault="005F449A">
      <w:pPr>
        <w:ind w:left="2" w:right="15"/>
      </w:pPr>
      <w:r>
        <w:t>В большинстве лечебных учреждений достаточно наличия автоматических внешних дефибрилляторов, которые сами определяют потребность в проведении электрической дефибрилляции в зависимости от ритма сердца и ее пара</w:t>
      </w:r>
      <w:r>
        <w:t>метры.</w:t>
      </w:r>
    </w:p>
    <w:p w:rsidR="008E3F15" w:rsidRDefault="005F449A">
      <w:pPr>
        <w:ind w:left="2" w:right="292"/>
      </w:pPr>
      <w:r>
        <w:t>В крупных лечебных учреждениях могут быть уместны «классические» наружные неавтоматические дефибрилляторы. Работая с ними, следует учитывать, что воздействие бифазным импульсом более эффективно и меньше повреждает мио кард, чем монофазным. После 3 безуспеш</w:t>
      </w:r>
      <w:r>
        <w:t>ных попыток стандартной дефибрилляции с переднебоковым расположением электродов использование дефибрилляции со сменой вектора (переднезаднее расположение электродов вместо переднебокового) и двойной дефибрилляции (одновременные разряды через переднебоковые</w:t>
      </w:r>
      <w:r>
        <w:t xml:space="preserve"> и переднезадние электроды) повысило выживаемость пациентов к выписке из госпиталя в 1,7 и 2,2 раза в рандомизированном исследовании DOSE VF.</w:t>
      </w:r>
    </w:p>
    <w:p w:rsidR="008E3F15" w:rsidRDefault="005F449A">
      <w:pPr>
        <w:spacing w:after="359"/>
        <w:ind w:left="2" w:right="15"/>
      </w:pPr>
      <w:r>
        <w:t>При проведении дефибрилляции следует использовать хорошо смоченные прокладки и гель, электроды предпочтительнее ра</w:t>
      </w:r>
      <w:r>
        <w:t>сполагать над зоной сердечной тупости и под левой лопаткой, соблюдать правила техники безопасности (не прикасаться к пациенту и трубам, изолирующие части электрода и руки реаниматолога должны быть сухими).</w:t>
      </w:r>
    </w:p>
    <w:p w:rsidR="008E3F15" w:rsidRDefault="005F449A">
      <w:pPr>
        <w:pStyle w:val="Heading1"/>
        <w:ind w:left="2"/>
      </w:pPr>
      <w:r>
        <w:t>Часть I. Сердечно-сосудистые болезни</w:t>
      </w:r>
    </w:p>
    <w:p w:rsidR="008E3F15" w:rsidRDefault="005F449A">
      <w:pPr>
        <w:ind w:left="2" w:right="15"/>
      </w:pPr>
      <w:r>
        <w:t xml:space="preserve">Чрескожная и </w:t>
      </w:r>
      <w:r>
        <w:t>трансвенозная кардиостимуляция не рекомендуются при лечении асистолии из-за крайне низкой эффективности. Кардиостимуляция должна применяться только при симптомной брадиаритмии.</w:t>
      </w:r>
    </w:p>
    <w:p w:rsidR="008E3F15" w:rsidRDefault="005F449A">
      <w:pPr>
        <w:ind w:left="2" w:right="15"/>
      </w:pPr>
      <w:r>
        <w:t>Обеспечить венозный доступ (обычно достаточно катетеризации крупной периферичес</w:t>
      </w:r>
      <w:r>
        <w:t>кой вены). Интервалы между инъекциями эпинефрина не должны превышать 5 мин.</w:t>
      </w:r>
    </w:p>
    <w:p w:rsidR="008E3F15" w:rsidRDefault="005F449A">
      <w:pPr>
        <w:ind w:left="2" w:right="355"/>
      </w:pPr>
      <w:r>
        <w:t>Чем меньше времени прошло после ФЖ, тем выше опасность ее рецидива. Поэтому важно сохранить надежный венозный доступ, обеспечить постоянное мониторирование ЭКГ и визуальное наблюде</w:t>
      </w:r>
      <w:r>
        <w:t>ние, а также готовность к проведению повторных реанимационных мероприятий.</w:t>
      </w:r>
    </w:p>
    <w:p w:rsidR="008E3F15" w:rsidRDefault="005F449A">
      <w:pPr>
        <w:ind w:left="2" w:right="15"/>
      </w:pPr>
      <w:r>
        <w:t>Эпинефрин рекомендуют вводить в случае неэффективности первых (трех) разрядов при шоковом ритме (ФЖ, ЖТ) и как можно раньше при нешоковом ритме.</w:t>
      </w:r>
    </w:p>
    <w:p w:rsidR="008E3F15" w:rsidRDefault="005F449A">
      <w:pPr>
        <w:spacing w:after="31"/>
        <w:ind w:left="2" w:right="15"/>
      </w:pPr>
      <w:r>
        <w:t>Каждые 3–5 мин в/в вводят по 1 мг эп</w:t>
      </w:r>
      <w:r>
        <w:t>инефрина, который повышает выживаемость пациентов</w:t>
      </w:r>
    </w:p>
    <w:p w:rsidR="008E3F15" w:rsidRDefault="005F449A">
      <w:pPr>
        <w:ind w:left="2" w:right="15"/>
      </w:pPr>
      <w:r>
        <w:t>(PARAMEDIC2). Более высокие дозы эпинефрина не увеличивают эффект лечения (Lin S. et al., 2014). При невозможности венозного доступа рекомендуют внутрикостное введение эпинефрина с помощью специальных устро</w:t>
      </w:r>
      <w:r>
        <w:t>йств (PRIMED).</w:t>
      </w:r>
    </w:p>
    <w:p w:rsidR="008E3F15" w:rsidRDefault="005F449A">
      <w:pPr>
        <w:ind w:left="2" w:right="912"/>
      </w:pPr>
      <w:r>
        <w:t>В рандомизированном исследовании ALPS эффективность амиодарона и лидокаина не отличалась от плацебо.</w:t>
      </w:r>
    </w:p>
    <w:p w:rsidR="008E3F15" w:rsidRDefault="005F449A">
      <w:pPr>
        <w:ind w:left="2" w:right="687"/>
      </w:pPr>
      <w:r>
        <w:t>Хотя в большинстве случаев внегоспитальной остановки сердца причиной считается ИМ или ЛЭ, введение тромболитика во время СЛР не улучшило исх</w:t>
      </w:r>
      <w:r>
        <w:t>оды в исследовании TROICA.</w:t>
      </w:r>
    </w:p>
    <w:p w:rsidR="008E3F15" w:rsidRDefault="005F449A">
      <w:pPr>
        <w:ind w:left="2" w:right="832"/>
      </w:pPr>
      <w:r>
        <w:t>Эффективность гипотермии не была подтверждена в исследовании TTM2 у пациентов с комой после внебольничной остановки сердца при сравнению с нормотермией (устранением лихорадки).</w:t>
      </w:r>
    </w:p>
    <w:p w:rsidR="008E3F15" w:rsidRDefault="005F449A">
      <w:pPr>
        <w:spacing w:after="133" w:line="259" w:lineRule="auto"/>
        <w:ind w:left="17" w:right="0"/>
      </w:pPr>
      <w:r>
        <w:rPr>
          <w:i/>
        </w:rPr>
        <w:t>СЛР можно прекратить, если:</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81120"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84635" name="Group 28463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9764" name="Shape 9764"/>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962"/>
                                  <a:pt x="51460" y="46038"/>
                                  <a:pt x="48781" y="48816"/>
                                </a:cubicBezTo>
                                <a:cubicBezTo>
                                  <a:pt x="46101" y="51395"/>
                                  <a:pt x="43011" y="53380"/>
                                  <a:pt x="39510" y="54868"/>
                                </a:cubicBezTo>
                                <a:cubicBezTo>
                                  <a:pt x="36009" y="56257"/>
                                  <a:pt x="32364" y="57150"/>
                                  <a:pt x="28575" y="57150"/>
                                </a:cubicBezTo>
                                <a:cubicBezTo>
                                  <a:pt x="24786" y="57150"/>
                                  <a:pt x="21141" y="56257"/>
                                  <a:pt x="17640" y="54868"/>
                                </a:cubicBezTo>
                                <a:cubicBezTo>
                                  <a:pt x="14139" y="53380"/>
                                  <a:pt x="11049" y="51395"/>
                                  <a:pt x="8369" y="48816"/>
                                </a:cubicBezTo>
                                <a:cubicBezTo>
                                  <a:pt x="5690" y="46038"/>
                                  <a:pt x="3625" y="42863"/>
                                  <a:pt x="2175" y="39390"/>
                                </a:cubicBezTo>
                                <a:cubicBezTo>
                                  <a:pt x="725" y="36016"/>
                                  <a:pt x="0" y="32445"/>
                                  <a:pt x="0" y="28575"/>
                                </a:cubicBezTo>
                                <a:cubicBezTo>
                                  <a:pt x="0" y="24705"/>
                                  <a:pt x="725" y="21034"/>
                                  <a:pt x="2175" y="17562"/>
                                </a:cubicBezTo>
                                <a:cubicBezTo>
                                  <a:pt x="3625" y="13990"/>
                                  <a:pt x="5690" y="11013"/>
                                  <a:pt x="8369" y="8334"/>
                                </a:cubicBezTo>
                                <a:cubicBezTo>
                                  <a:pt x="11049" y="5556"/>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66" name="Shape 976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0914"/>
                                  <a:pt x="53525" y="13990"/>
                                  <a:pt x="54975" y="17562"/>
                                </a:cubicBezTo>
                                <a:cubicBezTo>
                                  <a:pt x="56425" y="21034"/>
                                  <a:pt x="57150" y="247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6016"/>
                                  <a:pt x="0" y="32445"/>
                                  <a:pt x="0" y="28575"/>
                                </a:cubicBezTo>
                                <a:cubicBezTo>
                                  <a:pt x="0" y="24705"/>
                                  <a:pt x="725" y="21034"/>
                                  <a:pt x="2175" y="17562"/>
                                </a:cubicBezTo>
                                <a:cubicBezTo>
                                  <a:pt x="3625" y="13990"/>
                                  <a:pt x="5690" y="10914"/>
                                  <a:pt x="8369" y="8334"/>
                                </a:cubicBezTo>
                                <a:cubicBezTo>
                                  <a:pt x="11049" y="5556"/>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68" name="Shape 976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0914"/>
                                  <a:pt x="53525" y="13990"/>
                                  <a:pt x="54975" y="17562"/>
                                </a:cubicBezTo>
                                <a:cubicBezTo>
                                  <a:pt x="56425" y="21034"/>
                                  <a:pt x="57150" y="247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6016"/>
                                  <a:pt x="0" y="32445"/>
                                  <a:pt x="0" y="28575"/>
                                </a:cubicBezTo>
                                <a:cubicBezTo>
                                  <a:pt x="0" y="24705"/>
                                  <a:pt x="725" y="21034"/>
                                  <a:pt x="2175" y="17562"/>
                                </a:cubicBezTo>
                                <a:cubicBezTo>
                                  <a:pt x="3625" y="13990"/>
                                  <a:pt x="5690" y="10914"/>
                                  <a:pt x="8369" y="8334"/>
                                </a:cubicBezTo>
                                <a:cubicBezTo>
                                  <a:pt x="11049" y="5556"/>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4635" style="width:4.5pt;height:28.5pt;position:absolute;mso-position-horizontal-relative:text;mso-position-horizontal:absolute;margin-left:16.8633pt;mso-position-vertical-relative:text;margin-top:2.74219pt;" coordsize="571,3619">
                <v:shape id="Shape 9764" style="position:absolute;width:571;height:571;left:0;top:0;" coordsize="57150,57150" path="m28575,0c32364,0,36009,695,39510,2084c43011,3572,46101,5556,48781,8334c51460,11013,53525,13990,54975,17562c56425,21034,57150,24705,57150,28575c57150,32445,56425,36016,54975,39489c53525,42962,51460,46038,48781,48816c46101,51395,43011,53380,39510,54868c36009,56257,32364,57150,28575,57150c24786,57150,21141,56257,17640,54868c14139,53380,11049,51395,8369,48816c5690,46038,3625,42863,2175,39390c725,36016,0,32445,0,28575c0,24705,725,21034,2175,17562c3625,13990,5690,11013,8369,8334c11049,5556,14139,3572,17640,2084c21141,695,24786,0,28575,0x">
                  <v:stroke weight="0pt" endcap="flat" joinstyle="miter" miterlimit="10" on="false" color="#000000" opacity="0"/>
                  <v:fill on="true" color="#333333"/>
                </v:shape>
                <v:shape id="Shape 9766" style="position:absolute;width:571;height:571;left:0;top:1524;" coordsize="57150,57150" path="m28575,0c32364,0,36009,695,39510,2084c43011,3572,46101,5556,48781,8334c51460,10914,53525,13990,54975,17562c56425,21034,57150,24705,57150,28575c57150,32445,56425,36016,54975,39489c53525,42962,51460,46038,48781,48816c46101,51395,43011,53479,39510,54868c36009,56356,32364,57150,28575,57150c24786,57150,21141,56356,17640,54967c14139,53479,11049,51395,8369,48816c5690,46038,3625,42863,2175,39390c725,36016,0,32445,0,28575c0,24705,725,21034,2175,17562c3625,13990,5690,10914,8369,8334c11049,5556,14139,3572,17640,2084c21141,695,24786,0,28575,0x">
                  <v:stroke weight="0pt" endcap="flat" joinstyle="miter" miterlimit="10" on="false" color="#000000" opacity="0"/>
                  <v:fill on="true" color="#333333"/>
                </v:shape>
                <v:shape id="Shape 9768" style="position:absolute;width:571;height:571;left:0;top:3048;" coordsize="57150,57150" path="m28575,0c32364,0,36009,695,39510,2084c43011,3572,46101,5556,48781,8334c51460,10914,53525,13990,54975,17562c56425,21034,57150,24705,57150,28575c57150,32445,56425,36016,54975,39489c53525,42962,51460,46038,48781,48816c46101,51395,43011,53479,39510,54868c36009,56356,32364,57150,28575,57150c24786,57150,21141,56356,17640,54967c14139,53479,11049,51395,8369,48816c5690,46038,3625,42863,2175,39390c725,36016,0,32445,0,28575c0,24705,725,21034,2175,17562c3625,13990,5690,10914,8369,8334c11049,5556,14139,3572,17640,2084c21141,695,24786,0,28575,0x">
                  <v:stroke weight="0pt" endcap="flat" joinstyle="miter" miterlimit="10" on="false" color="#000000" opacity="0"/>
                  <v:fill on="true" color="#333333"/>
                </v:shape>
                <w10:wrap type="square"/>
              </v:group>
            </w:pict>
          </mc:Fallback>
        </mc:AlternateContent>
      </w:r>
      <w:r>
        <w:t>по ходу проведения выяс</w:t>
      </w:r>
      <w:r>
        <w:t>нилось, что СЛР не показана;</w:t>
      </w:r>
    </w:p>
    <w:p w:rsidR="008E3F15" w:rsidRDefault="005F449A">
      <w:pPr>
        <w:spacing w:after="179"/>
        <w:ind w:left="347" w:right="308"/>
      </w:pPr>
      <w:r>
        <w:t>наблюдается стойкая асистолия, не поддающаяся медикаментозному воздействию; нет признаков эффективности СЛР в течение 30 мин.</w:t>
      </w:r>
    </w:p>
    <w:p w:rsidR="008E3F15" w:rsidRDefault="005F449A">
      <w:pPr>
        <w:spacing w:after="133" w:line="259" w:lineRule="auto"/>
        <w:ind w:left="17" w:right="0"/>
      </w:pPr>
      <w:r>
        <w:rPr>
          <w:i/>
        </w:rPr>
        <w:t>СЛР можно не начинать:</w:t>
      </w:r>
    </w:p>
    <w:p w:rsidR="008E3F15" w:rsidRDefault="005F449A">
      <w:pPr>
        <w:spacing w:after="179"/>
        <w:ind w:left="347" w:right="516"/>
      </w:pPr>
      <w:r>
        <w:rPr>
          <w:rFonts w:ascii="Calibri" w:eastAsia="Calibri" w:hAnsi="Calibri" w:cs="Calibri"/>
          <w:noProof/>
          <w:color w:val="000000"/>
          <w:sz w:val="22"/>
        </w:rPr>
        <mc:AlternateContent>
          <mc:Choice Requires="wpg">
            <w:drawing>
              <wp:anchor distT="0" distB="0" distL="114300" distR="114300" simplePos="0" relativeHeight="251782144"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84637" name="Group 28463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9771" name="Shape 9771"/>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562"/>
                                </a:cubicBezTo>
                                <a:cubicBezTo>
                                  <a:pt x="3625" y="13990"/>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73" name="Shape 977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805"/>
                                  <a:pt x="725" y="21134"/>
                                  <a:pt x="2175" y="17562"/>
                                </a:cubicBezTo>
                                <a:cubicBezTo>
                                  <a:pt x="3625" y="14089"/>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75" name="Shape 9775"/>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6016"/>
                                  <a:pt x="54975" y="39489"/>
                                </a:cubicBezTo>
                                <a:cubicBezTo>
                                  <a:pt x="53525" y="42863"/>
                                  <a:pt x="51460" y="45938"/>
                                  <a:pt x="48781" y="48716"/>
                                </a:cubicBezTo>
                                <a:cubicBezTo>
                                  <a:pt x="46101" y="51296"/>
                                  <a:pt x="43011" y="53380"/>
                                  <a:pt x="39510" y="54769"/>
                                </a:cubicBezTo>
                                <a:cubicBezTo>
                                  <a:pt x="36009" y="56257"/>
                                  <a:pt x="32364" y="57150"/>
                                  <a:pt x="28575" y="57150"/>
                                </a:cubicBezTo>
                                <a:cubicBezTo>
                                  <a:pt x="24786" y="57150"/>
                                  <a:pt x="21141" y="56257"/>
                                  <a:pt x="17640" y="54769"/>
                                </a:cubicBezTo>
                                <a:cubicBezTo>
                                  <a:pt x="14139" y="53380"/>
                                  <a:pt x="11049" y="51296"/>
                                  <a:pt x="8369" y="48716"/>
                                </a:cubicBezTo>
                                <a:cubicBezTo>
                                  <a:pt x="5690" y="45938"/>
                                  <a:pt x="3625" y="42863"/>
                                  <a:pt x="2175" y="39390"/>
                                </a:cubicBezTo>
                                <a:cubicBezTo>
                                  <a:pt x="725" y="35917"/>
                                  <a:pt x="0" y="32345"/>
                                  <a:pt x="0" y="28575"/>
                                </a:cubicBezTo>
                                <a:cubicBezTo>
                                  <a:pt x="0" y="24805"/>
                                  <a:pt x="725" y="21134"/>
                                  <a:pt x="2175" y="17562"/>
                                </a:cubicBezTo>
                                <a:cubicBezTo>
                                  <a:pt x="3625" y="14089"/>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4637" style="width:4.5pt;height:28.5pt;position:absolute;mso-position-horizontal-relative:text;mso-position-horizontal:absolute;margin-left:16.8633pt;mso-position-vertical-relative:text;margin-top:2.74219pt;" coordsize="571,3619">
                <v:shape id="Shape 9771" style="position:absolute;width:571;height:571;left:0;top:0;" coordsize="57150,57150" path="m28575,0c32364,0,36009,794,39510,2183c43011,3572,46101,5655,48781,8334c51460,11013,53525,13990,54975,17562c56425,21034,57150,24705,57150,28575c57150,32345,56425,36016,54975,39489c53525,42863,51460,45938,48781,48716c46101,51296,43011,53380,39510,54868c36009,56356,32364,57150,28575,57150c24786,57150,21141,56356,17640,54967c14139,53380,11049,51296,8369,48716c5690,45938,3625,42863,2175,39390c725,35917,0,32345,0,28575c0,24705,725,21034,2175,17562c3625,13990,5690,11013,8369,8334c11049,5655,14139,3572,17640,2183c21141,794,24786,0,28575,0x">
                  <v:stroke weight="0pt" endcap="flat" joinstyle="miter" miterlimit="10" on="false" color="#000000" opacity="0"/>
                  <v:fill on="true" color="#333333"/>
                </v:shape>
                <v:shape id="Shape 9773" style="position:absolute;width:571;height:571;left:0;top:1524;" coordsize="57150,57150" path="m28575,0c32364,0,36009,794,39510,2183c43011,3572,46101,5655,48781,8334c51460,11013,53525,14089,54975,17562c56425,21134,57150,24805,57150,28575c57150,32345,56425,36016,54975,39489c53525,42863,51460,45938,48781,48716c46101,51296,43011,53380,39510,54868c36009,56356,32364,57150,28575,57150c24786,57150,21141,56356,17640,54967c14139,53380,11049,51296,8369,48716c5690,45938,3625,42863,2175,39390c725,35917,0,32345,0,28575c0,24805,725,21134,2175,17562c3625,14089,5690,11013,8369,8334c11049,5655,14139,3572,17640,2183c21141,794,24786,0,28575,0x">
                  <v:stroke weight="0pt" endcap="flat" joinstyle="miter" miterlimit="10" on="false" color="#000000" opacity="0"/>
                  <v:fill on="true" color="#333333"/>
                </v:shape>
                <v:shape id="Shape 9775" style="position:absolute;width:571;height:571;left:0;top:3048;" coordsize="57150,57150" path="m28575,0c32364,0,36009,794,39510,2183c43011,3572,46101,5655,48781,8334c51460,11013,53525,14089,54975,17562c56425,21134,57150,24805,57150,28575c57150,32345,56425,36016,54975,39489c53525,42863,51460,45938,48781,48716c46101,51296,43011,53380,39510,54769c36009,56257,32364,57150,28575,57150c24786,57150,21141,56257,17640,54769c14139,53380,11049,51296,8369,48716c5690,45938,3625,42863,2175,39390c725,35917,0,32345,0,28575c0,24805,725,21134,2175,17562c3625,14089,5690,11013,8369,8334c11049,5655,14139,3572,17640,2183c21141,794,24786,0,28575,0x">
                  <v:stroke weight="0pt" endcap="flat" joinstyle="miter" miterlimit="10" on="false" color="#000000" opacity="0"/>
                  <v:fill on="true" color="#333333"/>
                </v:shape>
                <w10:wrap type="square"/>
              </v:group>
            </w:pict>
          </mc:Fallback>
        </mc:AlternateContent>
      </w:r>
      <w:r>
        <w:t>в терминальной стадии неизлечимого заболевания (зафиксирована документально); если с момента прекращения кровообращения прошло &gt;30 мин; при предварительно документированном отказе больного от СЛР.</w:t>
      </w:r>
    </w:p>
    <w:p w:rsidR="008E3F15" w:rsidRDefault="005F449A">
      <w:pPr>
        <w:spacing w:after="165"/>
        <w:ind w:left="2" w:right="15"/>
      </w:pPr>
      <w:r>
        <w:t>При осуществлении реанимационных мероприятий отмечают следу</w:t>
      </w:r>
      <w:r>
        <w:t>ющие нередкие ошибки:</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83168" behindDoc="0" locked="0" layoutInCell="1" allowOverlap="1">
                <wp:simplePos x="0" y="0"/>
                <wp:positionH relativeFrom="column">
                  <wp:posOffset>214164</wp:posOffset>
                </wp:positionH>
                <wp:positionV relativeFrom="paragraph">
                  <wp:posOffset>34826</wp:posOffset>
                </wp:positionV>
                <wp:extent cx="57150" cy="2800350"/>
                <wp:effectExtent l="0" t="0" r="0" b="0"/>
                <wp:wrapSquare wrapText="bothSides"/>
                <wp:docPr id="284640" name="Group 284640"/>
                <wp:cNvGraphicFramePr/>
                <a:graphic xmlns:a="http://schemas.openxmlformats.org/drawingml/2006/main">
                  <a:graphicData uri="http://schemas.microsoft.com/office/word/2010/wordprocessingGroup">
                    <wpg:wgp>
                      <wpg:cNvGrpSpPr/>
                      <wpg:grpSpPr>
                        <a:xfrm>
                          <a:off x="0" y="0"/>
                          <a:ext cx="57150" cy="2800350"/>
                          <a:chOff x="0" y="0"/>
                          <a:chExt cx="57150" cy="2800350"/>
                        </a:xfrm>
                      </wpg:grpSpPr>
                      <wps:wsp>
                        <wps:cNvPr id="9778" name="Shape 9778"/>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6016"/>
                                  <a:pt x="54975" y="39489"/>
                                </a:cubicBezTo>
                                <a:cubicBezTo>
                                  <a:pt x="53525" y="42962"/>
                                  <a:pt x="51460" y="46038"/>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038"/>
                                  <a:pt x="3625" y="42962"/>
                                  <a:pt x="2175" y="39489"/>
                                </a:cubicBezTo>
                                <a:cubicBezTo>
                                  <a:pt x="725" y="36016"/>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81" name="Shape 9781"/>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962"/>
                                  <a:pt x="2175" y="39489"/>
                                </a:cubicBezTo>
                                <a:cubicBezTo>
                                  <a:pt x="725" y="36016"/>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84" name="Shape 9784"/>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6016"/>
                                  <a:pt x="54975" y="39489"/>
                                </a:cubicBezTo>
                                <a:cubicBezTo>
                                  <a:pt x="53525" y="42962"/>
                                  <a:pt x="51460" y="46137"/>
                                  <a:pt x="48781" y="48816"/>
                                </a:cubicBezTo>
                                <a:cubicBezTo>
                                  <a:pt x="46101" y="51495"/>
                                  <a:pt x="43011" y="53479"/>
                                  <a:pt x="39510" y="54868"/>
                                </a:cubicBezTo>
                                <a:cubicBezTo>
                                  <a:pt x="36009" y="56356"/>
                                  <a:pt x="32364" y="57150"/>
                                  <a:pt x="28575" y="57150"/>
                                </a:cubicBezTo>
                                <a:cubicBezTo>
                                  <a:pt x="24786" y="57150"/>
                                  <a:pt x="21141" y="56356"/>
                                  <a:pt x="17640" y="54868"/>
                                </a:cubicBezTo>
                                <a:cubicBezTo>
                                  <a:pt x="14139" y="53479"/>
                                  <a:pt x="11049" y="51495"/>
                                  <a:pt x="8369" y="48816"/>
                                </a:cubicBezTo>
                                <a:cubicBezTo>
                                  <a:pt x="5690" y="46137"/>
                                  <a:pt x="3625" y="42962"/>
                                  <a:pt x="2175" y="39489"/>
                                </a:cubicBezTo>
                                <a:cubicBezTo>
                                  <a:pt x="725" y="36016"/>
                                  <a:pt x="0" y="323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87" name="Shape 978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3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89" name="Shape 9789"/>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962"/>
                                  <a:pt x="2175" y="39489"/>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92" name="Shape 9792"/>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962"/>
                                  <a:pt x="2175" y="39489"/>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94" name="Shape 9794"/>
                        <wps:cNvSpPr/>
                        <wps:spPr>
                          <a:xfrm>
                            <a:off x="0" y="1524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962"/>
                                  <a:pt x="2175" y="39489"/>
                                </a:cubicBezTo>
                                <a:cubicBezTo>
                                  <a:pt x="725" y="36016"/>
                                  <a:pt x="0" y="32445"/>
                                  <a:pt x="0" y="28575"/>
                                </a:cubicBezTo>
                                <a:cubicBezTo>
                                  <a:pt x="0" y="248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97" name="Shape 9797"/>
                        <wps:cNvSpPr/>
                        <wps:spPr>
                          <a:xfrm>
                            <a:off x="0" y="1828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134"/>
                                  <a:pt x="57150" y="248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246"/>
                                  <a:pt x="0" y="28575"/>
                                </a:cubicBezTo>
                                <a:cubicBezTo>
                                  <a:pt x="0" y="248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799" name="Shape 9799"/>
                        <wps:cNvSpPr/>
                        <wps:spPr>
                          <a:xfrm>
                            <a:off x="0" y="1981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134"/>
                                  <a:pt x="57150" y="248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246"/>
                                  <a:pt x="0" y="28575"/>
                                </a:cubicBezTo>
                                <a:cubicBezTo>
                                  <a:pt x="0" y="248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02" name="Shape 9802"/>
                        <wps:cNvSpPr/>
                        <wps:spPr>
                          <a:xfrm>
                            <a:off x="0" y="2286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034"/>
                                  <a:pt x="57150" y="247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246"/>
                                  <a:pt x="0" y="28575"/>
                                </a:cubicBezTo>
                                <a:cubicBezTo>
                                  <a:pt x="0" y="247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04" name="Shape 9804"/>
                        <wps:cNvSpPr/>
                        <wps:spPr>
                          <a:xfrm>
                            <a:off x="0" y="2438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034"/>
                                  <a:pt x="57150" y="24705"/>
                                  <a:pt x="57150" y="28575"/>
                                </a:cubicBezTo>
                                <a:cubicBezTo>
                                  <a:pt x="57150" y="32345"/>
                                  <a:pt x="56425" y="36016"/>
                                  <a:pt x="54975" y="39489"/>
                                </a:cubicBezTo>
                                <a:cubicBezTo>
                                  <a:pt x="53525" y="42962"/>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962"/>
                                  <a:pt x="2175" y="39489"/>
                                </a:cubicBezTo>
                                <a:cubicBezTo>
                                  <a:pt x="725" y="36016"/>
                                  <a:pt x="0" y="32345"/>
                                  <a:pt x="0" y="28575"/>
                                </a:cubicBezTo>
                                <a:cubicBezTo>
                                  <a:pt x="0" y="247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06" name="Shape 9806"/>
                        <wps:cNvSpPr/>
                        <wps:spPr>
                          <a:xfrm>
                            <a:off x="0" y="2590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716"/>
                                </a:cubicBezTo>
                                <a:cubicBezTo>
                                  <a:pt x="5690" y="46038"/>
                                  <a:pt x="3625" y="42863"/>
                                  <a:pt x="2175" y="39390"/>
                                </a:cubicBezTo>
                                <a:cubicBezTo>
                                  <a:pt x="725" y="35917"/>
                                  <a:pt x="0" y="32345"/>
                                  <a:pt x="0" y="28575"/>
                                </a:cubicBezTo>
                                <a:cubicBezTo>
                                  <a:pt x="0" y="24705"/>
                                  <a:pt x="725" y="21134"/>
                                  <a:pt x="2175" y="17562"/>
                                </a:cubicBezTo>
                                <a:cubicBezTo>
                                  <a:pt x="3625" y="13990"/>
                                  <a:pt x="5690" y="10914"/>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08" name="Shape 9808"/>
                        <wps:cNvSpPr/>
                        <wps:spPr>
                          <a:xfrm>
                            <a:off x="0" y="2743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5917"/>
                                  <a:pt x="54975" y="39390"/>
                                </a:cubicBezTo>
                                <a:cubicBezTo>
                                  <a:pt x="53525" y="42863"/>
                                  <a:pt x="51460" y="45938"/>
                                  <a:pt x="48781" y="48716"/>
                                </a:cubicBezTo>
                                <a:cubicBezTo>
                                  <a:pt x="46101" y="51395"/>
                                  <a:pt x="43011" y="53479"/>
                                  <a:pt x="39510" y="54868"/>
                                </a:cubicBezTo>
                                <a:cubicBezTo>
                                  <a:pt x="36009" y="56356"/>
                                  <a:pt x="32364" y="57150"/>
                                  <a:pt x="28575" y="57150"/>
                                </a:cubicBezTo>
                                <a:cubicBezTo>
                                  <a:pt x="24786" y="57150"/>
                                  <a:pt x="21141" y="56356"/>
                                  <a:pt x="17640" y="54868"/>
                                </a:cubicBezTo>
                                <a:cubicBezTo>
                                  <a:pt x="14139" y="53479"/>
                                  <a:pt x="11049" y="51395"/>
                                  <a:pt x="8369" y="48716"/>
                                </a:cubicBezTo>
                                <a:cubicBezTo>
                                  <a:pt x="5690" y="45938"/>
                                  <a:pt x="3625" y="42863"/>
                                  <a:pt x="2175" y="39390"/>
                                </a:cubicBezTo>
                                <a:cubicBezTo>
                                  <a:pt x="725" y="35917"/>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4640" style="width:4.5pt;height:220.5pt;position:absolute;mso-position-horizontal-relative:text;mso-position-horizontal:absolute;margin-left:16.8633pt;mso-position-vertical-relative:text;margin-top:2.74219pt;" coordsize="571,28003">
                <v:shape id="Shape 9778" style="position:absolute;width:571;height:571;left:0;top:0;" coordsize="57150,57150" path="m28575,0c32364,0,36009,794,39510,2183c43011,3572,46101,5655,48781,8334c51460,11013,53525,14188,54975,17661c56425,21134,57150,24805,57150,28575c57150,32345,56425,36016,54975,39489c53525,42962,51460,46038,48781,48816c46101,51495,43011,53578,39510,54967c36009,56356,32364,57150,28575,57150c24786,57150,21141,56356,17640,54967c14139,53578,11049,51495,8369,48816c5690,46038,3625,42962,2175,39489c725,36016,0,32345,0,28575c0,24805,725,21134,2175,17661c3625,14188,5690,11013,8369,8334c11049,5655,14139,3572,17640,2183c21141,794,24786,0,28575,0x">
                  <v:stroke weight="0pt" endcap="flat" joinstyle="miter" miterlimit="10" on="false" color="#000000" opacity="0"/>
                  <v:fill on="true" color="#333333"/>
                </v:shape>
                <v:shape id="Shape 9781" style="position:absolute;width:571;height:571;left:0;top:3048;" coordsize="57150,57150" path="m28575,0c32364,0,36009,794,39510,2183c43011,3572,46101,5655,48781,8334c51460,11013,53525,14188,54975,17661c56425,21134,57150,24805,57150,28575c57150,32345,56425,36016,54975,39489c53525,42962,51460,46038,48781,48816c46101,51395,43011,53479,39510,54967c36009,56356,32364,57150,28575,57150c24786,57150,21141,56356,17640,54967c14139,53479,11049,51395,8369,48816c5690,46038,3625,42962,2175,39489c725,36016,0,32345,0,28575c0,24805,725,21134,2175,17661c3625,14188,5690,11013,8369,8334c11049,5655,14139,3572,17640,2183c21141,794,24786,0,28575,0x">
                  <v:stroke weight="0pt" endcap="flat" joinstyle="miter" miterlimit="10" on="false" color="#000000" opacity="0"/>
                  <v:fill on="true" color="#333333"/>
                </v:shape>
                <v:shape id="Shape 9784" style="position:absolute;width:571;height:571;left:0;top:6096;" coordsize="57150,57150" path="m28575,0c32364,0,36009,695,39510,2084c43011,3572,46101,5655,48781,8334c51460,11013,53525,14089,54975,17562c56425,21134,57150,24805,57150,28575c57150,32345,56425,36016,54975,39489c53525,42962,51460,46137,48781,48816c46101,51495,43011,53479,39510,54868c36009,56356,32364,57150,28575,57150c24786,57150,21141,56356,17640,54868c14139,53479,11049,51495,8369,48816c5690,46137,3625,42962,2175,39489c725,36016,0,32345,0,28575c0,24805,725,21134,2175,17562c3625,14089,5690,11013,8369,8334c11049,5655,14139,3572,17640,2084c21141,695,24786,0,28575,0x">
                  <v:stroke weight="0pt" endcap="flat" joinstyle="miter" miterlimit="10" on="false" color="#000000" opacity="0"/>
                  <v:fill on="true" color="#333333"/>
                </v:shape>
                <v:shape id="Shape 9787" style="position:absolute;width:571;height:571;left:0;top:9144;" coordsize="57150,57150" path="m28575,0c32364,0,36009,695,39510,2084c43011,3572,46101,5655,48781,8334c51460,11013,53525,14089,54975,17562c56425,21134,57150,24805,57150,28575c57150,32345,56425,35917,54975,39390c53525,42863,51460,46038,48781,48816c46101,51395,43011,53479,39510,54868c36009,56257,32364,57150,28575,57150c24786,57150,21141,56257,17640,54868c14139,53479,11049,51395,8369,48816c5690,46038,3625,42863,2175,39390c725,35917,0,32345,0,28575c0,24805,725,21134,2175,17562c3625,14089,5690,11013,8369,8334c11049,5655,14139,3572,17640,2084c21141,695,24786,0,28575,0x">
                  <v:stroke weight="0pt" endcap="flat" joinstyle="miter" miterlimit="10" on="false" color="#000000" opacity="0"/>
                  <v:fill on="true" color="#333333"/>
                </v:shape>
                <v:shape id="Shape 9789" style="position:absolute;width:571;height:571;left:0;top:10668;" coordsize="57150,57150" path="m28575,0c32364,0,36009,695,39510,2084c43011,3572,46101,5655,48781,8334c51460,11013,53525,14089,54975,17562c56425,21134,57150,24805,57150,28575c57150,32445,56425,36016,54975,39489c53525,42962,51460,46038,48781,48816c46101,51395,43011,53479,39510,54868c36009,56257,32364,57150,28575,57150c24786,57150,21141,56257,17640,54868c14139,53479,11049,51395,8369,48816c5690,46038,3625,42962,2175,39489c725,36016,0,32445,0,28575c0,24805,725,21134,2175,17562c3625,14089,5690,11013,8369,8334c11049,5655,14139,3572,17640,2084c21141,695,24786,0,28575,0x">
                  <v:stroke weight="0pt" endcap="flat" joinstyle="miter" miterlimit="10" on="false" color="#000000" opacity="0"/>
                  <v:fill on="true" color="#333333"/>
                </v:shape>
                <v:shape id="Shape 9792" style="position:absolute;width:571;height:571;left:0;top:13716;" coordsize="57150,57150" path="m28575,0c32364,0,36009,695,39510,2084c43011,3572,46101,5655,48781,8334c51460,11013,53525,14089,54975,17562c56425,21134,57150,24805,57150,28575c57150,32445,56425,36016,54975,39489c53525,42962,51460,46038,48781,48816c46101,51395,43011,53479,39510,54967c36009,56356,32364,57150,28575,57150c24786,57150,21141,56356,17640,54967c14139,53479,11049,51395,8369,48816c5690,46038,3625,42962,2175,39489c725,36016,0,32445,0,28575c0,24805,725,21134,2175,17562c3625,14089,5690,11013,8369,8334c11049,5655,14139,3572,17640,2084c21141,695,24786,0,28575,0x">
                  <v:stroke weight="0pt" endcap="flat" joinstyle="miter" miterlimit="10" on="false" color="#000000" opacity="0"/>
                  <v:fill on="true" color="#333333"/>
                </v:shape>
                <v:shape id="Shape 9794" style="position:absolute;width:571;height:571;left:0;top:15240;" coordsize="57150,57150" path="m28575,0c32364,0,36009,695,39510,2084c43011,3572,46101,5655,48781,8334c51460,10914,53525,13990,54975,17562c56425,21134,57150,24805,57150,28575c57150,32445,56425,36016,54975,39489c53525,42962,51460,46038,48781,48816c46101,51395,43011,53479,39510,54967c36009,56356,32364,57150,28575,57150c24786,57150,21141,56356,17640,54967c14139,53479,11049,51395,8369,48816c5690,46038,3625,42962,2175,39489c725,36016,0,32445,0,28575c0,24805,725,21134,2175,17562c3625,13990,5690,10914,8369,8334c11049,5655,14139,3572,17640,2084c21141,695,24786,0,28575,0x">
                  <v:stroke weight="0pt" endcap="flat" joinstyle="miter" miterlimit="10" on="false" color="#000000" opacity="0"/>
                  <v:fill on="true" color="#333333"/>
                </v:shape>
                <v:shape id="Shape 9797" style="position:absolute;width:571;height:571;left:0;top:18288;" coordsize="57150,57150" path="m28575,0c32364,0,36009,695,39510,2084c43011,3572,46101,5655,48781,8334c51460,10914,53525,13990,54975,17562c56425,21134,57150,24805,57150,28575c57150,32246,56425,35917,54975,39390c53525,42863,51460,46038,48781,48816c46101,51395,43011,53479,39510,54868c36009,56257,32364,57150,28575,57150c24786,57150,21141,56257,17640,54868c14139,53479,11049,51395,8369,48816c5690,46038,3625,42863,2175,39390c725,35917,0,32246,0,28575c0,24805,725,21134,2175,17562c3625,13990,5690,10914,8369,8334c11049,5655,14139,3572,17640,2084c21141,695,24786,0,28575,0x">
                  <v:stroke weight="0pt" endcap="flat" joinstyle="miter" miterlimit="10" on="false" color="#000000" opacity="0"/>
                  <v:fill on="true" color="#333333"/>
                </v:shape>
                <v:shape id="Shape 9799" style="position:absolute;width:571;height:571;left:0;top:19812;" coordsize="57150,57150" path="m28575,0c32364,0,36009,695,39510,2084c43011,3572,46101,5655,48781,8334c51460,10914,53525,13990,54975,17562c56425,21134,57150,24805,57150,28575c57150,32246,56425,35917,54975,39390c53525,42863,51460,46038,48781,48816c46101,51395,43011,53479,39510,54868c36009,56257,32364,57150,28575,57150c24786,57150,21141,56257,17640,54868c14139,53479,11049,51395,8369,48816c5690,46038,3625,42863,2175,39390c725,35917,0,32246,0,28575c0,24805,725,21134,2175,17562c3625,13990,5690,10914,8369,8334c11049,5655,14139,3572,17640,2084c21141,695,24786,0,28575,0x">
                  <v:stroke weight="0pt" endcap="flat" joinstyle="miter" miterlimit="10" on="false" color="#000000" opacity="0"/>
                  <v:fill on="true" color="#333333"/>
                </v:shape>
                <v:shape id="Shape 9802" style="position:absolute;width:571;height:571;left:0;top:22860;" coordsize="57150,57150" path="m28575,0c32364,0,36009,695,39510,2084c43011,3572,46101,5655,48781,8334c51460,10914,53525,13990,54975,17562c56425,21034,57150,24705,57150,28575c57150,32246,56425,35917,54975,39390c53525,42863,51460,46038,48781,48816c46101,51395,43011,53479,39510,54868c36009,56257,32364,57150,28575,57150c24786,57150,21141,56257,17640,54868c14139,53479,11049,51395,8369,48816c5690,46038,3625,42863,2175,39390c725,35917,0,32246,0,28575c0,24705,725,21134,2175,17562c3625,13990,5690,10914,8369,8334c11049,5655,14139,3572,17640,2084c21141,695,24786,0,28575,0x">
                  <v:stroke weight="0pt" endcap="flat" joinstyle="miter" miterlimit="10" on="false" color="#000000" opacity="0"/>
                  <v:fill on="true" color="#333333"/>
                </v:shape>
                <v:shape id="Shape 9804" style="position:absolute;width:571;height:571;left:0;top:24384;" coordsize="57150,57150" path="m28575,0c32364,0,36009,695,39510,2084c43011,3572,46101,5655,48781,8334c51460,10914,53525,13990,54975,17562c56425,21034,57150,24705,57150,28575c57150,32345,56425,36016,54975,39489c53525,42962,51460,46038,48781,48816c46101,51395,43011,53479,39510,54868c36009,56257,32364,57150,28575,57150c24786,57150,21141,56257,17640,54868c14139,53479,11049,51395,8369,48816c5690,46038,3625,42962,2175,39489c725,36016,0,32345,0,28575c0,24705,725,21134,2175,17562c3625,13990,5690,10914,8369,8334c11049,5655,14139,3572,17640,2084c21141,695,24786,0,28575,0x">
                  <v:stroke weight="0pt" endcap="flat" joinstyle="miter" miterlimit="10" on="false" color="#000000" opacity="0"/>
                  <v:fill on="true" color="#333333"/>
                </v:shape>
                <v:shape id="Shape 9806" style="position:absolute;width:571;height:571;left:0;top:25908;" coordsize="57150,57150" path="m28575,0c32364,0,36009,695,39510,2084c43011,3572,46101,5655,48781,8334c51460,10914,53525,13990,54975,17562c56425,21034,57150,24705,57150,28575c57150,32345,56425,35917,54975,39390c53525,42863,51460,46038,48781,48716c46101,51395,43011,53479,39510,54868c36009,56356,32364,57150,28575,57150c24786,57150,21141,56356,17640,54868c14139,53479,11049,51395,8369,48716c5690,46038,3625,42863,2175,39390c725,35917,0,32345,0,28575c0,24705,725,21134,2175,17562c3625,13990,5690,10914,8369,8334c11049,5655,14139,3572,17640,2084c21141,695,24786,0,28575,0x">
                  <v:stroke weight="0pt" endcap="flat" joinstyle="miter" miterlimit="10" on="false" color="#000000" opacity="0"/>
                  <v:fill on="true" color="#333333"/>
                </v:shape>
                <v:shape id="Shape 9808" style="position:absolute;width:571;height:571;left:0;top:27432;" coordsize="57150,57150" path="m28575,0c32364,0,36009,695,39510,2084c43011,3572,46101,5655,48781,8334c51460,11013,53525,14089,54975,17562c56425,21134,57150,24705,57150,28575c57150,32345,56425,35917,54975,39390c53525,42863,51460,45938,48781,48716c46101,51395,43011,53479,39510,54868c36009,56356,32364,57150,28575,57150c24786,57150,21141,56356,17640,54868c14139,53479,11049,51395,8369,48716c5690,45938,3625,42863,2175,39390c725,35917,0,32345,0,28575c0,24705,725,21134,2175,17562c3625,14089,5690,11013,8369,8334c11049,5655,14139,3572,17640,2084c21141,695,24786,0,28575,0x">
                  <v:stroke weight="0pt" endcap="flat" joinstyle="miter" miterlimit="10" on="false" color="#000000" opacity="0"/>
                  <v:fill on="true" color="#333333"/>
                </v:shape>
                <w10:wrap type="square"/>
              </v:group>
            </w:pict>
          </mc:Fallback>
        </mc:AlternateContent>
      </w:r>
      <w:r>
        <w:t>задержка с началом проведения СЛР, потеря времени на второстепенные диагностические, организационные и лечебные процедуры;</w:t>
      </w:r>
    </w:p>
    <w:p w:rsidR="008E3F15" w:rsidRDefault="005F449A">
      <w:pPr>
        <w:ind w:left="347" w:right="15"/>
      </w:pPr>
      <w:r>
        <w:t>необоснованная задержка проведения дефибрилляции, неправильно выбранная энергия разряда;</w:t>
      </w:r>
    </w:p>
    <w:p w:rsidR="008E3F15" w:rsidRDefault="005F449A">
      <w:pPr>
        <w:ind w:left="347" w:right="15"/>
      </w:pPr>
      <w:r>
        <w:t>продолжительный поиск</w:t>
      </w:r>
      <w:r>
        <w:t xml:space="preserve"> венозного доступа, повторные безуспешные попытки интубации трахеи;</w:t>
      </w:r>
    </w:p>
    <w:p w:rsidR="008E3F15" w:rsidRDefault="005F449A">
      <w:pPr>
        <w:ind w:left="347" w:right="1573"/>
      </w:pPr>
      <w:r>
        <w:t xml:space="preserve">отсутствие единого руководителя и присутствие посторонних лиц; неправильная техника проведения наружного массажа сердца (чаще всего недостаточные частота и глубина компрессий); перерывы в </w:t>
      </w:r>
      <w:r>
        <w:t>проведении закрытого массажа сердца &gt;30 с;</w:t>
      </w:r>
    </w:p>
    <w:p w:rsidR="008E3F15" w:rsidRDefault="005F449A">
      <w:pPr>
        <w:ind w:left="347" w:right="15"/>
      </w:pPr>
      <w:r>
        <w:t>позднее начало введения эпинефрина или длительные (&gt;5 мин) интервалы между инъекциями;</w:t>
      </w:r>
    </w:p>
    <w:p w:rsidR="008E3F15" w:rsidRDefault="005F449A">
      <w:pPr>
        <w:spacing w:after="31"/>
        <w:ind w:left="347" w:right="15"/>
      </w:pPr>
      <w:r>
        <w:t>отсутствие постоянного контроля эффективности СЛР;</w:t>
      </w:r>
    </w:p>
    <w:p w:rsidR="008E3F15" w:rsidRDefault="005F449A">
      <w:pPr>
        <w:ind w:left="347" w:right="15"/>
      </w:pPr>
      <w:r>
        <w:t>неустранение причины электромеханической диссоциации: гиповолемия, напряжен</w:t>
      </w:r>
      <w:r>
        <w:t>ный пневмоторакс, тампонада сердца и др.;</w:t>
      </w:r>
    </w:p>
    <w:p w:rsidR="008E3F15" w:rsidRDefault="005F449A">
      <w:pPr>
        <w:ind w:left="347" w:right="15"/>
      </w:pPr>
      <w:r>
        <w:t>проведение дефибрилляции при асистолии и электромеханической диссоциации; диагностика асистолии только по одному отведению;</w:t>
      </w:r>
    </w:p>
    <w:p w:rsidR="008E3F15" w:rsidRDefault="005F449A">
      <w:pPr>
        <w:ind w:left="347" w:right="151"/>
      </w:pPr>
      <w:r>
        <w:t>недостаточно быстрая интубация трахеи и плохая вентиляция легких; преждевременное прекраще</w:t>
      </w:r>
      <w:r>
        <w:t>ние реанимационных мероприятий (в частности, прекращение реанимационных мероприятий через 30 мин от начала, а не с момента установления их неэффективности);</w:t>
      </w:r>
    </w:p>
    <w:p w:rsidR="008E3F15" w:rsidRDefault="005F449A">
      <w:pPr>
        <w:spacing w:after="179"/>
        <w:ind w:left="347" w:right="236"/>
      </w:pPr>
      <w:r>
        <w:rPr>
          <w:rFonts w:ascii="Calibri" w:eastAsia="Calibri" w:hAnsi="Calibri" w:cs="Calibri"/>
          <w:noProof/>
          <w:color w:val="000000"/>
          <w:sz w:val="22"/>
        </w:rPr>
        <mc:AlternateContent>
          <mc:Choice Requires="wpg">
            <w:drawing>
              <wp:anchor distT="0" distB="0" distL="114300" distR="114300" simplePos="0" relativeHeight="251784192"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84641" name="Group 28464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9812" name="Shape 981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15" name="Shape 981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246"/>
                                  <a:pt x="56425" y="35917"/>
                                  <a:pt x="54975" y="39390"/>
                                </a:cubicBezTo>
                                <a:cubicBezTo>
                                  <a:pt x="53525" y="42863"/>
                                  <a:pt x="51460" y="45938"/>
                                  <a:pt x="48781" y="48716"/>
                                </a:cubicBezTo>
                                <a:cubicBezTo>
                                  <a:pt x="46101" y="51296"/>
                                  <a:pt x="43011" y="53380"/>
                                  <a:pt x="39510" y="54769"/>
                                </a:cubicBezTo>
                                <a:cubicBezTo>
                                  <a:pt x="36009" y="56257"/>
                                  <a:pt x="32364" y="57150"/>
                                  <a:pt x="28575" y="57150"/>
                                </a:cubicBezTo>
                                <a:cubicBezTo>
                                  <a:pt x="24786" y="57150"/>
                                  <a:pt x="21141" y="56257"/>
                                  <a:pt x="17640" y="54769"/>
                                </a:cubicBezTo>
                                <a:cubicBezTo>
                                  <a:pt x="14139" y="53380"/>
                                  <a:pt x="11049" y="51296"/>
                                  <a:pt x="8369" y="48716"/>
                                </a:cubicBezTo>
                                <a:cubicBezTo>
                                  <a:pt x="5690" y="45938"/>
                                  <a:pt x="3625" y="42863"/>
                                  <a:pt x="2175" y="39390"/>
                                </a:cubicBezTo>
                                <a:cubicBezTo>
                                  <a:pt x="725" y="35917"/>
                                  <a:pt x="0" y="32246"/>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4641" style="width:4.5pt;height:28.5pt;position:absolute;mso-position-horizontal-relative:text;mso-position-horizontal:absolute;margin-left:16.8633pt;mso-position-vertical-relative:text;margin-top:2.74219pt;" coordsize="571,3619">
                <v:shape id="Shape 9812" style="position:absolute;width:571;height:571;left:0;top:0;" coordsize="57150,57150" path="m28575,0c32364,0,36009,695,39510,2084c43011,3572,46101,5655,48781,8334c51460,11013,53525,13990,54975,17562c56425,21034,57150,24705,57150,28575c57150,32345,56425,35917,54975,39390c53525,42863,51460,45938,48781,48716c46101,51296,43011,53380,39510,54868c36009,56356,32364,57150,28575,57150c24786,57150,21141,56356,17640,54868c14139,53380,11049,51296,8369,48716c5690,45938,3625,42863,2175,39390c725,35917,0,32345,0,28575c0,24705,725,21034,2175,17562c3625,13990,5690,11013,8369,8334c11049,5655,14139,3572,17640,2084c21141,695,24786,0,28575,0x">
                  <v:stroke weight="0pt" endcap="flat" joinstyle="miter" miterlimit="10" on="false" color="#000000" opacity="0"/>
                  <v:fill on="true" color="#333333"/>
                </v:shape>
                <v:shape id="Shape 9815" style="position:absolute;width:571;height:571;left:0;top:3048;" coordsize="57150,57150" path="m28575,0c32364,0,36009,695,39510,2084c43011,3572,46101,5655,48781,8334c51460,11013,53525,13990,54975,17562c56425,21034,57150,24705,57150,28575c57150,32246,56425,35917,54975,39390c53525,42863,51460,45938,48781,48716c46101,51296,43011,53380,39510,54769c36009,56257,32364,57150,28575,57150c24786,57150,21141,56257,17640,54769c14139,53380,11049,51296,8369,48716c5690,45938,3625,42863,2175,39390c725,35917,0,32246,0,28575c0,24705,725,21034,2175,17562c3625,13990,5690,11013,8369,8334c11049,5655,14139,3572,17640,2084c21141,695,24786,0,28575,0x">
                  <v:stroke weight="0pt" endcap="flat" joinstyle="miter" miterlimit="10" on="false" color="#000000" opacity="0"/>
                  <v:fill on="true" color="#333333"/>
                </v:shape>
                <w10:wrap type="square"/>
              </v:group>
            </w:pict>
          </mc:Fallback>
        </mc:AlternateContent>
      </w:r>
      <w:r>
        <w:t>отсутствие учета проводимых лечебных мероприятий, контроля выполнения назначений и времени; ослабл</w:t>
      </w:r>
      <w:r>
        <w:t>ение контроля над больным после восстановления кровообращения и дыхания.</w:t>
      </w:r>
    </w:p>
    <w:p w:rsidR="008E3F15" w:rsidRDefault="005F449A">
      <w:pPr>
        <w:spacing w:after="179"/>
        <w:ind w:left="2" w:right="15"/>
      </w:pPr>
      <w:r>
        <w:rPr>
          <w:b/>
        </w:rPr>
        <w:t xml:space="preserve">Организация помощи при остановке сердца. </w:t>
      </w:r>
      <w:r>
        <w:t>Концепция «цепи выживания» предполагает выделение мероприятий, которые необходимо выполнить, чтобы обеспечить максимальную вероятность сохране</w:t>
      </w:r>
      <w:r>
        <w:t>ния жизни больному (AHA).</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85216" behindDoc="0" locked="0" layoutInCell="1" allowOverlap="1">
                <wp:simplePos x="0" y="0"/>
                <wp:positionH relativeFrom="column">
                  <wp:posOffset>214164</wp:posOffset>
                </wp:positionH>
                <wp:positionV relativeFrom="paragraph">
                  <wp:posOffset>34826</wp:posOffset>
                </wp:positionV>
                <wp:extent cx="57150" cy="514350"/>
                <wp:effectExtent l="0" t="0" r="0" b="0"/>
                <wp:wrapSquare wrapText="bothSides"/>
                <wp:docPr id="284643" name="Group 284643"/>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9821" name="Shape 9821"/>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23" name="Shape 9823"/>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962"/>
                                  <a:pt x="51460" y="46137"/>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137"/>
                                  <a:pt x="3625" y="42962"/>
                                  <a:pt x="2175" y="39489"/>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25" name="Shape 982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962"/>
                                  <a:pt x="51460" y="46137"/>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137"/>
                                  <a:pt x="3625" y="42962"/>
                                  <a:pt x="2175" y="39489"/>
                                </a:cubicBezTo>
                                <a:cubicBezTo>
                                  <a:pt x="725" y="36016"/>
                                  <a:pt x="0" y="323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9827" name="Shape 982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962"/>
                                  <a:pt x="51460" y="46137"/>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137"/>
                                  <a:pt x="3625" y="42962"/>
                                  <a:pt x="2175" y="39489"/>
                                </a:cubicBezTo>
                                <a:cubicBezTo>
                                  <a:pt x="725" y="36016"/>
                                  <a:pt x="0" y="32345"/>
                                  <a:pt x="0" y="28575"/>
                                </a:cubicBezTo>
                                <a:cubicBezTo>
                                  <a:pt x="0" y="24705"/>
                                  <a:pt x="725" y="21034"/>
                                  <a:pt x="2175" y="17562"/>
                                </a:cubicBezTo>
                                <a:cubicBezTo>
                                  <a:pt x="3625" y="13990"/>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4643" style="width:4.5pt;height:40.5pt;position:absolute;mso-position-horizontal-relative:text;mso-position-horizontal:absolute;margin-left:16.8633pt;mso-position-vertical-relative:text;margin-top:2.74219pt;" coordsize="571,5143">
                <v:shape id="Shape 9821" style="position:absolute;width:571;height:571;left:0;top:0;" coordsize="57150,57150" path="m28575,0c32364,0,36009,695,39510,2084c43011,3572,46101,5655,48781,8334c51460,11013,53525,14089,54975,17562c56425,21134,57150,24805,57150,28575c57150,32445,56425,36016,54975,39489c53525,42863,51460,45938,48781,48716c46101,51296,43011,53380,39510,54868c36009,56356,32364,57150,28575,57150c24786,57150,21141,56356,17640,54967c14139,53380,11049,51296,8369,48716c5690,45938,3625,42863,2175,39390c725,36016,0,32445,0,28575c0,24805,725,21134,2175,17562c3625,14089,5690,11013,8369,8334c11049,5655,14139,3572,17640,2084c21141,695,24786,0,28575,0x">
                  <v:stroke weight="0pt" endcap="flat" joinstyle="miter" miterlimit="10" on="false" color="#000000" opacity="0"/>
                  <v:fill on="true" color="#333333"/>
                </v:shape>
                <v:shape id="Shape 9823" style="position:absolute;width:571;height:571;left:0;top:1524;" coordsize="57150,57150" path="m28575,0c32364,0,36009,695,39510,2084c43011,3572,46101,5655,48781,8334c51460,11013,53525,13990,54975,17562c56425,21034,57150,24705,57150,28575c57150,32445,56425,36016,54975,39489c53525,42962,51460,46137,48781,48816c46101,51495,43011,53578,39510,54967c36009,56356,32364,57150,28575,57150c24786,57150,21141,56356,17640,54967c14139,53578,11049,51495,8369,48816c5690,46137,3625,42962,2175,39489c725,36016,0,32445,0,28575c0,24705,725,21034,2175,17562c3625,13990,5690,11013,8369,8334c11049,5655,14139,3572,17640,2084c21141,695,24786,0,28575,0x">
                  <v:stroke weight="0pt" endcap="flat" joinstyle="miter" miterlimit="10" on="false" color="#000000" opacity="0"/>
                  <v:fill on="true" color="#333333"/>
                </v:shape>
                <v:shape id="Shape 9825" style="position:absolute;width:571;height:571;left:0;top:3048;" coordsize="57150,57150" path="m28575,0c32364,0,36009,695,39510,2084c43011,3572,46101,5655,48781,8334c51460,11013,53525,13990,54975,17562c56425,21034,57150,24705,57150,28575c57150,32345,56425,36016,54975,39489c53525,42962,51460,46137,48781,48816c46101,51495,43011,53578,39510,54967c36009,56356,32364,57150,28575,57150c24786,57150,21141,56356,17640,54967c14139,53578,11049,51495,8369,48816c5690,46137,3625,42962,2175,39489c725,36016,0,32345,0,28575c0,24705,725,21034,2175,17562c3625,13990,5690,11013,8369,8334c11049,5655,14139,3572,17640,2084c21141,695,24786,0,28575,0x">
                  <v:stroke weight="0pt" endcap="flat" joinstyle="miter" miterlimit="10" on="false" color="#000000" opacity="0"/>
                  <v:fill on="true" color="#333333"/>
                </v:shape>
                <v:shape id="Shape 9827" style="position:absolute;width:571;height:571;left:0;top:4572;" coordsize="57150,57150" path="m28575,0c32364,0,36009,794,39510,2183c43011,3572,46101,5655,48781,8334c51460,11013,53525,13990,54975,17562c56425,21034,57150,24705,57150,28575c57150,32345,56425,36016,54975,39489c53525,42962,51460,46137,48781,48816c46101,51495,43011,53578,39510,54967c36009,56356,32364,57150,28575,57150c24786,57150,21141,56356,17640,54967c14139,53578,11049,51495,8369,48816c5690,46137,3625,42962,2175,39489c725,36016,0,32345,0,28575c0,24705,725,21034,2175,17562c3625,13990,5690,11013,8369,8334c11049,5655,14139,3572,17640,2183c21141,794,24786,0,28575,0x">
                  <v:stroke weight="0pt" endcap="flat" joinstyle="miter" miterlimit="10" on="false" color="#000000" opacity="0"/>
                  <v:fill on="true" color="#333333"/>
                </v:shape>
                <w10:wrap type="square"/>
              </v:group>
            </w:pict>
          </mc:Fallback>
        </mc:AlternateContent>
      </w:r>
      <w:r>
        <w:t>Раннее прибытие скорой медицинской помощи или подготовленного гражданина.</w:t>
      </w:r>
    </w:p>
    <w:p w:rsidR="008E3F15" w:rsidRDefault="005F449A">
      <w:pPr>
        <w:spacing w:after="31"/>
        <w:ind w:left="347" w:right="15"/>
      </w:pPr>
      <w:r>
        <w:t>Ранняя СЛР.</w:t>
      </w:r>
    </w:p>
    <w:p w:rsidR="008E3F15" w:rsidRDefault="005F449A">
      <w:pPr>
        <w:spacing w:after="179"/>
        <w:ind w:left="347" w:right="92"/>
      </w:pPr>
      <w:r>
        <w:t>Ранняя дефибрилляция с помощью автоматических наружных дефибрилляторов. Раннее начало дополнительных мероприятий по поддержанию жизни — гипотермия, поддержание синусового ритма.</w:t>
      </w:r>
    </w:p>
    <w:p w:rsidR="008E3F15" w:rsidRDefault="005F449A">
      <w:pPr>
        <w:ind w:left="2" w:right="15"/>
      </w:pPr>
      <w:r>
        <w:t>Важное значение имеют организационные меры, включая плотность и доступность ре</w:t>
      </w:r>
      <w:r>
        <w:t>сурсов неотложной помощи, автоматические дефибрилляторы в общественных местах, где повышена частота случаев остановки сердечной деятельности (стадионы, большие станции, школы) или невозможна доставка аппарата (круизные лайнеры, самолеты, поезда) (Chocron R</w:t>
      </w:r>
      <w:r>
        <w:t>. et al., 2019; Kitamura T. et al., 2016). Внегоспитальное использование автоматических наружных</w:t>
      </w:r>
    </w:p>
    <w:p w:rsidR="008E3F15" w:rsidRDefault="005F449A">
      <w:pPr>
        <w:ind w:left="2" w:right="15"/>
      </w:pPr>
      <w:r>
        <w:t>дефибрилляторов свидетелями остановки сердца позволило увеличить число госпитализированных пациентов с 27 до 39% в исследовании PAD.</w:t>
      </w:r>
    </w:p>
    <w:p w:rsidR="008E3F15" w:rsidRDefault="005F449A">
      <w:pPr>
        <w:ind w:left="2" w:right="15"/>
      </w:pPr>
      <w:r>
        <w:t>Полезна организация волонт</w:t>
      </w:r>
      <w:r>
        <w:t>еров, которые вызываются через приложение на смартфоне диспетчерами и могут прибыть к пациенту с остановкой сердца быстрее машины скорой помощи и начать СЛР и дефибрилляцию с помощью ближайшего автоматического дефибриллятора, что может улучшить выживаемост</w:t>
      </w:r>
      <w:r>
        <w:t>ь пострадавшего (HeartRunner; Jonsson M. et al., 2023).</w:t>
      </w:r>
    </w:p>
    <w:p w:rsidR="008E3F15" w:rsidRDefault="005F449A">
      <w:pPr>
        <w:ind w:left="2" w:right="681"/>
      </w:pPr>
      <w:r>
        <w:t>Необходимо вызвать бригаду скорой медицинской помощи, а при возможности — специализированную. По-видимому, нужно продолжать реанимационные мероприятия на месте до эффекта, а не транспортировать пациен</w:t>
      </w:r>
      <w:r>
        <w:t>та, продолжая лечение по пути в госпиталь (Grunau B. et al., 2020).</w:t>
      </w:r>
    </w:p>
    <w:p w:rsidR="008E3F15" w:rsidRDefault="005F449A">
      <w:pPr>
        <w:spacing w:after="359"/>
        <w:ind w:left="2" w:right="15"/>
      </w:pPr>
      <w:r>
        <w:t>Госпитализацию таких пациентов необходимо проводить, обязательно обеспечивая возможность проведения дефибрилляции при транспортировке и сохранения надежного доступа к вене.</w:t>
      </w:r>
    </w:p>
    <w:p w:rsidR="008E3F15" w:rsidRDefault="005F449A">
      <w:pPr>
        <w:pStyle w:val="Heading1"/>
        <w:ind w:left="2"/>
      </w:pPr>
      <w:r>
        <w:t>Часть I. Сердеч</w:t>
      </w:r>
      <w:r>
        <w:t>но-сосудистые болезни</w:t>
      </w:r>
    </w:p>
    <w:p w:rsidR="008E3F15" w:rsidRDefault="005F449A">
      <w:pPr>
        <w:spacing w:after="31"/>
        <w:ind w:left="2" w:right="15"/>
      </w:pPr>
      <w:r>
        <w:t>Профилактика</w:t>
      </w:r>
    </w:p>
    <w:p w:rsidR="008E3F15" w:rsidRDefault="005F449A">
      <w:pPr>
        <w:ind w:left="2" w:right="15"/>
      </w:pPr>
      <w:r>
        <w:t>Важнейшее значение в профилактике ВСС имеет активное лечение основного заболевания (коронарная болезнь, СН, порок сердца).</w:t>
      </w:r>
    </w:p>
    <w:p w:rsidR="008E3F15" w:rsidRDefault="005F449A">
      <w:pPr>
        <w:ind w:left="2" w:right="15"/>
      </w:pPr>
      <w:r>
        <w:t>В случаях вероятности коронарного атеросклероза для предупреждения неблагоприятных событий важна к</w:t>
      </w:r>
      <w:r>
        <w:t>оррекция факторов риска — артериальной гипертензии, СД, курения, дислипидемии, малоподвижного образа жизни.</w:t>
      </w:r>
    </w:p>
    <w:p w:rsidR="008E3F15" w:rsidRDefault="005F449A">
      <w:pPr>
        <w:ind w:left="2" w:right="15"/>
      </w:pPr>
      <w:r>
        <w:t xml:space="preserve">Эффективность разных методов профилактики ВСС и жизнеопасных желудочковых тахиаритмий представлена в </w:t>
      </w:r>
      <w:r>
        <w:rPr>
          <w:b/>
        </w:rPr>
        <w:t>табл. 6.3</w:t>
      </w:r>
      <w:r>
        <w:t>.</w:t>
      </w:r>
    </w:p>
    <w:p w:rsidR="008E3F15" w:rsidRDefault="005F449A">
      <w:pPr>
        <w:spacing w:after="31"/>
        <w:ind w:left="2" w:right="15"/>
      </w:pPr>
      <w:r>
        <w:rPr>
          <w:b/>
        </w:rPr>
        <w:t xml:space="preserve">Таблица 6.3. </w:t>
      </w:r>
      <w:r>
        <w:t xml:space="preserve">Профилактика внезапной </w:t>
      </w:r>
      <w:r>
        <w:t>сердечной смерти и жизнеопасных желудочковых тахиаритмий (ESC, с изменениями)</w:t>
      </w:r>
    </w:p>
    <w:tbl>
      <w:tblPr>
        <w:tblStyle w:val="TableGrid"/>
        <w:tblW w:w="10485" w:type="dxa"/>
        <w:tblInd w:w="37" w:type="dxa"/>
        <w:tblCellMar>
          <w:top w:w="80" w:type="dxa"/>
          <w:left w:w="45" w:type="dxa"/>
          <w:bottom w:w="0" w:type="dxa"/>
          <w:right w:w="63" w:type="dxa"/>
        </w:tblCellMar>
        <w:tblLook w:val="04A0" w:firstRow="1" w:lastRow="0" w:firstColumn="1" w:lastColumn="0" w:noHBand="0" w:noVBand="1"/>
      </w:tblPr>
      <w:tblGrid>
        <w:gridCol w:w="3210"/>
        <w:gridCol w:w="3795"/>
        <w:gridCol w:w="3480"/>
      </w:tblGrid>
      <w:tr w:rsidR="008E3F15">
        <w:trPr>
          <w:trHeight w:val="33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Состояние</w:t>
            </w:r>
          </w:p>
        </w:tc>
        <w:tc>
          <w:tcPr>
            <w:tcW w:w="3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b/>
              </w:rPr>
              <w:t>Доказана эффективность</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Возможно эффективны</w:t>
            </w:r>
          </w:p>
        </w:tc>
      </w:tr>
      <w:tr w:rsidR="008E3F15">
        <w:trPr>
          <w:trHeight w:val="1050"/>
        </w:trPr>
        <w:tc>
          <w:tcPr>
            <w:tcW w:w="32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Дисфункция левого желудочка с ФВЛЖ ≤35%</w:t>
            </w:r>
          </w:p>
        </w:tc>
        <w:tc>
          <w:tcPr>
            <w:tcW w:w="3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β-Адреноблокаторы, иАПФ, аМКР, сакубитрил + валсартан, ИКД, СРТ/СРТ-Д, реваскуляризация</w:t>
            </w:r>
          </w:p>
        </w:tc>
        <w:tc>
          <w:tcPr>
            <w:tcW w:w="34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БРА, амиодарон, абляция</w:t>
            </w:r>
          </w:p>
        </w:tc>
      </w:tr>
      <w:tr w:rsidR="008E3F15">
        <w:trPr>
          <w:trHeight w:val="1050"/>
        </w:trPr>
        <w:tc>
          <w:tcPr>
            <w:tcW w:w="32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Симптомная устойчивая ЖТ</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ИКД</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Амиодарон, β-</w:t>
            </w:r>
          </w:p>
          <w:p w:rsidR="008E3F15" w:rsidRDefault="005F449A">
            <w:pPr>
              <w:spacing w:after="0" w:line="259" w:lineRule="auto"/>
              <w:ind w:left="0" w:right="0" w:firstLine="0"/>
            </w:pPr>
            <w:r>
              <w:t>адреноблокаторы, соталол, ранолазин, абляция, реваскуляризация</w:t>
            </w:r>
          </w:p>
        </w:tc>
      </w:tr>
      <w:tr w:rsidR="008E3F15">
        <w:trPr>
          <w:trHeight w:val="570"/>
        </w:trPr>
        <w:tc>
          <w:tcPr>
            <w:tcW w:w="32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Коронарная болезнь</w:t>
            </w:r>
          </w:p>
        </w:tc>
        <w:tc>
          <w:tcPr>
            <w:tcW w:w="3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β-Адреноблокаторы, статины, ИКД, реваскуляризация</w:t>
            </w:r>
          </w:p>
        </w:tc>
        <w:tc>
          <w:tcPr>
            <w:tcW w:w="34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Амиодарон</w:t>
            </w:r>
          </w:p>
        </w:tc>
      </w:tr>
      <w:tr w:rsidR="008E3F15">
        <w:trPr>
          <w:trHeight w:val="57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Гипертрофическая кардиомиопатия</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ИКД</w:t>
            </w:r>
          </w:p>
        </w:tc>
        <w:tc>
          <w:tcPr>
            <w:tcW w:w="34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Амиодарон</w:t>
            </w:r>
          </w:p>
        </w:tc>
      </w:tr>
      <w:tr w:rsidR="008E3F15">
        <w:trPr>
          <w:trHeight w:val="870"/>
        </w:trPr>
        <w:tc>
          <w:tcPr>
            <w:tcW w:w="32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Аритмогенная кардиомио патия</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β-Адреноблокаторы, ИКД</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Амиодарон, соталол, мексилетин, флекаинид</w:t>
            </w:r>
            <w:r>
              <w:rPr>
                <w:rFonts w:ascii="Times New Roman" w:eastAsia="Times New Roman" w:hAnsi="Times New Roman" w:cs="Times New Roman"/>
                <w:sz w:val="31"/>
                <w:vertAlign w:val="superscript"/>
              </w:rPr>
              <w:t>℘</w:t>
            </w:r>
            <w:r>
              <w:t>, абляция</w:t>
            </w:r>
          </w:p>
        </w:tc>
      </w:tr>
      <w:tr w:rsidR="008E3F15">
        <w:trPr>
          <w:trHeight w:val="810"/>
        </w:trPr>
        <w:tc>
          <w:tcPr>
            <w:tcW w:w="32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 xml:space="preserve">Синдром удлиненного интервала </w:t>
            </w:r>
            <w:r>
              <w:rPr>
                <w:i/>
              </w:rPr>
              <w:t>Q–T</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β-Адреноблокаторы, ИКД</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Мексилетин (LQT3), симпатическая денервация слева</w:t>
            </w:r>
          </w:p>
        </w:tc>
      </w:tr>
      <w:tr w:rsidR="008E3F15">
        <w:trPr>
          <w:trHeight w:val="57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 xml:space="preserve">Синдром короткого интервала </w:t>
            </w:r>
            <w:r>
              <w:rPr>
                <w:i/>
              </w:rPr>
              <w:t>Q–T</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ИКД</w:t>
            </w:r>
          </w:p>
        </w:tc>
        <w:tc>
          <w:tcPr>
            <w:tcW w:w="348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pPr>
            <w:r>
              <w:t>Хинидин, соталол</w:t>
            </w:r>
          </w:p>
        </w:tc>
      </w:tr>
      <w:tr w:rsidR="008E3F15">
        <w:trPr>
          <w:trHeight w:val="33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Синдром Бругада</w:t>
            </w:r>
          </w:p>
        </w:tc>
        <w:tc>
          <w:tcPr>
            <w:tcW w:w="379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t>ИКД</w:t>
            </w:r>
          </w:p>
        </w:tc>
        <w:tc>
          <w:tcPr>
            <w:tcW w:w="348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Хинидин, цилостазол, абляция</w:t>
            </w:r>
          </w:p>
        </w:tc>
      </w:tr>
      <w:tr w:rsidR="008E3F15">
        <w:trPr>
          <w:trHeight w:val="57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Катехоламинергическая полиморфная ЖТ</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β-Адреноблокаторы, ИКД</w:t>
            </w:r>
          </w:p>
        </w:tc>
        <w:tc>
          <w:tcPr>
            <w:tcW w:w="34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Cимпатическая денервация слева</w:t>
            </w:r>
          </w:p>
        </w:tc>
      </w:tr>
      <w:tr w:rsidR="008E3F15">
        <w:trPr>
          <w:trHeight w:val="81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5" w:firstLine="0"/>
            </w:pPr>
            <w:r>
              <w:t>Синдром ранней реполяризации желудочков</w:t>
            </w:r>
          </w:p>
        </w:tc>
        <w:tc>
          <w:tcPr>
            <w:tcW w:w="37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ИКД</w:t>
            </w:r>
          </w:p>
        </w:tc>
        <w:tc>
          <w:tcPr>
            <w:tcW w:w="348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pPr>
            <w:r>
              <w:t>Хинидин, цилостазол</w:t>
            </w:r>
          </w:p>
        </w:tc>
      </w:tr>
      <w:tr w:rsidR="008E3F15">
        <w:trPr>
          <w:trHeight w:val="330"/>
        </w:trPr>
        <w:tc>
          <w:tcPr>
            <w:tcW w:w="3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Первичная ФЖ</w:t>
            </w:r>
          </w:p>
        </w:tc>
        <w:tc>
          <w:tcPr>
            <w:tcW w:w="379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t>ИКД</w:t>
            </w:r>
          </w:p>
        </w:tc>
        <w:tc>
          <w:tcPr>
            <w:tcW w:w="348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Амиодарон, хинидин, абляция</w:t>
            </w:r>
          </w:p>
        </w:tc>
      </w:tr>
    </w:tbl>
    <w:p w:rsidR="008E3F15" w:rsidRDefault="005F449A">
      <w:pPr>
        <w:ind w:left="2" w:right="15"/>
      </w:pPr>
      <w:r>
        <w:rPr>
          <w:b/>
        </w:rPr>
        <w:t>Вторичная профилактика.</w:t>
      </w:r>
      <w:r>
        <w:t xml:space="preserve"> Для предупреждения повторных эпизодов остановки сердечной деятельности проводят реваскуляризацию мио карда, имплантируют электрические устройства, назначают β-адреноблокаторы. Эффективность амиодарона для вторичной ВСС убедительно не доказана (Cochrane Re</w:t>
      </w:r>
      <w:r>
        <w:t>views). У пациентов с ИКД ранолазин может снизить рецидивы ЖТ и ФЖ (RAID).</w:t>
      </w:r>
    </w:p>
    <w:p w:rsidR="008E3F15" w:rsidRDefault="005F449A">
      <w:pPr>
        <w:ind w:left="2" w:right="15"/>
      </w:pPr>
      <w:r>
        <w:rPr>
          <w:i/>
        </w:rPr>
        <w:t xml:space="preserve">Реваскуляризация мио карда. </w:t>
      </w:r>
      <w:r>
        <w:t xml:space="preserve">Почти две трети (65%) пациентов, выживших после остановки сердца и без подъема </w:t>
      </w:r>
      <w:r>
        <w:rPr>
          <w:i/>
        </w:rPr>
        <w:t>ST</w:t>
      </w:r>
      <w:r>
        <w:t>, могут иметь коронарную болезнь (COACT). При отсутствии любых нарушений</w:t>
      </w:r>
      <w:r>
        <w:t xml:space="preserve"> реполяризации на ЭКГ вероятность острого коронарного повреждения очень мала (Leclercq F. et al., 2020).</w:t>
      </w:r>
    </w:p>
    <w:p w:rsidR="008E3F15" w:rsidRDefault="005F449A">
      <w:pPr>
        <w:ind w:left="2" w:right="15"/>
      </w:pPr>
      <w:r>
        <w:t xml:space="preserve">Немедленная КГ и реваскуляризация по показаниям после успешной реанимации у пациентов без стойкого подъема </w:t>
      </w:r>
      <w:r>
        <w:rPr>
          <w:i/>
        </w:rPr>
        <w:t>ST</w:t>
      </w:r>
      <w:r>
        <w:t xml:space="preserve"> не улучшили выживаемость по сравнению с а</w:t>
      </w:r>
      <w:r>
        <w:t xml:space="preserve">нгиографией, отложенной до неврологического восстановления (COACT; TOMAHAWK). </w:t>
      </w:r>
      <w:r>
        <w:rPr>
          <w:i/>
        </w:rPr>
        <w:t xml:space="preserve">ИКД. </w:t>
      </w:r>
      <w:r>
        <w:t>Наиболее эффективным методом профилактики является имплантация кардиовертерадефибриллятора. Для восстановления синусового ритма используются антитахикардитическая кардиостим</w:t>
      </w:r>
      <w:r>
        <w:t>уляция при ЖТ и двухфазный электрический разряд при ФЖ или неэффективности частой кардиостимуляции.</w:t>
      </w:r>
    </w:p>
    <w:p w:rsidR="008E3F15" w:rsidRDefault="005F449A">
      <w:pPr>
        <w:spacing w:after="179"/>
        <w:ind w:left="2" w:right="789"/>
      </w:pPr>
      <w:r>
        <w:t xml:space="preserve">Подкожные ИКД позволяют избежать поломок электродов и пневмоторакса при сопоставимых смертности, качестве жизни и инфекции (Leon Salas B. et al., 2019). </w:t>
      </w:r>
      <w:r>
        <w:rPr>
          <w:i/>
        </w:rPr>
        <w:t>Общ</w:t>
      </w:r>
      <w:r>
        <w:rPr>
          <w:i/>
        </w:rPr>
        <w:t>ие рекомендации для терапии ИКД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786240" behindDoc="0" locked="0" layoutInCell="1" allowOverlap="1">
                <wp:simplePos x="0" y="0"/>
                <wp:positionH relativeFrom="column">
                  <wp:posOffset>214164</wp:posOffset>
                </wp:positionH>
                <wp:positionV relativeFrom="paragraph">
                  <wp:posOffset>34826</wp:posOffset>
                </wp:positionV>
                <wp:extent cx="438150" cy="819150"/>
                <wp:effectExtent l="0" t="0" r="0" b="0"/>
                <wp:wrapSquare wrapText="bothSides"/>
                <wp:docPr id="285418" name="Group 285418"/>
                <wp:cNvGraphicFramePr/>
                <a:graphic xmlns:a="http://schemas.openxmlformats.org/drawingml/2006/main">
                  <a:graphicData uri="http://schemas.microsoft.com/office/word/2010/wordprocessingGroup">
                    <wpg:wgp>
                      <wpg:cNvGrpSpPr/>
                      <wpg:grpSpPr>
                        <a:xfrm>
                          <a:off x="0" y="0"/>
                          <a:ext cx="438150" cy="819150"/>
                          <a:chOff x="0" y="0"/>
                          <a:chExt cx="438150" cy="819150"/>
                        </a:xfrm>
                      </wpg:grpSpPr>
                      <wps:wsp>
                        <wps:cNvPr id="10016" name="Shape 10016"/>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18" name="Shape 10018"/>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70" y="48716"/>
                                </a:cubicBezTo>
                                <a:cubicBezTo>
                                  <a:pt x="5690" y="46038"/>
                                  <a:pt x="3625" y="42863"/>
                                  <a:pt x="2175" y="39390"/>
                                </a:cubicBezTo>
                                <a:cubicBezTo>
                                  <a:pt x="725" y="35917"/>
                                  <a:pt x="0" y="32345"/>
                                  <a:pt x="0" y="28575"/>
                                </a:cubicBezTo>
                                <a:cubicBezTo>
                                  <a:pt x="0" y="24805"/>
                                  <a:pt x="725" y="21134"/>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21" name="Shape 10021"/>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914"/>
                                  <a:pt x="53525" y="13990"/>
                                  <a:pt x="54975" y="17562"/>
                                </a:cubicBezTo>
                                <a:cubicBezTo>
                                  <a:pt x="56425" y="21134"/>
                                  <a:pt x="57150" y="248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150"/>
                                  <a:pt x="28575" y="57150"/>
                                </a:cubicBezTo>
                                <a:cubicBezTo>
                                  <a:pt x="24786" y="57150"/>
                                  <a:pt x="21141" y="56257"/>
                                  <a:pt x="17640" y="54868"/>
                                </a:cubicBezTo>
                                <a:cubicBezTo>
                                  <a:pt x="14139" y="53380"/>
                                  <a:pt x="11049" y="51296"/>
                                  <a:pt x="8370" y="48716"/>
                                </a:cubicBezTo>
                                <a:cubicBezTo>
                                  <a:pt x="5690" y="45938"/>
                                  <a:pt x="3625" y="42863"/>
                                  <a:pt x="2175" y="39390"/>
                                </a:cubicBezTo>
                                <a:cubicBezTo>
                                  <a:pt x="725" y="35917"/>
                                  <a:pt x="0" y="32246"/>
                                  <a:pt x="0" y="28575"/>
                                </a:cubicBezTo>
                                <a:cubicBezTo>
                                  <a:pt x="0" y="24805"/>
                                  <a:pt x="725" y="21134"/>
                                  <a:pt x="2175" y="17562"/>
                                </a:cubicBezTo>
                                <a:cubicBezTo>
                                  <a:pt x="3625" y="13990"/>
                                  <a:pt x="5690" y="10914"/>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24" name="Shape 10024"/>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70" y="48816"/>
                                </a:cubicBezTo>
                                <a:cubicBezTo>
                                  <a:pt x="5690" y="46038"/>
                                  <a:pt x="3625" y="42863"/>
                                  <a:pt x="2175" y="39390"/>
                                </a:cubicBezTo>
                                <a:cubicBezTo>
                                  <a:pt x="725" y="35917"/>
                                  <a:pt x="0" y="32246"/>
                                  <a:pt x="0" y="28575"/>
                                </a:cubicBezTo>
                                <a:cubicBezTo>
                                  <a:pt x="0" y="24805"/>
                                  <a:pt x="725" y="21134"/>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418" style="width:34.5pt;height:64.5pt;position:absolute;mso-position-horizontal-relative:text;mso-position-horizontal:absolute;margin-left:16.8633pt;mso-position-vertical-relative:text;margin-top:2.74219pt;" coordsize="4381,8191">
                <v:shape id="Shape 10016" style="position:absolute;width:571;height:571;left:0;top:0;" coordsize="57150,57150" path="m28575,0c32364,0,36009,695,39510,2084c43011,3572,46101,5655,48781,8334c51460,11013,53525,14089,54975,17562c56425,21134,57150,24805,57150,28575c57150,32345,56425,35917,54975,39390c53525,42863,51460,46038,48781,48716c46101,51395,43011,53479,39510,54868c36009,56257,32364,57150,28575,57150c24786,57150,21141,56257,17640,54868c14139,53479,11049,51395,8369,48716c5690,46038,3625,42863,2175,39390c725,35917,0,32345,0,28575c0,24805,725,21134,2175,17562c3625,14089,5690,11013,8369,8334c11049,5655,14139,3572,17640,2084c21141,695,24786,0,28575,0x">
                  <v:stroke weight="0pt" endcap="flat" joinstyle="miter" miterlimit="10" on="false" color="#000000" opacity="0"/>
                  <v:fill on="true" color="#333333"/>
                </v:shape>
                <v:shape id="Shape 10018" style="position:absolute;width:571;height:571;left:3810;top:1524;" coordsize="57150,57150" path="m28575,0c32364,0,36009,695,39510,2084c43011,3572,46101,5655,48781,8334c51460,11013,53525,14089,54975,17562c56425,21134,57150,24805,57150,28575c57150,32345,56425,35917,54975,39390c53525,42863,51460,46038,48781,48716c46101,51395,43011,53479,39510,54868c36009,56257,32364,57150,28575,57150c24786,57150,21141,56257,17640,54868c14139,53479,11049,51395,8370,48716c5690,46038,3625,42863,2175,39390c725,35917,0,32345,0,28575c0,24805,725,21134,2175,17562c3625,14089,5690,11013,8370,8334c11049,5655,14139,3572,17640,2084c21141,695,24786,0,28575,0x">
                  <v:stroke weight="0pt" endcap="flat" joinstyle="miter" miterlimit="10" on="false" color="#000000" opacity="0"/>
                  <v:fill on="true" color="#333333"/>
                </v:shape>
                <v:shape id="Shape 10021" style="position:absolute;width:571;height:571;left:3810;top:4572;" coordsize="57150,57150" path="m28575,0c32364,0,36009,695,39510,2084c43011,3572,46101,5655,48781,8334c51460,10914,53525,13990,54975,17562c56425,21134,57150,24805,57150,28575c57150,32246,56425,35917,54975,39390c53525,42863,51460,45938,48781,48716c46101,51296,43011,53380,39510,54868c36009,56257,32364,57150,28575,57150c24786,57150,21141,56257,17640,54868c14139,53380,11049,51296,8370,48716c5690,45938,3625,42863,2175,39390c725,35917,0,32246,0,28575c0,24805,725,21134,2175,17562c3625,13990,5690,10914,8370,8334c11049,5655,14139,3572,17640,2084c21141,695,24786,0,28575,0x">
                  <v:stroke weight="0pt" endcap="flat" joinstyle="miter" miterlimit="10" on="false" color="#000000" opacity="0"/>
                  <v:fill on="true" color="#333333"/>
                </v:shape>
                <v:shape id="Shape 10024" style="position:absolute;width:571;height:571;left:3810;top:7620;" coordsize="57150,57150" path="m28575,0c32364,0,36009,695,39510,2084c43011,3572,46101,5655,48781,8334c51460,11013,53525,14089,54975,17562c56425,21134,57150,24805,57150,28575c57150,32246,56425,35917,54975,39390c53525,42863,51460,46038,48781,48816c46101,51395,43011,53479,39510,54868c36009,56257,32364,57150,28575,57150c24786,57150,21141,56257,17640,54868c14139,53479,11049,51395,8370,48816c5690,46038,3625,42863,2175,39390c725,35917,0,32246,0,28575c0,24805,725,21134,2175,17562c3625,14089,5690,11013,8370,8334c11049,5655,14139,3572,17640,2084c21141,695,24786,0,28575,0x">
                  <v:stroke weight="0pt" endcap="flat" joinstyle="miter" miterlimit="10" on="false" color="#000000" opacity="0"/>
                  <v:fill on="true" color="#333333"/>
                </v:shape>
                <w10:wrap type="square"/>
              </v:group>
            </w:pict>
          </mc:Fallback>
        </mc:AlternateContent>
      </w:r>
      <w:r>
        <w:rPr>
          <w:i/>
        </w:rPr>
        <w:t>I класс (рекомендуется):</w:t>
      </w:r>
    </w:p>
    <w:p w:rsidR="008E3F15" w:rsidRDefault="005F449A">
      <w:pPr>
        <w:ind w:left="347" w:right="15"/>
      </w:pPr>
      <w:r>
        <w:t>пациенты с документированной ФЖ или гемодинамически непереносимой ЖТ при отсутствии обратимой причины;</w:t>
      </w:r>
    </w:p>
    <w:p w:rsidR="008E3F15" w:rsidRDefault="005F449A">
      <w:pPr>
        <w:ind w:left="347" w:right="15"/>
      </w:pPr>
      <w:r>
        <w:t>имплантация кардиовертера-дефибриллятора рекомендуется только если ожидаемое выживание с хорошим качеством превышает 1 год;</w:t>
      </w:r>
    </w:p>
    <w:p w:rsidR="008E3F15" w:rsidRDefault="005F449A">
      <w:pPr>
        <w:ind w:left="607" w:right="225" w:firstLine="180"/>
      </w:pPr>
      <w:r>
        <w:rPr>
          <w:rFonts w:ascii="Calibri" w:eastAsia="Calibri" w:hAnsi="Calibri" w:cs="Calibri"/>
          <w:noProof/>
          <w:color w:val="000000"/>
          <w:sz w:val="22"/>
        </w:rPr>
        <mc:AlternateContent>
          <mc:Choice Requires="wpg">
            <w:drawing>
              <wp:anchor distT="0" distB="0" distL="114300" distR="114300" simplePos="0" relativeHeight="251787264" behindDoc="1" locked="0" layoutInCell="1" allowOverlap="1">
                <wp:simplePos x="0" y="0"/>
                <wp:positionH relativeFrom="column">
                  <wp:posOffset>214164</wp:posOffset>
                </wp:positionH>
                <wp:positionV relativeFrom="paragraph">
                  <wp:posOffset>339626</wp:posOffset>
                </wp:positionV>
                <wp:extent cx="438150" cy="209550"/>
                <wp:effectExtent l="0" t="0" r="0" b="0"/>
                <wp:wrapNone/>
                <wp:docPr id="285419" name="Group 285419"/>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0027" name="Shape 10027"/>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962"/>
                                  <a:pt x="2175" y="39489"/>
                                </a:cubicBezTo>
                                <a:cubicBezTo>
                                  <a:pt x="725" y="36016"/>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29" name="Shape 10029"/>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70" y="48816"/>
                                </a:cubicBezTo>
                                <a:cubicBezTo>
                                  <a:pt x="5690" y="46038"/>
                                  <a:pt x="3625" y="42962"/>
                                  <a:pt x="2175" y="39489"/>
                                </a:cubicBezTo>
                                <a:cubicBezTo>
                                  <a:pt x="725" y="36016"/>
                                  <a:pt x="0" y="32345"/>
                                  <a:pt x="0" y="28575"/>
                                </a:cubicBezTo>
                                <a:cubicBezTo>
                                  <a:pt x="0" y="24705"/>
                                  <a:pt x="725" y="21134"/>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419" style="width:34.5pt;height:16.5pt;position:absolute;z-index:-2147483631;mso-position-horizontal-relative:text;mso-position-horizontal:absolute;margin-left:16.8633pt;mso-position-vertical-relative:text;margin-top:26.7422pt;" coordsize="4381,2095">
                <v:shape id="Shape 10027" style="position:absolute;width:571;height:571;left:0;top:0;" coordsize="57150,57150" path="m28575,0c32364,0,36009,695,39510,2084c43011,3572,46101,5655,48781,8334c51460,11013,53525,14089,54975,17562c56425,21134,57150,24705,57150,28575c57150,32345,56425,36016,54975,39489c53525,42962,51460,46038,48781,48816c46101,51395,43011,53479,39510,54868c36009,56257,32364,57150,28575,57150c24786,57150,21141,56257,17640,54868c14139,53479,11049,51395,8369,48816c5690,46038,3625,42962,2175,39489c725,36016,0,32345,0,28575c0,24705,725,21134,2175,17562c3625,14089,5690,11013,8369,8334c11049,5655,14139,3572,17640,2084c21141,695,24786,0,28575,0x">
                  <v:stroke weight="0pt" endcap="flat" joinstyle="miter" miterlimit="10" on="false" color="#000000" opacity="0"/>
                  <v:fill on="true" color="#333333"/>
                </v:shape>
                <v:shape id="Shape 10029" style="position:absolute;width:571;height:571;left:3810;top:1524;" coordsize="57150,57150" path="m28575,0c32364,0,36009,695,39510,2084c43011,3572,46101,5655,48781,8334c51460,11013,53525,14089,54975,17562c56425,21134,57150,24705,57150,28575c57150,32345,56425,36016,54975,39489c53525,42962,51460,46038,48781,48816c46101,51395,43011,53479,39510,54967c36009,56356,32364,57150,28575,57150c24786,57150,21141,56356,17640,54967c14139,53479,11049,51395,8370,48816c5690,46038,3625,42962,2175,39489c725,36016,0,32345,0,28575c0,24705,725,21134,2175,17562c3625,14089,5690,11013,8370,8334c11049,5655,14139,3572,17640,2084c21141,695,24786,0,28575,0x">
                  <v:stroke weight="0pt" endcap="flat" joinstyle="miter" miterlimit="10" on="false" color="#000000" opacity="0"/>
                  <v:fill on="true" color="#333333"/>
                </v:shape>
              </v:group>
            </w:pict>
          </mc:Fallback>
        </mc:AlternateContent>
      </w:r>
      <w:r>
        <w:t xml:space="preserve">при показании к ИКД рекомендуется оценить, может ли пациент получить пользу от СРТ-дефибриллятора; </w:t>
      </w:r>
      <w:r>
        <w:rPr>
          <w:i/>
        </w:rPr>
        <w:t>IIа класс (целесообразно):</w:t>
      </w:r>
    </w:p>
    <w:p w:rsidR="008E3F15" w:rsidRDefault="005F449A">
      <w:pPr>
        <w:ind w:left="1217" w:right="15"/>
      </w:pPr>
      <w:r>
        <w:t>подкожный дефибриллятор следует рассмотреть как альтернативу трансвенозному дефибриллятору у пациентов с показаниями для ИКД, когда нет необходимости в кардиостимуляции для лечения брадикардии, сердечной ресинхронизации или не требуется антитахикардитическ</w:t>
      </w:r>
      <w:r>
        <w:t>ая стимуляция;</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5420" name="Group 28542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0034" name="Shape 10034"/>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588"/>
                                </a:cubicBezTo>
                                <a:cubicBezTo>
                                  <a:pt x="53525" y="42962"/>
                                  <a:pt x="51460" y="46038"/>
                                  <a:pt x="48781" y="48816"/>
                                </a:cubicBezTo>
                                <a:cubicBezTo>
                                  <a:pt x="46101" y="51395"/>
                                  <a:pt x="43011" y="53479"/>
                                  <a:pt x="39510" y="54967"/>
                                </a:cubicBezTo>
                                <a:cubicBezTo>
                                  <a:pt x="36009" y="56455"/>
                                  <a:pt x="32364" y="57150"/>
                                  <a:pt x="28575" y="57150"/>
                                </a:cubicBezTo>
                                <a:cubicBezTo>
                                  <a:pt x="24786" y="57150"/>
                                  <a:pt x="21141" y="56455"/>
                                  <a:pt x="17640" y="55066"/>
                                </a:cubicBezTo>
                                <a:cubicBezTo>
                                  <a:pt x="14139" y="53479"/>
                                  <a:pt x="11049" y="51395"/>
                                  <a:pt x="8370" y="48816"/>
                                </a:cubicBezTo>
                                <a:cubicBezTo>
                                  <a:pt x="5690" y="46038"/>
                                  <a:pt x="3625" y="42962"/>
                                  <a:pt x="2175" y="39489"/>
                                </a:cubicBezTo>
                                <a:cubicBezTo>
                                  <a:pt x="725" y="36016"/>
                                  <a:pt x="0" y="32445"/>
                                  <a:pt x="0" y="28575"/>
                                </a:cubicBezTo>
                                <a:cubicBezTo>
                                  <a:pt x="0" y="24705"/>
                                  <a:pt x="725" y="21034"/>
                                  <a:pt x="2175" y="17562"/>
                                </a:cubicBezTo>
                                <a:cubicBezTo>
                                  <a:pt x="3625" y="13990"/>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5420" style="width:4.50001pt;height:4.5pt;mso-position-horizontal-relative:char;mso-position-vertical-relative:line" coordsize="571,571">
                <v:shape id="Shape 10034" style="position:absolute;width:571;height:571;left:0;top:0;" coordsize="57150,57150" path="m28575,0c32364,0,36009,695,39510,2084c43011,3572,46101,5655,48781,8334c51460,11013,53525,13990,54975,17562c56425,21034,57150,24705,57150,28575c57150,32445,56425,36016,54975,39588c53525,42962,51460,46038,48781,48816c46101,51395,43011,53479,39510,54967c36009,56455,32364,57150,28575,57150c24786,57150,21141,56455,17640,55066c14139,53479,11049,51395,8370,48816c5690,46038,3625,42962,2175,39489c725,36016,0,32445,0,28575c0,24705,725,21034,2175,17562c3625,13990,5690,11013,8370,8334c11049,5655,14139,3572,17640,2084c21141,695,24786,0,28575,0x">
                  <v:stroke weight="0pt" endcap="flat" joinstyle="miter" miterlimit="10" on="false" color="#000000" opacity="0"/>
                  <v:fill on="true" color="#333333"/>
                </v:shape>
              </v:group>
            </w:pict>
          </mc:Fallback>
        </mc:AlternateContent>
      </w:r>
      <w:r>
        <w:t xml:space="preserve"> носимый кардиовертер-дефибриллятор следует рассмотреть для взрослых пациентов с показаниями для вторичной профилактики ИКД, которые временно не являются кандидатами для имплантации ИКД;</w:t>
      </w:r>
    </w:p>
    <w:p w:rsidR="008E3F15" w:rsidRDefault="005F449A">
      <w:pPr>
        <w:spacing w:after="179"/>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5421" name="Group 28542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0038" name="Shape 10038"/>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588"/>
                                </a:cubicBezTo>
                                <a:cubicBezTo>
                                  <a:pt x="53525" y="42962"/>
                                  <a:pt x="51460" y="46038"/>
                                  <a:pt x="48781" y="48816"/>
                                </a:cubicBezTo>
                                <a:cubicBezTo>
                                  <a:pt x="46101" y="51395"/>
                                  <a:pt x="43011" y="53479"/>
                                  <a:pt x="39510" y="54868"/>
                                </a:cubicBezTo>
                                <a:cubicBezTo>
                                  <a:pt x="36009" y="56455"/>
                                  <a:pt x="32364" y="57150"/>
                                  <a:pt x="28575" y="57150"/>
                                </a:cubicBezTo>
                                <a:cubicBezTo>
                                  <a:pt x="24786" y="57150"/>
                                  <a:pt x="21141" y="56455"/>
                                  <a:pt x="17640" y="54967"/>
                                </a:cubicBezTo>
                                <a:cubicBezTo>
                                  <a:pt x="14139" y="53479"/>
                                  <a:pt x="11049" y="51395"/>
                                  <a:pt x="8370" y="48816"/>
                                </a:cubicBezTo>
                                <a:cubicBezTo>
                                  <a:pt x="5690" y="46038"/>
                                  <a:pt x="3625" y="42863"/>
                                  <a:pt x="2175" y="39390"/>
                                </a:cubicBezTo>
                                <a:cubicBezTo>
                                  <a:pt x="725" y="36016"/>
                                  <a:pt x="0" y="32445"/>
                                  <a:pt x="0" y="28575"/>
                                </a:cubicBezTo>
                                <a:cubicBezTo>
                                  <a:pt x="0" y="24705"/>
                                  <a:pt x="725" y="21034"/>
                                  <a:pt x="2175" y="17562"/>
                                </a:cubicBezTo>
                                <a:cubicBezTo>
                                  <a:pt x="3625" y="13990"/>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5421" style="width:4.50001pt;height:4.5pt;mso-position-horizontal-relative:char;mso-position-vertical-relative:line" coordsize="571,571">
                <v:shape id="Shape 10038" style="position:absolute;width:571;height:571;left:0;top:0;" coordsize="57150,57150" path="m28575,0c32364,0,36009,695,39510,2084c43011,3572,46101,5655,48781,8334c51460,11013,53525,13990,54975,17562c56425,21034,57150,24705,57150,28575c57150,32445,56425,36016,54975,39588c53525,42962,51460,46038,48781,48816c46101,51395,43011,53479,39510,54868c36009,56455,32364,57150,28575,57150c24786,57150,21141,56455,17640,54967c14139,53479,11049,51395,8370,48816c5690,46038,3625,42863,2175,39390c725,36016,0,32445,0,28575c0,24705,725,21034,2175,17562c3625,13990,5690,11013,8370,8334c11049,5655,14139,3572,17640,2084c21141,695,24786,0,28575,0x">
                  <v:stroke weight="0pt" endcap="flat" joinstyle="miter" miterlimit="10" on="false" color="#000000" opacity="0"/>
                  <v:fill on="true" color="#333333"/>
                </v:shape>
              </v:group>
            </w:pict>
          </mc:Fallback>
        </mc:AlternateContent>
      </w:r>
      <w:r>
        <w:t xml:space="preserve"> имплантация ИКД должна рассматриваться у реципиенто</w:t>
      </w:r>
      <w:r>
        <w:t>в с механическим насосом и симптомной устойчивой желудочковой аритмией.</w:t>
      </w:r>
    </w:p>
    <w:p w:rsidR="008E3F15" w:rsidRDefault="005F449A">
      <w:pPr>
        <w:ind w:left="2" w:right="15"/>
      </w:pPr>
      <w:r>
        <w:t>При имплантации электрического устройства в 10% случаев в период до 3 мес регистрируются большие осложнения, чаще в госпиталях и у операторов с малым числом</w:t>
      </w:r>
    </w:p>
    <w:p w:rsidR="008E3F15" w:rsidRDefault="005F449A">
      <w:pPr>
        <w:ind w:left="2" w:right="479"/>
      </w:pPr>
      <w:r>
        <w:t xml:space="preserve">процедур (Ranasinghe I. et </w:t>
      </w:r>
      <w:r>
        <w:t>al., 2019; Kirkfeldt R. et al., 2014). Использование чехла с антибиотиком значительно снизило частоту инфекционных осложнений в исследовании</w:t>
      </w:r>
    </w:p>
    <w:p w:rsidR="008E3F15" w:rsidRDefault="005F449A">
      <w:pPr>
        <w:spacing w:after="31"/>
        <w:ind w:left="2" w:right="15"/>
      </w:pPr>
      <w:r>
        <w:t>WRAP-IT.</w:t>
      </w:r>
    </w:p>
    <w:p w:rsidR="008E3F15" w:rsidRDefault="005F449A">
      <w:pPr>
        <w:ind w:left="2" w:right="15"/>
      </w:pPr>
      <w:r>
        <w:t>Пациенты с ИКД должны регулярно наблюдаться у специалиста-аритмолога с целью оптимизации программ детекции</w:t>
      </w:r>
      <w:r>
        <w:t xml:space="preserve"> и терапии аритмических событий. Первая оптимизация проводится обычно через 3 мес после имплантации устройства или ранее, после первого аритмического события или шока.</w:t>
      </w:r>
    </w:p>
    <w:p w:rsidR="008E3F15" w:rsidRDefault="005F449A">
      <w:pPr>
        <w:spacing w:after="359"/>
        <w:ind w:left="2" w:right="15"/>
      </w:pPr>
      <w:r>
        <w:rPr>
          <w:b/>
        </w:rPr>
        <w:t xml:space="preserve">Первичная профилактика. </w:t>
      </w:r>
      <w:r>
        <w:t>Профилактическое применение антиаритмических препаратов основано</w:t>
      </w:r>
      <w:r>
        <w:t xml:space="preserve"> на способности препаратов подавить желудочковые аритмии, способствующие запуску ФЖ, и повысить электрофизиологическую устойчивость мио карда.</w:t>
      </w:r>
    </w:p>
    <w:p w:rsidR="008E3F15" w:rsidRDefault="005F449A">
      <w:pPr>
        <w:pStyle w:val="Heading1"/>
        <w:ind w:left="2"/>
      </w:pPr>
      <w:r>
        <w:t>Часть I. Сердечно-сосудистые болезни</w:t>
      </w:r>
    </w:p>
    <w:p w:rsidR="008E3F15" w:rsidRDefault="005F449A">
      <w:pPr>
        <w:ind w:left="2" w:right="15"/>
      </w:pPr>
      <w:r>
        <w:t>Медикаментозная профилактика рекомендуется пациентам с умеренным риском внез</w:t>
      </w:r>
      <w:r>
        <w:t>апной смерти и в качестве дополнительного лечения пациентам с ИКД.</w:t>
      </w:r>
    </w:p>
    <w:p w:rsidR="008E3F15" w:rsidRDefault="005F449A">
      <w:pPr>
        <w:ind w:left="2" w:right="15"/>
      </w:pPr>
      <w:r>
        <w:t>В контролируемых исследованиях показано, что β-адреноблокаторы способны снизить риск внезапной смерти. Может быть эффективен амиодарон, который превосходит другие антиаритмические препараты</w:t>
      </w:r>
      <w:r>
        <w:t xml:space="preserve"> (Piccini J. et al., 2009; Cochrane Reviews).</w:t>
      </w:r>
    </w:p>
    <w:p w:rsidR="008E3F15" w:rsidRDefault="005F449A">
      <w:pPr>
        <w:ind w:left="2" w:right="15"/>
      </w:pPr>
      <w:r>
        <w:t>Частота имплантации ИКД для первичной профилактики увеличивается и превысила таковую для вторичной профилактики в регистрах ACT, National Swedish Pacemaker and ICD Registry и THORN. В условиях недостаточного фи</w:t>
      </w:r>
      <w:r>
        <w:t>нансирования приоритет в листе ожидания получают пациенты, выжившие после ФЖ или имеющие симптомную ЖТ.</w:t>
      </w:r>
    </w:p>
    <w:p w:rsidR="008E3F15" w:rsidRDefault="005F449A">
      <w:pPr>
        <w:spacing w:after="359"/>
        <w:ind w:left="2" w:right="307"/>
      </w:pPr>
      <w:r>
        <w:t>ИКД снизил внезапную и общую смертность у пациентов с ишемической и неишемической кардиомиопатией по данным метаанализов, в отличие от исследования DANI</w:t>
      </w:r>
      <w:r>
        <w:t>SH, где у пациентов с неишемической кардиомиопатией общая смертность не уменьшилась (Kołodziejczak M. et al., 2017; Shun-Shin M. et al., 2017). По-видимому, ИКД для первичной профилактики ВСС более эффективны у мужчин, нежели у женщин (Barra S. et al., 201</w:t>
      </w:r>
      <w:r>
        <w:t>8).</w:t>
      </w:r>
    </w:p>
    <w:p w:rsidR="008E3F15" w:rsidRDefault="005F449A">
      <w:pPr>
        <w:pStyle w:val="Heading1"/>
        <w:ind w:left="2"/>
      </w:pPr>
      <w:r>
        <w:t>Часть I. Сердечно-сосудистые болезни</w:t>
      </w:r>
    </w:p>
    <w:p w:rsidR="008E3F15" w:rsidRDefault="005F449A">
      <w:pPr>
        <w:spacing w:after="179"/>
        <w:ind w:left="2" w:right="4219"/>
      </w:pPr>
      <w:r>
        <w:t xml:space="preserve">Глава 7. Сердечная недостаточность острая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88288" behindDoc="0" locked="0" layoutInCell="1" allowOverlap="1">
                <wp:simplePos x="0" y="0"/>
                <wp:positionH relativeFrom="column">
                  <wp:posOffset>214164</wp:posOffset>
                </wp:positionH>
                <wp:positionV relativeFrom="paragraph">
                  <wp:posOffset>34826</wp:posOffset>
                </wp:positionV>
                <wp:extent cx="57150" cy="514350"/>
                <wp:effectExtent l="0" t="0" r="0" b="0"/>
                <wp:wrapSquare wrapText="bothSides"/>
                <wp:docPr id="285422" name="Group 285422"/>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0072" name="Shape 1007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0914"/>
                                  <a:pt x="53525" y="13990"/>
                                  <a:pt x="54975" y="17562"/>
                                </a:cubicBezTo>
                                <a:cubicBezTo>
                                  <a:pt x="56425" y="21034"/>
                                  <a:pt x="57150" y="24705"/>
                                  <a:pt x="57150" y="28575"/>
                                </a:cubicBezTo>
                                <a:cubicBezTo>
                                  <a:pt x="57150" y="32345"/>
                                  <a:pt x="56425" y="35917"/>
                                  <a:pt x="54975" y="39291"/>
                                </a:cubicBezTo>
                                <a:cubicBezTo>
                                  <a:pt x="53525" y="42863"/>
                                  <a:pt x="51460" y="45938"/>
                                  <a:pt x="48781" y="48716"/>
                                </a:cubicBezTo>
                                <a:cubicBezTo>
                                  <a:pt x="46101" y="51296"/>
                                  <a:pt x="43011" y="53380"/>
                                  <a:pt x="39510" y="54769"/>
                                </a:cubicBezTo>
                                <a:cubicBezTo>
                                  <a:pt x="36009" y="56257"/>
                                  <a:pt x="32364" y="57150"/>
                                  <a:pt x="28575" y="57150"/>
                                </a:cubicBezTo>
                                <a:cubicBezTo>
                                  <a:pt x="24786" y="57150"/>
                                  <a:pt x="21141" y="56257"/>
                                  <a:pt x="17640" y="54769"/>
                                </a:cubicBezTo>
                                <a:cubicBezTo>
                                  <a:pt x="14139" y="53380"/>
                                  <a:pt x="11049" y="51296"/>
                                  <a:pt x="8369" y="48716"/>
                                </a:cubicBezTo>
                                <a:cubicBezTo>
                                  <a:pt x="5690" y="45938"/>
                                  <a:pt x="3625" y="42863"/>
                                  <a:pt x="2175" y="39291"/>
                                </a:cubicBezTo>
                                <a:cubicBezTo>
                                  <a:pt x="725" y="35917"/>
                                  <a:pt x="0" y="32345"/>
                                  <a:pt x="0" y="28575"/>
                                </a:cubicBezTo>
                                <a:cubicBezTo>
                                  <a:pt x="0" y="24705"/>
                                  <a:pt x="725" y="21034"/>
                                  <a:pt x="2175" y="17562"/>
                                </a:cubicBezTo>
                                <a:cubicBezTo>
                                  <a:pt x="3625" y="13990"/>
                                  <a:pt x="5690" y="10914"/>
                                  <a:pt x="8369" y="8334"/>
                                </a:cubicBezTo>
                                <a:cubicBezTo>
                                  <a:pt x="11049" y="5556"/>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74" name="Shape 1007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434"/>
                                </a:cubicBezTo>
                                <a:cubicBezTo>
                                  <a:pt x="51460" y="11113"/>
                                  <a:pt x="53525" y="14188"/>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6016"/>
                                  <a:pt x="0" y="32445"/>
                                  <a:pt x="0" y="28575"/>
                                </a:cubicBezTo>
                                <a:cubicBezTo>
                                  <a:pt x="0" y="24805"/>
                                  <a:pt x="725" y="21134"/>
                                  <a:pt x="2175" y="17562"/>
                                </a:cubicBezTo>
                                <a:cubicBezTo>
                                  <a:pt x="3625" y="14188"/>
                                  <a:pt x="5690" y="11113"/>
                                  <a:pt x="8369" y="84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76" name="Shape 10076"/>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078" name="Shape 10078"/>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445"/>
                                  <a:pt x="56425" y="36016"/>
                                  <a:pt x="54975" y="39489"/>
                                </a:cubicBezTo>
                                <a:cubicBezTo>
                                  <a:pt x="53525" y="42962"/>
                                  <a:pt x="51460" y="46038"/>
                                  <a:pt x="48781" y="48816"/>
                                </a:cubicBezTo>
                                <a:cubicBezTo>
                                  <a:pt x="46101" y="51395"/>
                                  <a:pt x="43011" y="53479"/>
                                  <a:pt x="39510" y="54868"/>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863"/>
                                  <a:pt x="2175" y="39390"/>
                                </a:cubicBezTo>
                                <a:cubicBezTo>
                                  <a:pt x="725" y="36016"/>
                                  <a:pt x="0" y="32445"/>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422" style="width:4.5pt;height:40.5pt;position:absolute;mso-position-horizontal-relative:text;mso-position-horizontal:absolute;margin-left:16.8633pt;mso-position-vertical-relative:text;margin-top:2.74219pt;" coordsize="571,5143">
                <v:shape id="Shape 10072" style="position:absolute;width:571;height:571;left:0;top:0;" coordsize="57150,57150" path="m28575,0c32364,0,36009,695,39510,2084c43011,3572,46101,5556,48781,8334c51460,10914,53525,13990,54975,17562c56425,21034,57150,24705,57150,28575c57150,32345,56425,35917,54975,39291c53525,42863,51460,45938,48781,48716c46101,51296,43011,53380,39510,54769c36009,56257,32364,57150,28575,57150c24786,57150,21141,56257,17640,54769c14139,53380,11049,51296,8369,48716c5690,45938,3625,42863,2175,39291c725,35917,0,32345,0,28575c0,24705,725,21034,2175,17562c3625,13990,5690,10914,8369,8334c11049,5556,14139,3572,17640,2084c21141,695,24786,0,28575,0x">
                  <v:stroke weight="0pt" endcap="flat" joinstyle="miter" miterlimit="10" on="false" color="#000000" opacity="0"/>
                  <v:fill on="true" color="#333333"/>
                </v:shape>
                <v:shape id="Shape 10074" style="position:absolute;width:571;height:571;left:0;top:1524;" coordsize="57150,57150" path="m28575,0c32364,0,36009,695,39510,2084c43011,3572,46101,5655,48781,8434c51460,11113,53525,14188,54975,17562c56425,21134,57150,24805,57150,28575c57150,32445,56425,36016,54975,39489c53525,42962,51460,46038,48781,48816c46101,51395,43011,53479,39510,54868c36009,56356,32364,57150,28575,57150c24786,57150,21141,56356,17640,54967c14139,53479,11049,51395,8369,48816c5690,46038,3625,42863,2175,39390c725,36016,0,32445,0,28575c0,24805,725,21134,2175,17562c3625,14188,5690,11113,8369,8434c11049,5655,14139,3572,17640,2084c21141,695,24786,0,28575,0x">
                  <v:stroke weight="0pt" endcap="flat" joinstyle="miter" miterlimit="10" on="false" color="#000000" opacity="0"/>
                  <v:fill on="true" color="#333333"/>
                </v:shape>
                <v:shape id="Shape 10076" style="position:absolute;width:571;height:571;left:0;top:3048;" coordsize="57150,57150" path="m28575,0c32364,0,36009,695,39510,2084c43011,3572,46101,5655,48781,8334c51460,11013,53525,14089,54975,17562c56425,21134,57150,24805,57150,28575c57150,32445,56425,36016,54975,39489c53525,42962,51460,46038,48781,48816c46101,51395,43011,53479,39510,54868c36009,56356,32364,57150,28575,57150c24786,57150,21141,56356,17640,54967c14139,53479,11049,51395,8369,48816c5690,46038,3625,42863,2175,39390c725,36016,0,32445,0,28575c0,24805,725,21134,2175,17562c3625,14089,5690,11013,8369,8334c11049,5655,14139,3572,17640,2084c21141,695,24786,0,28575,0x">
                  <v:stroke weight="0pt" endcap="flat" joinstyle="miter" miterlimit="10" on="false" color="#000000" opacity="0"/>
                  <v:fill on="true" color="#333333"/>
                </v:shape>
                <v:shape id="Shape 10078" style="position:absolute;width:571;height:571;left:0;top:4572;" coordsize="57150,57150" path="m28575,0c32364,0,36009,695,39510,2084c43011,3572,46101,5655,48781,8334c51460,11013,53525,14089,54975,17562c56425,21134,57150,24805,57150,28575c57150,32445,56425,36016,54975,39489c53525,42962,51460,46038,48781,48816c46101,51395,43011,53479,39510,54868c36009,56356,32364,57150,28575,57150c24786,57150,21141,56356,17640,54967c14139,53479,11049,51395,8369,48816c5690,46038,3625,42863,2175,39390c725,36016,0,32445,0,28575c0,24805,725,21134,2175,17562c3625,14089,5690,11013,8369,8334c11049,5655,14139,3572,17640,2084c21141,695,24786,0,28575,0x">
                  <v:stroke weight="0pt" endcap="flat" joinstyle="miter" miterlimit="10" on="false" color="#000000" opacity="0"/>
                  <v:fill on="true" color="#333333"/>
                </v:shape>
                <w10:wrap type="square"/>
              </v:group>
            </w:pict>
          </mc:Fallback>
        </mc:AlternateContent>
      </w:r>
      <w:r>
        <w:t>АД, ЧСС, пульсоксиметрия, газы крови.</w:t>
      </w:r>
    </w:p>
    <w:p w:rsidR="008E3F15" w:rsidRDefault="005F449A">
      <w:pPr>
        <w:spacing w:after="31"/>
        <w:ind w:left="347" w:right="15"/>
      </w:pPr>
      <w:r>
        <w:t>Контроль массы тела.</w:t>
      </w:r>
    </w:p>
    <w:p w:rsidR="008E3F15" w:rsidRDefault="005F449A">
      <w:pPr>
        <w:spacing w:after="31"/>
        <w:ind w:left="347" w:right="15"/>
      </w:pPr>
      <w:r>
        <w:t>ЭКГ.</w:t>
      </w:r>
    </w:p>
    <w:p w:rsidR="008E3F15" w:rsidRDefault="005F449A">
      <w:pPr>
        <w:spacing w:after="31"/>
        <w:ind w:left="347" w:right="15"/>
      </w:pPr>
      <w:r>
        <w:t>Эхокардиография.</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89312" behindDoc="0" locked="0" layoutInCell="1" allowOverlap="1">
                <wp:simplePos x="0" y="0"/>
                <wp:positionH relativeFrom="column">
                  <wp:posOffset>214164</wp:posOffset>
                </wp:positionH>
                <wp:positionV relativeFrom="paragraph">
                  <wp:posOffset>34826</wp:posOffset>
                </wp:positionV>
                <wp:extent cx="57150" cy="1428750"/>
                <wp:effectExtent l="0" t="0" r="0" b="0"/>
                <wp:wrapSquare wrapText="bothSides"/>
                <wp:docPr id="285760" name="Group 285760"/>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10095" name="Shape 10095"/>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097" name="Shape 1009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917"/>
                                  <a:pt x="54975" y="39390"/>
                                </a:cubicBezTo>
                                <a:cubicBezTo>
                                  <a:pt x="53525" y="42863"/>
                                  <a:pt x="51460" y="46038"/>
                                  <a:pt x="48781" y="488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816"/>
                                </a:cubicBezTo>
                                <a:cubicBezTo>
                                  <a:pt x="5690" y="46038"/>
                                  <a:pt x="3625" y="42863"/>
                                  <a:pt x="2175" y="39390"/>
                                </a:cubicBezTo>
                                <a:cubicBezTo>
                                  <a:pt x="725" y="35917"/>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099" name="Shape 1009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150"/>
                                  <a:pt x="28575" y="57150"/>
                                </a:cubicBezTo>
                                <a:cubicBezTo>
                                  <a:pt x="24786" y="57150"/>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01" name="Shape 10101"/>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137"/>
                                  <a:pt x="48781" y="48816"/>
                                </a:cubicBezTo>
                                <a:cubicBezTo>
                                  <a:pt x="46101" y="51495"/>
                                  <a:pt x="43011" y="53578"/>
                                  <a:pt x="39510" y="54967"/>
                                </a:cubicBezTo>
                                <a:cubicBezTo>
                                  <a:pt x="36009" y="56356"/>
                                  <a:pt x="32364" y="57150"/>
                                  <a:pt x="28575" y="57150"/>
                                </a:cubicBezTo>
                                <a:cubicBezTo>
                                  <a:pt x="24786" y="57150"/>
                                  <a:pt x="21141" y="56356"/>
                                  <a:pt x="17640" y="54967"/>
                                </a:cubicBezTo>
                                <a:cubicBezTo>
                                  <a:pt x="14139" y="53578"/>
                                  <a:pt x="11049" y="51495"/>
                                  <a:pt x="8369" y="48816"/>
                                </a:cubicBezTo>
                                <a:cubicBezTo>
                                  <a:pt x="5690" y="46137"/>
                                  <a:pt x="3625" y="42962"/>
                                  <a:pt x="2175" y="39489"/>
                                </a:cubicBezTo>
                                <a:cubicBezTo>
                                  <a:pt x="725" y="36016"/>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03" name="Shape 10103"/>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345"/>
                                  <a:pt x="56425" y="36016"/>
                                  <a:pt x="54975" y="39489"/>
                                </a:cubicBezTo>
                                <a:cubicBezTo>
                                  <a:pt x="53525" y="42962"/>
                                  <a:pt x="51460" y="46038"/>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038"/>
                                  <a:pt x="3625" y="42962"/>
                                  <a:pt x="2175" y="39489"/>
                                </a:cubicBezTo>
                                <a:cubicBezTo>
                                  <a:pt x="725" y="36016"/>
                                  <a:pt x="0" y="323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05" name="Shape 1010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445"/>
                                  <a:pt x="56425" y="36016"/>
                                  <a:pt x="54975" y="39588"/>
                                </a:cubicBezTo>
                                <a:cubicBezTo>
                                  <a:pt x="53525" y="43061"/>
                                  <a:pt x="51460" y="46137"/>
                                  <a:pt x="48781" y="48816"/>
                                </a:cubicBezTo>
                                <a:cubicBezTo>
                                  <a:pt x="46101" y="51395"/>
                                  <a:pt x="43011" y="53479"/>
                                  <a:pt x="39510" y="54967"/>
                                </a:cubicBezTo>
                                <a:cubicBezTo>
                                  <a:pt x="36009" y="56356"/>
                                  <a:pt x="32364" y="57150"/>
                                  <a:pt x="28575" y="57150"/>
                                </a:cubicBezTo>
                                <a:cubicBezTo>
                                  <a:pt x="24786" y="57150"/>
                                  <a:pt x="21141" y="56356"/>
                                  <a:pt x="17640" y="54967"/>
                                </a:cubicBezTo>
                                <a:cubicBezTo>
                                  <a:pt x="14139" y="53479"/>
                                  <a:pt x="11049" y="51395"/>
                                  <a:pt x="8369" y="48816"/>
                                </a:cubicBezTo>
                                <a:cubicBezTo>
                                  <a:pt x="5690" y="46137"/>
                                  <a:pt x="3625" y="42962"/>
                                  <a:pt x="2175" y="39489"/>
                                </a:cubicBezTo>
                                <a:cubicBezTo>
                                  <a:pt x="725" y="36016"/>
                                  <a:pt x="0" y="324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08" name="Shape 10108"/>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445"/>
                                  <a:pt x="56425" y="36016"/>
                                  <a:pt x="54975" y="39588"/>
                                </a:cubicBezTo>
                                <a:cubicBezTo>
                                  <a:pt x="53525" y="42962"/>
                                  <a:pt x="51460" y="46038"/>
                                  <a:pt x="48781" y="48816"/>
                                </a:cubicBezTo>
                                <a:cubicBezTo>
                                  <a:pt x="46101" y="51495"/>
                                  <a:pt x="43011" y="53578"/>
                                  <a:pt x="39510" y="54967"/>
                                </a:cubicBezTo>
                                <a:cubicBezTo>
                                  <a:pt x="36009" y="56455"/>
                                  <a:pt x="32364" y="57150"/>
                                  <a:pt x="28575" y="57150"/>
                                </a:cubicBezTo>
                                <a:cubicBezTo>
                                  <a:pt x="24786" y="57150"/>
                                  <a:pt x="21141" y="56455"/>
                                  <a:pt x="17640" y="55066"/>
                                </a:cubicBezTo>
                                <a:cubicBezTo>
                                  <a:pt x="14139" y="53578"/>
                                  <a:pt x="11049" y="51495"/>
                                  <a:pt x="8369" y="48816"/>
                                </a:cubicBezTo>
                                <a:cubicBezTo>
                                  <a:pt x="5690" y="46038"/>
                                  <a:pt x="3625" y="42962"/>
                                  <a:pt x="2175" y="39489"/>
                                </a:cubicBezTo>
                                <a:cubicBezTo>
                                  <a:pt x="725" y="36016"/>
                                  <a:pt x="0" y="324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10" name="Shape 10110"/>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705"/>
                                  <a:pt x="57150" y="28575"/>
                                </a:cubicBezTo>
                                <a:cubicBezTo>
                                  <a:pt x="57150" y="32445"/>
                                  <a:pt x="56425" y="36016"/>
                                  <a:pt x="54975" y="39588"/>
                                </a:cubicBezTo>
                                <a:cubicBezTo>
                                  <a:pt x="53525" y="42962"/>
                                  <a:pt x="51460" y="46038"/>
                                  <a:pt x="48781" y="48816"/>
                                </a:cubicBezTo>
                                <a:cubicBezTo>
                                  <a:pt x="46101" y="51495"/>
                                  <a:pt x="43011" y="53578"/>
                                  <a:pt x="39510" y="54967"/>
                                </a:cubicBezTo>
                                <a:cubicBezTo>
                                  <a:pt x="36009" y="56455"/>
                                  <a:pt x="32364" y="57150"/>
                                  <a:pt x="28575" y="57150"/>
                                </a:cubicBezTo>
                                <a:cubicBezTo>
                                  <a:pt x="24786" y="57150"/>
                                  <a:pt x="21141" y="56455"/>
                                  <a:pt x="17640" y="55066"/>
                                </a:cubicBezTo>
                                <a:cubicBezTo>
                                  <a:pt x="14139" y="53578"/>
                                  <a:pt x="11049" y="51495"/>
                                  <a:pt x="8369" y="48816"/>
                                </a:cubicBezTo>
                                <a:cubicBezTo>
                                  <a:pt x="5690" y="46038"/>
                                  <a:pt x="3625" y="42962"/>
                                  <a:pt x="2175" y="39489"/>
                                </a:cubicBezTo>
                                <a:cubicBezTo>
                                  <a:pt x="725" y="36016"/>
                                  <a:pt x="0" y="32445"/>
                                  <a:pt x="0" y="28575"/>
                                </a:cubicBezTo>
                                <a:cubicBezTo>
                                  <a:pt x="0" y="247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12" name="Shape 10112"/>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588"/>
                                </a:cubicBezTo>
                                <a:cubicBezTo>
                                  <a:pt x="53525" y="42962"/>
                                  <a:pt x="51460" y="46038"/>
                                  <a:pt x="48781" y="48816"/>
                                </a:cubicBezTo>
                                <a:cubicBezTo>
                                  <a:pt x="46101" y="51395"/>
                                  <a:pt x="43011" y="53380"/>
                                  <a:pt x="39510" y="54967"/>
                                </a:cubicBezTo>
                                <a:cubicBezTo>
                                  <a:pt x="36009" y="56356"/>
                                  <a:pt x="32364" y="57150"/>
                                  <a:pt x="28575" y="57150"/>
                                </a:cubicBezTo>
                                <a:cubicBezTo>
                                  <a:pt x="24786" y="57150"/>
                                  <a:pt x="21141" y="56356"/>
                                  <a:pt x="17640" y="54967"/>
                                </a:cubicBezTo>
                                <a:cubicBezTo>
                                  <a:pt x="14139" y="53380"/>
                                  <a:pt x="11049" y="51395"/>
                                  <a:pt x="8369" y="48816"/>
                                </a:cubicBezTo>
                                <a:cubicBezTo>
                                  <a:pt x="5690" y="46038"/>
                                  <a:pt x="3625" y="42962"/>
                                  <a:pt x="2175" y="39489"/>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760" style="width:4.5pt;height:112.5pt;position:absolute;mso-position-horizontal-relative:text;mso-position-horizontal:absolute;margin-left:16.8633pt;mso-position-vertical-relative:text;margin-top:2.74219pt;" coordsize="571,14287">
                <v:shape id="Shape 10095" style="position:absolute;width:571;height:571;left:0;top:0;" coordsize="57150,57150" path="m28575,0c32364,0,36009,695,39510,2084c43011,3572,46101,5655,48781,8334c51460,11013,53525,14089,54975,17562c56425,21134,57150,24805,57150,28575c57150,32246,56425,35917,54975,39390c53525,42863,51460,46038,48781,48816c46101,51395,43011,53479,39510,54868c36009,56257,32364,57150,28575,57150c24786,57150,21141,56257,17640,54868c14139,53479,11049,51395,8369,48816c5690,46038,3625,42863,2175,39390c725,35917,0,32246,0,28575c0,24805,725,21134,2175,17562c3625,14089,5690,11013,8369,8334c11049,5655,14139,3572,17640,2084c21141,695,24786,0,28575,0x">
                  <v:stroke weight="0pt" endcap="flat" joinstyle="miter" miterlimit="4" on="false" color="#000000" opacity="0"/>
                  <v:fill on="true" color="#333333"/>
                </v:shape>
                <v:shape id="Shape 10097" style="position:absolute;width:571;height:571;left:0;top:1524;" coordsize="57150,57150" path="m28575,0c32364,0,36009,695,39510,2084c43011,3572,46101,5655,48781,8334c51460,11013,53525,14089,54975,17562c56425,21134,57150,24805,57150,28575c57150,32246,56425,35917,54975,39390c53525,42863,51460,46038,48781,48816c46101,51395,43011,53479,39510,54868c36009,56257,32364,57150,28575,57150c24786,57150,21141,56257,17640,54868c14139,53479,11049,51395,8369,48816c5690,46038,3625,42863,2175,39390c725,35917,0,32246,0,28575c0,24805,725,21134,2175,17562c3625,14089,5690,11013,8369,8334c11049,5655,14139,3572,17640,2084c21141,695,24786,0,28575,0x">
                  <v:stroke weight="0pt" endcap="flat" joinstyle="miter" miterlimit="4" on="false" color="#000000" opacity="0"/>
                  <v:fill on="true" color="#333333"/>
                </v:shape>
                <v:shape id="Shape 10099" style="position:absolute;width:571;height:571;left:0;top:3048;" coordsize="57150,57150" path="m28575,0c32364,0,36009,695,39510,2084c43011,3572,46101,5655,48781,8334c51460,11013,53525,14089,54975,17562c56425,21134,57150,24805,57150,28575c57150,32246,56425,35917,54975,39390c53525,42863,51460,46038,48781,48716c46101,51395,43011,53479,39510,54868c36009,56257,32364,57150,28575,57150c24786,57150,21141,56257,17640,54868c14139,53479,11049,51395,8369,48716c5690,46038,3625,42863,2175,39390c725,35917,0,32246,0,28575c0,24805,725,21134,2175,17562c3625,14089,5690,11013,8369,8334c11049,5655,14139,3572,17640,2084c21141,695,24786,0,28575,0x">
                  <v:stroke weight="0pt" endcap="flat" joinstyle="miter" miterlimit="4" on="false" color="#000000" opacity="0"/>
                  <v:fill on="true" color="#333333"/>
                </v:shape>
                <v:shape id="Shape 10101" style="position:absolute;width:571;height:571;left:0;top:4572;" coordsize="57150,57150" path="m28575,0c32364,0,36009,695,39510,2084c43011,3572,46101,5655,48781,8334c51460,11013,53525,14089,54975,17562c56425,21134,57150,24705,57150,28575c57150,32345,56425,36016,54975,39489c53525,42962,51460,46137,48781,48816c46101,51495,43011,53578,39510,54967c36009,56356,32364,57150,28575,57150c24786,57150,21141,56356,17640,54967c14139,53578,11049,51495,8369,48816c5690,46137,3625,42962,2175,39489c725,36016,0,32345,0,28575c0,24705,725,21134,2175,17562c3625,14089,5690,11013,8369,8334c11049,5655,14139,3572,17640,2084c21141,695,24786,0,28575,0x">
                  <v:stroke weight="0pt" endcap="flat" joinstyle="miter" miterlimit="4" on="false" color="#000000" opacity="0"/>
                  <v:fill on="true" color="#333333"/>
                </v:shape>
                <v:shape id="Shape 10103" style="position:absolute;width:571;height:571;left:0;top:6096;" coordsize="57150,57150" path="m28575,0c32364,0,36009,695,39510,2084c43011,3572,46101,5655,48781,8334c51460,11013,53525,14089,54975,17562c56425,21134,57150,24705,57150,28575c57150,32345,56425,36016,54975,39489c53525,42962,51460,46038,48781,48816c46101,51395,43011,53479,39510,54967c36009,56356,32364,57150,28575,57150c24786,57150,21141,56356,17640,54967c14139,53479,11049,51395,8369,48816c5690,46038,3625,42962,2175,39489c725,36016,0,32345,0,28575c0,24705,725,21134,2175,17562c3625,14089,5690,11013,8369,8334c11049,5655,14139,3572,17640,2084c21141,695,24786,0,28575,0x">
                  <v:stroke weight="0pt" endcap="flat" joinstyle="miter" miterlimit="4" on="false" color="#000000" opacity="0"/>
                  <v:fill on="true" color="#333333"/>
                </v:shape>
                <v:shape id="Shape 10105" style="position:absolute;width:571;height:571;left:0;top:7620;" coordsize="57150,57150" path="m28575,0c32364,0,36009,695,39510,2084c43011,3572,46101,5655,48781,8334c51460,11013,53525,14089,54975,17562c56425,21134,57150,24705,57150,28575c57150,32445,56425,36016,54975,39588c53525,43061,51460,46137,48781,48816c46101,51395,43011,53479,39510,54967c36009,56356,32364,57150,28575,57150c24786,57150,21141,56356,17640,54967c14139,53479,11049,51395,8369,48816c5690,46137,3625,42962,2175,39489c725,36016,0,32445,0,28575c0,24705,725,21134,2175,17562c3625,14089,5690,11013,8369,8334c11049,5655,14139,3572,17640,2084c21141,695,24786,0,28575,0x">
                  <v:stroke weight="0pt" endcap="flat" joinstyle="miter" miterlimit="4" on="false" color="#000000" opacity="0"/>
                  <v:fill on="true" color="#333333"/>
                </v:shape>
                <v:shape id="Shape 10108" style="position:absolute;width:571;height:571;left:0;top:10668;" coordsize="57150,57150" path="m28575,0c32364,0,36009,695,39510,2084c43011,3572,46101,5655,48781,8334c51460,11013,53525,14089,54975,17562c56425,21134,57150,24705,57150,28575c57150,32445,56425,36016,54975,39588c53525,42962,51460,46038,48781,48816c46101,51495,43011,53578,39510,54967c36009,56455,32364,57150,28575,57150c24786,57150,21141,56455,17640,55066c14139,53578,11049,51495,8369,48816c5690,46038,3625,42962,2175,39489c725,36016,0,32445,0,28575c0,24705,725,21134,2175,17562c3625,14089,5690,11013,8369,8334c11049,5655,14139,3572,17640,2084c21141,695,24786,0,28575,0x">
                  <v:stroke weight="0pt" endcap="flat" joinstyle="miter" miterlimit="4" on="false" color="#000000" opacity="0"/>
                  <v:fill on="true" color="#333333"/>
                </v:shape>
                <v:shape id="Shape 10110" style="position:absolute;width:571;height:571;left:0;top:12192;" coordsize="57150,57150" path="m28575,0c32364,0,36009,695,39510,2084c43011,3572,46101,5655,48781,8334c51460,11013,53525,14089,54975,17562c56425,21134,57150,24705,57150,28575c57150,32445,56425,36016,54975,39588c53525,42962,51460,46038,48781,48816c46101,51495,43011,53578,39510,54967c36009,56455,32364,57150,28575,57150c24786,57150,21141,56455,17640,55066c14139,53578,11049,51495,8369,48816c5690,46038,3625,42962,2175,39489c725,36016,0,32445,0,28575c0,24705,725,21134,2175,17562c3625,14089,5690,11013,8369,8334c11049,5655,14139,3572,17640,2084c21141,695,24786,0,28575,0x">
                  <v:stroke weight="0pt" endcap="flat" joinstyle="miter" miterlimit="4" on="false" color="#000000" opacity="0"/>
                  <v:fill on="true" color="#333333"/>
                </v:shape>
                <v:shape id="Shape 10112" style="position:absolute;width:571;height:571;left:0;top:13716;" coordsize="57150,57150" path="m28575,0c32364,0,36009,695,39510,2084c43011,3572,46101,5655,48781,8334c51460,11013,53525,13990,54975,17562c56425,21034,57150,24705,57150,28575c57150,32445,56425,36016,54975,39588c53525,42962,51460,46038,48781,48816c46101,51395,43011,53380,39510,54967c36009,56356,32364,57150,28575,57150c24786,57150,21141,56356,17640,54967c14139,53380,11049,51395,8369,48816c5690,46038,3625,42962,2175,39489c725,36016,0,32445,0,28575c0,24705,725,21034,2175,17562c3625,13990,5690,11013,8369,8334c11049,5655,14139,3572,17640,2084c21141,695,24786,0,28575,0x">
                  <v:stroke weight="0pt" endcap="flat" joinstyle="miter" miterlimit="4" on="false" color="#000000" opacity="0"/>
                  <v:fill on="true" color="#333333"/>
                </v:shape>
                <w10:wrap type="square"/>
              </v:group>
            </w:pict>
          </mc:Fallback>
        </mc:AlternateContent>
      </w:r>
      <w:r>
        <w:t>Рентгенография грудной клетки.</w:t>
      </w:r>
    </w:p>
    <w:p w:rsidR="008E3F15" w:rsidRDefault="005F449A">
      <w:pPr>
        <w:spacing w:after="31"/>
        <w:ind w:left="347" w:right="15"/>
      </w:pPr>
      <w:r>
        <w:t>Сонография легких.</w:t>
      </w:r>
    </w:p>
    <w:p w:rsidR="008E3F15" w:rsidRDefault="005F449A">
      <w:pPr>
        <w:spacing w:after="31"/>
        <w:ind w:left="347" w:right="15"/>
      </w:pPr>
      <w:r>
        <w:t>Натрийуретический пептид, тропонин.</w:t>
      </w:r>
    </w:p>
    <w:p w:rsidR="008E3F15" w:rsidRDefault="005F449A">
      <w:pPr>
        <w:spacing w:after="31"/>
        <w:ind w:left="347" w:right="15"/>
      </w:pPr>
      <w:r>
        <w:t>Шкалы EFFECT, OHFRS, GWTD-HF.</w:t>
      </w:r>
    </w:p>
    <w:p w:rsidR="008E3F15" w:rsidRDefault="005F449A">
      <w:pPr>
        <w:spacing w:after="31"/>
        <w:ind w:left="347" w:right="15"/>
      </w:pPr>
      <w:r>
        <w:t>Гемоглобин.</w:t>
      </w:r>
    </w:p>
    <w:p w:rsidR="008E3F15" w:rsidRDefault="005F449A">
      <w:pPr>
        <w:ind w:left="347" w:right="15"/>
      </w:pPr>
      <w:r>
        <w:t>Калий, натрий, креатинин, рСКФ, трансаминазы, билирубин, глюкоза, D-димер, прокальцитонин, ТТГ.</w:t>
      </w:r>
    </w:p>
    <w:p w:rsidR="008E3F15" w:rsidRDefault="005F449A">
      <w:pPr>
        <w:spacing w:after="31"/>
        <w:ind w:left="347" w:right="15"/>
      </w:pPr>
      <w:r>
        <w:t>Коронарная ангиография.</w:t>
      </w:r>
    </w:p>
    <w:p w:rsidR="008E3F15" w:rsidRDefault="005F449A">
      <w:pPr>
        <w:spacing w:after="31"/>
        <w:ind w:left="347" w:right="15"/>
      </w:pPr>
      <w:r>
        <w:t>Магнитно-резонансная томография.</w:t>
      </w:r>
    </w:p>
    <w:p w:rsidR="008E3F15" w:rsidRDefault="005F449A">
      <w:pPr>
        <w:spacing w:after="179"/>
        <w:ind w:left="-8" w:right="6809" w:firstLine="180"/>
      </w:pPr>
      <w:r>
        <w:t xml:space="preserve">Биопсия мио карда. </w:t>
      </w:r>
      <w:r>
        <w:rPr>
          <w:b/>
        </w:rPr>
        <w:t>Лечени</w:t>
      </w:r>
      <w:r>
        <w:rPr>
          <w:b/>
        </w:rPr>
        <w:t>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90336" behindDoc="0" locked="0" layoutInCell="1" allowOverlap="1">
                <wp:simplePos x="0" y="0"/>
                <wp:positionH relativeFrom="column">
                  <wp:posOffset>214164</wp:posOffset>
                </wp:positionH>
                <wp:positionV relativeFrom="paragraph">
                  <wp:posOffset>34826</wp:posOffset>
                </wp:positionV>
                <wp:extent cx="57150" cy="1123950"/>
                <wp:effectExtent l="0" t="0" r="0" b="0"/>
                <wp:wrapSquare wrapText="bothSides"/>
                <wp:docPr id="285762" name="Group 285762"/>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0115" name="Shape 10115"/>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863"/>
                                  <a:pt x="51460" y="46038"/>
                                  <a:pt x="48781" y="48816"/>
                                </a:cubicBezTo>
                                <a:cubicBezTo>
                                  <a:pt x="46101" y="51395"/>
                                  <a:pt x="43011" y="53380"/>
                                  <a:pt x="39510" y="54868"/>
                                </a:cubicBezTo>
                                <a:cubicBezTo>
                                  <a:pt x="36009" y="56356"/>
                                  <a:pt x="32364" y="57150"/>
                                  <a:pt x="28575" y="57150"/>
                                </a:cubicBezTo>
                                <a:cubicBezTo>
                                  <a:pt x="24786" y="57150"/>
                                  <a:pt x="21141" y="56356"/>
                                  <a:pt x="17640" y="54868"/>
                                </a:cubicBezTo>
                                <a:cubicBezTo>
                                  <a:pt x="14139" y="53380"/>
                                  <a:pt x="11049" y="51395"/>
                                  <a:pt x="8369" y="48816"/>
                                </a:cubicBezTo>
                                <a:cubicBezTo>
                                  <a:pt x="5690" y="46038"/>
                                  <a:pt x="3625" y="42863"/>
                                  <a:pt x="2175" y="39489"/>
                                </a:cubicBezTo>
                                <a:cubicBezTo>
                                  <a:pt x="725" y="36016"/>
                                  <a:pt x="0" y="323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17" name="Shape 1011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1013"/>
                                  <a:pt x="53525" y="13990"/>
                                  <a:pt x="54975" y="17562"/>
                                </a:cubicBezTo>
                                <a:cubicBezTo>
                                  <a:pt x="56425" y="21034"/>
                                  <a:pt x="57150" y="24705"/>
                                  <a:pt x="57150" y="28575"/>
                                </a:cubicBezTo>
                                <a:cubicBezTo>
                                  <a:pt x="57150" y="32345"/>
                                  <a:pt x="56425" y="35917"/>
                                  <a:pt x="54975" y="39390"/>
                                </a:cubicBezTo>
                                <a:cubicBezTo>
                                  <a:pt x="53525" y="42863"/>
                                  <a:pt x="51460" y="46038"/>
                                  <a:pt x="48781" y="48816"/>
                                </a:cubicBezTo>
                                <a:cubicBezTo>
                                  <a:pt x="46101" y="51395"/>
                                  <a:pt x="43011" y="53380"/>
                                  <a:pt x="39510" y="54868"/>
                                </a:cubicBezTo>
                                <a:cubicBezTo>
                                  <a:pt x="36009" y="56257"/>
                                  <a:pt x="32364" y="57150"/>
                                  <a:pt x="28575" y="57150"/>
                                </a:cubicBezTo>
                                <a:cubicBezTo>
                                  <a:pt x="24786" y="57150"/>
                                  <a:pt x="21141" y="56257"/>
                                  <a:pt x="17640" y="54868"/>
                                </a:cubicBezTo>
                                <a:cubicBezTo>
                                  <a:pt x="14139" y="53380"/>
                                  <a:pt x="11049" y="51395"/>
                                  <a:pt x="8369" y="48816"/>
                                </a:cubicBezTo>
                                <a:cubicBezTo>
                                  <a:pt x="5690" y="46038"/>
                                  <a:pt x="3625" y="42863"/>
                                  <a:pt x="2175" y="39390"/>
                                </a:cubicBezTo>
                                <a:cubicBezTo>
                                  <a:pt x="725" y="35917"/>
                                  <a:pt x="0" y="32345"/>
                                  <a:pt x="0" y="28575"/>
                                </a:cubicBezTo>
                                <a:cubicBezTo>
                                  <a:pt x="0" y="24705"/>
                                  <a:pt x="725" y="21034"/>
                                  <a:pt x="2175" y="17562"/>
                                </a:cubicBezTo>
                                <a:cubicBezTo>
                                  <a:pt x="3625" y="13990"/>
                                  <a:pt x="5690" y="11013"/>
                                  <a:pt x="8369" y="8334"/>
                                </a:cubicBezTo>
                                <a:cubicBezTo>
                                  <a:pt x="11049" y="5556"/>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19" name="Shape 1011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962"/>
                                  <a:pt x="51460" y="46038"/>
                                  <a:pt x="48781" y="48816"/>
                                </a:cubicBezTo>
                                <a:cubicBezTo>
                                  <a:pt x="46101" y="51395"/>
                                  <a:pt x="43011" y="53380"/>
                                  <a:pt x="39510" y="54868"/>
                                </a:cubicBezTo>
                                <a:cubicBezTo>
                                  <a:pt x="36009" y="56257"/>
                                  <a:pt x="32364" y="57150"/>
                                  <a:pt x="28575" y="57150"/>
                                </a:cubicBezTo>
                                <a:cubicBezTo>
                                  <a:pt x="24786" y="57150"/>
                                  <a:pt x="21141" y="56257"/>
                                  <a:pt x="17640" y="54868"/>
                                </a:cubicBezTo>
                                <a:cubicBezTo>
                                  <a:pt x="14139" y="53380"/>
                                  <a:pt x="11049" y="51395"/>
                                  <a:pt x="8369" y="48816"/>
                                </a:cubicBezTo>
                                <a:cubicBezTo>
                                  <a:pt x="5690" y="46038"/>
                                  <a:pt x="3625" y="42863"/>
                                  <a:pt x="2175" y="39390"/>
                                </a:cubicBezTo>
                                <a:cubicBezTo>
                                  <a:pt x="725" y="36016"/>
                                  <a:pt x="0" y="32445"/>
                                  <a:pt x="0" y="28575"/>
                                </a:cubicBezTo>
                                <a:cubicBezTo>
                                  <a:pt x="0" y="24705"/>
                                  <a:pt x="725" y="21034"/>
                                  <a:pt x="2175" y="17562"/>
                                </a:cubicBezTo>
                                <a:cubicBezTo>
                                  <a:pt x="3625" y="13990"/>
                                  <a:pt x="5690" y="11013"/>
                                  <a:pt x="8369" y="8334"/>
                                </a:cubicBezTo>
                                <a:cubicBezTo>
                                  <a:pt x="11049" y="5556"/>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21" name="Shape 10121"/>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556"/>
                                  <a:pt x="48781" y="8334"/>
                                </a:cubicBezTo>
                                <a:cubicBezTo>
                                  <a:pt x="51460" y="10914"/>
                                  <a:pt x="53525" y="13990"/>
                                  <a:pt x="54975" y="17562"/>
                                </a:cubicBezTo>
                                <a:cubicBezTo>
                                  <a:pt x="56425" y="21034"/>
                                  <a:pt x="57150" y="24705"/>
                                  <a:pt x="57150" y="28575"/>
                                </a:cubicBezTo>
                                <a:cubicBezTo>
                                  <a:pt x="57150" y="324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6016"/>
                                  <a:pt x="0" y="32445"/>
                                  <a:pt x="0" y="28575"/>
                                </a:cubicBezTo>
                                <a:cubicBezTo>
                                  <a:pt x="0" y="24705"/>
                                  <a:pt x="725" y="21034"/>
                                  <a:pt x="2175" y="17562"/>
                                </a:cubicBezTo>
                                <a:cubicBezTo>
                                  <a:pt x="3625" y="13990"/>
                                  <a:pt x="5690" y="10914"/>
                                  <a:pt x="8369" y="8334"/>
                                </a:cubicBezTo>
                                <a:cubicBezTo>
                                  <a:pt x="11049" y="5556"/>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23" name="Shape 10123"/>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25" name="Shape 1012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27" name="Shape 1012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4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6016"/>
                                  <a:pt x="0" y="324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129" name="Shape 10129"/>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3990"/>
                                  <a:pt x="54975" y="17562"/>
                                </a:cubicBezTo>
                                <a:cubicBezTo>
                                  <a:pt x="56425" y="21034"/>
                                  <a:pt x="57150" y="24705"/>
                                  <a:pt x="57150" y="28575"/>
                                </a:cubicBezTo>
                                <a:cubicBezTo>
                                  <a:pt x="57150" y="32345"/>
                                  <a:pt x="56425" y="36016"/>
                                  <a:pt x="54975" y="39489"/>
                                </a:cubicBezTo>
                                <a:cubicBezTo>
                                  <a:pt x="53525" y="42863"/>
                                  <a:pt x="51460" y="45938"/>
                                  <a:pt x="48781" y="48716"/>
                                </a:cubicBezTo>
                                <a:cubicBezTo>
                                  <a:pt x="46101" y="51296"/>
                                  <a:pt x="43011" y="53380"/>
                                  <a:pt x="39510" y="54868"/>
                                </a:cubicBezTo>
                                <a:cubicBezTo>
                                  <a:pt x="36009" y="56356"/>
                                  <a:pt x="32364" y="57150"/>
                                  <a:pt x="28575" y="57150"/>
                                </a:cubicBezTo>
                                <a:cubicBezTo>
                                  <a:pt x="24786" y="57150"/>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562"/>
                                </a:cubicBezTo>
                                <a:cubicBezTo>
                                  <a:pt x="3625" y="13990"/>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762" style="width:4.5pt;height:88.5pt;position:absolute;mso-position-horizontal-relative:text;mso-position-horizontal:absolute;margin-left:16.8633pt;mso-position-vertical-relative:text;margin-top:2.74219pt;" coordsize="571,11239">
                <v:shape id="Shape 10115" style="position:absolute;width:571;height:571;left:0;top:0;" coordsize="57150,57150" path="m28575,0c32364,0,36009,695,39510,2084c43011,3572,46101,5655,48781,8334c51460,11013,53525,13990,54975,17562c56425,21034,57150,24705,57150,28575c57150,32345,56425,36016,54975,39489c53525,42863,51460,46038,48781,48816c46101,51395,43011,53380,39510,54868c36009,56356,32364,57150,28575,57150c24786,57150,21141,56356,17640,54868c14139,53380,11049,51395,8369,48816c5690,46038,3625,42863,2175,39489c725,36016,0,32345,0,28575c0,24705,725,21034,2175,17562c3625,13990,5690,11013,8369,8334c11049,5655,14139,3572,17640,2084c21141,695,24786,0,28575,0x">
                  <v:stroke weight="0pt" endcap="flat" joinstyle="miter" miterlimit="4" on="false" color="#000000" opacity="0"/>
                  <v:fill on="true" color="#333333"/>
                </v:shape>
                <v:shape id="Shape 10117" style="position:absolute;width:571;height:571;left:0;top:1524;" coordsize="57150,57150" path="m28575,0c32364,0,36009,695,39510,2084c43011,3572,46101,5556,48781,8334c51460,11013,53525,13990,54975,17562c56425,21034,57150,24705,57150,28575c57150,32345,56425,35917,54975,39390c53525,42863,51460,46038,48781,48816c46101,51395,43011,53380,39510,54868c36009,56257,32364,57150,28575,57150c24786,57150,21141,56257,17640,54868c14139,53380,11049,51395,8369,48816c5690,46038,3625,42863,2175,39390c725,35917,0,32345,0,28575c0,24705,725,21034,2175,17562c3625,13990,5690,11013,8369,8334c11049,5556,14139,3572,17640,2084c21141,695,24786,0,28575,0x">
                  <v:stroke weight="0pt" endcap="flat" joinstyle="miter" miterlimit="4" on="false" color="#000000" opacity="0"/>
                  <v:fill on="true" color="#333333"/>
                </v:shape>
                <v:shape id="Shape 10119" style="position:absolute;width:571;height:571;left:0;top:3048;" coordsize="57150,57150" path="m28575,0c32364,0,36009,695,39510,2084c43011,3572,46101,5556,48781,8334c51460,11013,53525,13990,54975,17562c56425,21034,57150,24705,57150,28575c57150,32445,56425,36016,54975,39489c53525,42962,51460,46038,48781,48816c46101,51395,43011,53380,39510,54868c36009,56257,32364,57150,28575,57150c24786,57150,21141,56257,17640,54868c14139,53380,11049,51395,8369,48816c5690,46038,3625,42863,2175,39390c725,36016,0,32445,0,28575c0,24705,725,21034,2175,17562c3625,13990,5690,11013,8369,8334c11049,5556,14139,3572,17640,2084c21141,695,24786,0,28575,0x">
                  <v:stroke weight="0pt" endcap="flat" joinstyle="miter" miterlimit="4" on="false" color="#000000" opacity="0"/>
                  <v:fill on="true" color="#333333"/>
                </v:shape>
                <v:shape id="Shape 10121" style="position:absolute;width:571;height:571;left:0;top:4572;" coordsize="57150,57150" path="m28575,0c32364,0,36009,695,39510,2084c43011,3572,46101,5556,48781,8334c51460,10914,53525,13990,54975,17562c56425,21034,57150,24705,57150,28575c57150,32445,56425,36016,54975,39489c53525,42863,51460,45938,48781,48716c46101,51296,43011,53380,39510,54868c36009,56356,32364,57150,28575,57150c24786,57150,21141,56356,17640,54967c14139,53380,11049,51296,8369,48716c5690,45938,3625,42863,2175,39390c725,36016,0,32445,0,28575c0,24705,725,21034,2175,17562c3625,13990,5690,10914,8369,8334c11049,5556,14139,3572,17640,2084c21141,695,24786,0,28575,0x">
                  <v:stroke weight="0pt" endcap="flat" joinstyle="miter" miterlimit="4" on="false" color="#000000" opacity="0"/>
                  <v:fill on="true" color="#333333"/>
                </v:shape>
                <v:shape id="Shape 10123" style="position:absolute;width:571;height:571;left:0;top:6096;" coordsize="57150,57150" path="m28575,0c32364,0,36009,695,39510,2084c43011,3572,46101,5655,48781,8334c51460,11013,53525,13990,54975,17562c56425,21034,57150,24705,57150,28575c57150,32445,56425,36016,54975,39489c53525,42863,51460,45938,48781,48716c46101,51296,43011,53380,39510,54868c36009,56356,32364,57150,28575,57150c24786,57150,21141,56356,17640,54967c14139,53380,11049,51296,8369,48716c5690,45938,3625,42863,2175,39390c725,36016,0,32445,0,28575c0,24705,725,21034,2175,17562c3625,13990,5690,11013,8369,8334c11049,5655,14139,3572,17640,2084c21141,695,24786,0,28575,0x">
                  <v:stroke weight="0pt" endcap="flat" joinstyle="miter" miterlimit="4" on="false" color="#000000" opacity="0"/>
                  <v:fill on="true" color="#333333"/>
                </v:shape>
                <v:shape id="Shape 10125" style="position:absolute;width:571;height:571;left:0;top:7620;" coordsize="57150,57150" path="m28575,0c32364,0,36009,695,39510,2084c43011,3572,46101,5655,48781,8334c51460,11013,53525,13990,54975,17562c56425,21034,57150,24705,57150,28575c57150,32445,56425,36016,54975,39489c53525,42863,51460,45938,48781,48716c46101,51296,43011,53380,39510,54868c36009,56356,32364,57150,28575,57150c24786,57150,21141,56356,17640,54967c14139,53380,11049,51296,8369,48716c5690,45938,3625,42863,2175,39390c725,36016,0,32445,0,28575c0,24705,725,21034,2175,17562c3625,13990,5690,11013,8369,8334c11049,5655,14139,3572,17640,2084c21141,695,24786,0,28575,0x">
                  <v:stroke weight="0pt" endcap="flat" joinstyle="miter" miterlimit="4" on="false" color="#000000" opacity="0"/>
                  <v:fill on="true" color="#333333"/>
                </v:shape>
                <v:shape id="Shape 10127" style="position:absolute;width:571;height:571;left:0;top:9144;" coordsize="57150,57150" path="m28575,0c32364,0,36009,695,39510,2084c43011,3572,46101,5655,48781,8334c51460,11013,53525,13990,54975,17562c56425,21034,57150,24705,57150,28575c57150,32445,56425,36016,54975,39489c53525,42863,51460,45938,48781,48716c46101,51296,43011,53380,39510,54868c36009,56356,32364,57150,28575,57150c24786,57150,21141,56356,17640,54967c14139,53380,11049,51296,8369,48716c5690,45938,3625,42863,2175,39390c725,36016,0,32445,0,28575c0,24705,725,21034,2175,17562c3625,13990,5690,11013,8369,8334c11049,5655,14139,3572,17640,2084c21141,695,24786,0,28575,0x">
                  <v:stroke weight="0pt" endcap="flat" joinstyle="miter" miterlimit="4" on="false" color="#000000" opacity="0"/>
                  <v:fill on="true" color="#333333"/>
                </v:shape>
                <v:shape id="Shape 10129" style="position:absolute;width:571;height:571;left:0;top:10668;" coordsize="57150,57150" path="m28575,0c32364,0,36009,695,39510,2084c43011,3572,46101,5655,48781,8334c51460,11013,53525,13990,54975,17562c56425,21034,57150,24705,57150,28575c57150,32345,56425,36016,54975,39489c53525,42863,51460,45938,48781,48716c46101,51296,43011,53380,39510,54868c36009,56356,32364,57150,28575,57150c24786,57150,21141,56356,17640,54967c14139,53380,11049,51296,8369,48716c5690,45938,3625,42863,2175,39390c725,35917,0,32345,0,28575c0,24705,725,21034,2175,17562c3625,13990,5690,11013,8369,8334c11049,5655,14139,3572,17640,2084c21141,695,24786,0,28575,0x">
                  <v:stroke weight="0pt" endcap="flat" joinstyle="miter" miterlimit="4" on="false" color="#000000" opacity="0"/>
                  <v:fill on="true" color="#333333"/>
                </v:shape>
                <w10:wrap type="square"/>
              </v:group>
            </w:pict>
          </mc:Fallback>
        </mc:AlternateContent>
      </w:r>
      <w:r>
        <w:t>Кислородная терапия, вспомогательная вентиляция.</w:t>
      </w:r>
    </w:p>
    <w:p w:rsidR="008E3F15" w:rsidRDefault="005F449A">
      <w:pPr>
        <w:spacing w:after="31"/>
        <w:ind w:left="347" w:right="15"/>
      </w:pPr>
      <w:r>
        <w:t>Диуретики петлевые, ацетазоламид.</w:t>
      </w:r>
    </w:p>
    <w:p w:rsidR="008E3F15" w:rsidRDefault="005F449A">
      <w:pPr>
        <w:ind w:left="347" w:right="1967"/>
      </w:pPr>
      <w:r>
        <w:t>Инфузия нитроглицерина, изосорбида динитрата при АДс ≥90 мм рт.ст. иАПФ, БРА, сакубитрил + валсартан. иНГЛТ-2.</w:t>
      </w:r>
    </w:p>
    <w:p w:rsidR="008E3F15" w:rsidRDefault="005F449A">
      <w:pPr>
        <w:spacing w:after="31"/>
        <w:ind w:left="347" w:right="15"/>
      </w:pPr>
      <w:r>
        <w:t>Допамин, левосимендан при гипотензии и снижении перфузии.</w:t>
      </w:r>
    </w:p>
    <w:p w:rsidR="008E3F15" w:rsidRDefault="005F449A">
      <w:pPr>
        <w:spacing w:after="31"/>
        <w:ind w:left="347" w:right="15"/>
      </w:pPr>
      <w:r>
        <w:t>Дигоксин.</w:t>
      </w:r>
    </w:p>
    <w:p w:rsidR="008E3F15" w:rsidRDefault="005F449A">
      <w:pPr>
        <w:spacing w:after="165"/>
        <w:ind w:left="347" w:right="15"/>
      </w:pPr>
      <w:r>
        <w:t>Гепарин, фондапаринукс натрия.</w:t>
      </w:r>
    </w:p>
    <w:p w:rsidR="008E3F15" w:rsidRDefault="005F449A">
      <w:pPr>
        <w:ind w:left="2" w:right="15"/>
      </w:pPr>
      <w:r>
        <w:t>Быстрое усиление симптомов ХСН (декомпенсация) — самая частая форма острой СН. Реже встречаются острая СН, обусловленная гипертензией, мио кардитом или ИМ, отек легких, кардиогенный шок (</w:t>
      </w:r>
      <w:r>
        <w:rPr>
          <w:b/>
        </w:rPr>
        <w:t>рис. 7.1</w:t>
      </w:r>
      <w:r>
        <w:t>).</w:t>
      </w:r>
    </w:p>
    <w:p w:rsidR="008E3F15" w:rsidRDefault="005F449A">
      <w:pPr>
        <w:spacing w:after="65" w:line="259" w:lineRule="auto"/>
        <w:ind w:left="7" w:right="0" w:firstLine="0"/>
      </w:pPr>
      <w:r>
        <w:rPr>
          <w:noProof/>
        </w:rPr>
        <w:drawing>
          <wp:inline distT="0" distB="0" distL="0" distR="0">
            <wp:extent cx="5057775" cy="3333750"/>
            <wp:effectExtent l="0" t="0" r="0" b="0"/>
            <wp:docPr id="10137" name="Picture 10137"/>
            <wp:cNvGraphicFramePr/>
            <a:graphic xmlns:a="http://schemas.openxmlformats.org/drawingml/2006/main">
              <a:graphicData uri="http://schemas.openxmlformats.org/drawingml/2006/picture">
                <pic:pic xmlns:pic="http://schemas.openxmlformats.org/drawingml/2006/picture">
                  <pic:nvPicPr>
                    <pic:cNvPr id="10137" name="Picture 10137"/>
                    <pic:cNvPicPr/>
                  </pic:nvPicPr>
                  <pic:blipFill>
                    <a:blip r:embed="rId104"/>
                    <a:stretch>
                      <a:fillRect/>
                    </a:stretch>
                  </pic:blipFill>
                  <pic:spPr>
                    <a:xfrm>
                      <a:off x="0" y="0"/>
                      <a:ext cx="5057775" cy="3333750"/>
                    </a:xfrm>
                    <a:prstGeom prst="rect">
                      <a:avLst/>
                    </a:prstGeom>
                  </pic:spPr>
                </pic:pic>
              </a:graphicData>
            </a:graphic>
          </wp:inline>
        </w:drawing>
      </w:r>
    </w:p>
    <w:p w:rsidR="008E3F15" w:rsidRDefault="005F449A">
      <w:pPr>
        <w:ind w:left="2" w:right="132"/>
      </w:pPr>
      <w:r>
        <w:rPr>
          <w:b/>
        </w:rPr>
        <w:t xml:space="preserve">Рис. 7.1. </w:t>
      </w:r>
      <w:r>
        <w:t>Клинические формы острой сердечной недостаточности (Follath F. et al., 2011) Декомпенсация СН может быть вызвана различными причинами: недостаточное профилактическое лечение, ИМ, аритмии, гипертензия, ЛЭ, дисфункция щитовидной железы, злоупотребление солен</w:t>
      </w:r>
      <w:r>
        <w:t>ыми продуктами или алкоголем, инфекция, прием НПВП или глюкокортикоидов и т.д.</w:t>
      </w:r>
    </w:p>
    <w:p w:rsidR="008E3F15" w:rsidRDefault="005F449A">
      <w:pPr>
        <w:spacing w:after="359"/>
        <w:ind w:left="2" w:right="386"/>
      </w:pPr>
      <w:r>
        <w:t>Лечение выраженной декомпенсации СН проводится в отделении интенсивного лечения, а при менее тяжелых формах терапия возможна в кардиологическом отделении.</w:t>
      </w:r>
    </w:p>
    <w:p w:rsidR="008E3F15" w:rsidRDefault="005F449A">
      <w:pPr>
        <w:pStyle w:val="Heading1"/>
        <w:ind w:left="2"/>
      </w:pPr>
      <w:r>
        <w:t>Часть I. Сердечно-сосу</w:t>
      </w:r>
      <w:r>
        <w:t>дистые болезни</w:t>
      </w:r>
    </w:p>
    <w:p w:rsidR="008E3F15" w:rsidRDefault="005F449A">
      <w:pPr>
        <w:spacing w:after="31"/>
        <w:ind w:left="2" w:right="15"/>
      </w:pPr>
      <w:r>
        <w:t>Классификация</w:t>
      </w:r>
    </w:p>
    <w:p w:rsidR="008E3F15" w:rsidRDefault="005F449A">
      <w:pPr>
        <w:ind w:left="2" w:right="15"/>
      </w:pPr>
      <w:r>
        <w:t>При оформлении диагноза следует учитывать, что декомпенсация является формой острой СН и не следует указывать ФК и стадию (</w:t>
      </w:r>
      <w:r>
        <w:rPr>
          <w:b/>
        </w:rPr>
        <w:t>табл. 7.1</w:t>
      </w:r>
      <w:r>
        <w:t>).</w:t>
      </w:r>
    </w:p>
    <w:p w:rsidR="008E3F15" w:rsidRDefault="005F449A">
      <w:pPr>
        <w:spacing w:after="31"/>
        <w:ind w:left="2" w:right="15"/>
      </w:pPr>
      <w:r>
        <w:rPr>
          <w:b/>
        </w:rPr>
        <w:t xml:space="preserve">Таблица 7.1. </w:t>
      </w:r>
      <w:r>
        <w:t>Примеры оформления диагноза</w:t>
      </w:r>
    </w:p>
    <w:tbl>
      <w:tblPr>
        <w:tblStyle w:val="TableGrid"/>
        <w:tblW w:w="10485" w:type="dxa"/>
        <w:tblInd w:w="37" w:type="dxa"/>
        <w:tblCellMar>
          <w:top w:w="58" w:type="dxa"/>
          <w:left w:w="45" w:type="dxa"/>
          <w:bottom w:w="0" w:type="dxa"/>
          <w:right w:w="115" w:type="dxa"/>
        </w:tblCellMar>
        <w:tblLook w:val="04A0" w:firstRow="1" w:lastRow="0" w:firstColumn="1" w:lastColumn="0" w:noHBand="0" w:noVBand="1"/>
      </w:tblPr>
      <w:tblGrid>
        <w:gridCol w:w="9180"/>
        <w:gridCol w:w="1305"/>
      </w:tblGrid>
      <w:tr w:rsidR="008E3F15">
        <w:trPr>
          <w:trHeight w:val="548"/>
        </w:trPr>
        <w:tc>
          <w:tcPr>
            <w:tcW w:w="918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30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rPr>
                <w:b/>
              </w:rPr>
              <w:t>Код</w:t>
            </w:r>
          </w:p>
          <w:p w:rsidR="008E3F15" w:rsidRDefault="005F449A">
            <w:pPr>
              <w:spacing w:after="0" w:line="259" w:lineRule="auto"/>
              <w:ind w:left="2" w:right="0" w:firstLine="0"/>
            </w:pPr>
            <w:r>
              <w:rPr>
                <w:b/>
              </w:rPr>
              <w:t>МКБ-10</w:t>
            </w:r>
          </w:p>
        </w:tc>
      </w:tr>
      <w:tr w:rsidR="008E3F15">
        <w:trPr>
          <w:trHeight w:val="48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548"/>
        </w:trPr>
        <w:tc>
          <w:tcPr>
            <w:tcW w:w="91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Дилатационная кардиомиопатия, декомпенсация сердечной недостаточности. Внебольничная пневмония нижней доли справа</w:t>
            </w:r>
          </w:p>
        </w:tc>
        <w:tc>
          <w:tcPr>
            <w:tcW w:w="130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I42.0</w:t>
            </w:r>
          </w:p>
        </w:tc>
      </w:tr>
      <w:tr w:rsidR="008E3F15">
        <w:trPr>
          <w:trHeight w:val="570"/>
        </w:trPr>
        <w:tc>
          <w:tcPr>
            <w:tcW w:w="91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744" w:firstLine="0"/>
            </w:pPr>
            <w:r>
              <w:t>Инфаркт мио карда (2011, 2017). Хроническая сердечная недостаточность с низкой ФВЛЖ (28%, 17.09.2023), декомпенсация</w:t>
            </w:r>
          </w:p>
        </w:tc>
        <w:tc>
          <w:tcPr>
            <w:tcW w:w="13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I22</w:t>
            </w:r>
          </w:p>
        </w:tc>
      </w:tr>
      <w:tr w:rsidR="008E3F15">
        <w:trPr>
          <w:trHeight w:val="570"/>
        </w:trPr>
        <w:tc>
          <w:tcPr>
            <w:tcW w:w="91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Острый мио кардит, частые желудочковые экстрасистолы, cердечная недостаточность</w:t>
            </w:r>
          </w:p>
        </w:tc>
        <w:tc>
          <w:tcPr>
            <w:tcW w:w="13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I40.9</w:t>
            </w:r>
          </w:p>
        </w:tc>
      </w:tr>
    </w:tbl>
    <w:p w:rsidR="008E3F15" w:rsidRDefault="005F449A">
      <w:pPr>
        <w:ind w:left="2" w:right="15"/>
      </w:pPr>
      <w:r>
        <w:t>Представляется полезной классификация кардиогенного шока, включающая пять стадий A–E (</w:t>
      </w:r>
      <w:r>
        <w:rPr>
          <w:b/>
        </w:rPr>
        <w:t>табл. 7.2</w:t>
      </w:r>
      <w:r>
        <w:t>).</w:t>
      </w:r>
    </w:p>
    <w:p w:rsidR="008E3F15" w:rsidRDefault="005F449A">
      <w:pPr>
        <w:spacing w:after="31"/>
        <w:ind w:left="2" w:right="15"/>
      </w:pPr>
      <w:r>
        <w:rPr>
          <w:b/>
        </w:rPr>
        <w:t xml:space="preserve">Таблица 7.2. </w:t>
      </w:r>
      <w:r>
        <w:t>Классификация кардиогенного шока (SCAI)</w:t>
      </w:r>
    </w:p>
    <w:tbl>
      <w:tblPr>
        <w:tblStyle w:val="TableGrid"/>
        <w:tblW w:w="10485" w:type="dxa"/>
        <w:tblInd w:w="37" w:type="dxa"/>
        <w:tblCellMar>
          <w:top w:w="80" w:type="dxa"/>
          <w:left w:w="42" w:type="dxa"/>
          <w:bottom w:w="0" w:type="dxa"/>
          <w:right w:w="77" w:type="dxa"/>
        </w:tblCellMar>
        <w:tblLook w:val="04A0" w:firstRow="1" w:lastRow="0" w:firstColumn="1" w:lastColumn="0" w:noHBand="0" w:noVBand="1"/>
      </w:tblPr>
      <w:tblGrid>
        <w:gridCol w:w="1980"/>
        <w:gridCol w:w="8505"/>
      </w:tblGrid>
      <w:tr w:rsidR="008E3F15">
        <w:trPr>
          <w:trHeight w:val="330"/>
        </w:trPr>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Стадия</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Определение</w:t>
            </w:r>
          </w:p>
        </w:tc>
      </w:tr>
      <w:tr w:rsidR="008E3F15">
        <w:trPr>
          <w:trHeight w:val="330"/>
        </w:trPr>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A (риск)</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Нет гипотензии, гипоперфузии</w:t>
            </w:r>
          </w:p>
        </w:tc>
      </w:tr>
      <w:tr w:rsidR="008E3F15">
        <w:trPr>
          <w:trHeight w:val="570"/>
        </w:trPr>
        <w:tc>
          <w:tcPr>
            <w:tcW w:w="19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B (начало)</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Гипотензия (АДс &lt;90 мм рт.ст.) или тахикардия (≥100/мин) без гипоперфузии</w:t>
            </w:r>
          </w:p>
        </w:tc>
      </w:tr>
      <w:tr w:rsidR="008E3F15">
        <w:trPr>
          <w:trHeight w:val="1050"/>
        </w:trPr>
        <w:tc>
          <w:tcPr>
            <w:tcW w:w="19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jc w:val="both"/>
            </w:pPr>
            <w:r>
              <w:t>C (классический)</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45" w:firstLine="0"/>
            </w:pPr>
            <w:r>
              <w:t>Гипоперфузия, требующая фармакологического или механического лечения помимо возмещения объема, перегрузка объемом, лактат ≥2 ммоль/л, олигурия &lt;30 мл/ч, креатинин увеличен в ≥1,5 раза или рСКФ снижена &gt;50%</w:t>
            </w:r>
          </w:p>
        </w:tc>
      </w:tr>
      <w:tr w:rsidR="008E3F15">
        <w:trPr>
          <w:trHeight w:val="810"/>
        </w:trPr>
        <w:tc>
          <w:tcPr>
            <w:tcW w:w="19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D (ухудшение)</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 xml:space="preserve">Усиление гипоперфузии, возрастание </w:t>
            </w:r>
            <w:r>
              <w:t>лактата, снижение функции почек, ухудшение печеночных тестов, повышение натрийуретического пептида, увеличение числа/дозы вазопрессоров</w:t>
            </w:r>
          </w:p>
        </w:tc>
      </w:tr>
      <w:tr w:rsidR="008E3F15">
        <w:trPr>
          <w:trHeight w:val="570"/>
        </w:trPr>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E</w:t>
            </w:r>
          </w:p>
          <w:p w:rsidR="008E3F15" w:rsidRDefault="005F449A">
            <w:pPr>
              <w:spacing w:after="0" w:line="259" w:lineRule="auto"/>
              <w:ind w:left="3" w:right="0" w:firstLine="0"/>
              <w:jc w:val="both"/>
            </w:pPr>
            <w:r>
              <w:t>(экстремальный)</w:t>
            </w:r>
          </w:p>
        </w:tc>
        <w:tc>
          <w:tcPr>
            <w:tcW w:w="85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Текущий или развивающийся коллапс кровообращения, без сознания, лактат ≥8 ммоль/л, выраженный ацидоз с рН &lt;7,2</w:t>
            </w:r>
          </w:p>
        </w:tc>
      </w:tr>
    </w:tbl>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ind w:left="2" w:right="1307"/>
      </w:pPr>
      <w:r>
        <w:t>При наличии симптомов, характерных для СН, данных о поражении мио карда (ИМ, реваскуляризация, гипертензия), повышении натрий уретического пептида рекомендуется верифицировать диагноз с помощью эхокардиографии (</w:t>
      </w:r>
      <w:r>
        <w:rPr>
          <w:b/>
        </w:rPr>
        <w:t>рис. 7.2</w:t>
      </w:r>
      <w:r>
        <w:t>).</w:t>
      </w:r>
    </w:p>
    <w:p w:rsidR="008E3F15" w:rsidRDefault="005F449A">
      <w:pPr>
        <w:spacing w:after="65" w:line="259" w:lineRule="auto"/>
        <w:ind w:left="7" w:right="0" w:firstLine="0"/>
      </w:pPr>
      <w:r>
        <w:rPr>
          <w:noProof/>
        </w:rPr>
        <w:drawing>
          <wp:inline distT="0" distB="0" distL="0" distR="0">
            <wp:extent cx="5057775" cy="4086225"/>
            <wp:effectExtent l="0" t="0" r="0" b="0"/>
            <wp:docPr id="10230" name="Picture 10230"/>
            <wp:cNvGraphicFramePr/>
            <a:graphic xmlns:a="http://schemas.openxmlformats.org/drawingml/2006/main">
              <a:graphicData uri="http://schemas.openxmlformats.org/drawingml/2006/picture">
                <pic:pic xmlns:pic="http://schemas.openxmlformats.org/drawingml/2006/picture">
                  <pic:nvPicPr>
                    <pic:cNvPr id="10230" name="Picture 10230"/>
                    <pic:cNvPicPr/>
                  </pic:nvPicPr>
                  <pic:blipFill>
                    <a:blip r:embed="rId105"/>
                    <a:stretch>
                      <a:fillRect/>
                    </a:stretch>
                  </pic:blipFill>
                  <pic:spPr>
                    <a:xfrm>
                      <a:off x="0" y="0"/>
                      <a:ext cx="5057775" cy="4086225"/>
                    </a:xfrm>
                    <a:prstGeom prst="rect">
                      <a:avLst/>
                    </a:prstGeom>
                  </pic:spPr>
                </pic:pic>
              </a:graphicData>
            </a:graphic>
          </wp:inline>
        </w:drawing>
      </w:r>
    </w:p>
    <w:p w:rsidR="008E3F15" w:rsidRDefault="005F449A">
      <w:pPr>
        <w:spacing w:after="31"/>
        <w:ind w:left="2" w:right="15"/>
      </w:pPr>
      <w:r>
        <w:rPr>
          <w:b/>
        </w:rPr>
        <w:t xml:space="preserve">Рис. 7.2. </w:t>
      </w:r>
      <w:r>
        <w:t>Алгоритм диагностики о</w:t>
      </w:r>
      <w:r>
        <w:t>строй сердечной недостаточности (ESC)</w:t>
      </w:r>
    </w:p>
    <w:p w:rsidR="008E3F15" w:rsidRDefault="005F449A">
      <w:pPr>
        <w:ind w:left="2" w:right="15"/>
      </w:pPr>
      <w:r>
        <w:t>Отдельные клинические проявления СН являются неспецифическими, но в совокупности обычно позволяют установить диагноз (ALARM-HF):</w:t>
      </w:r>
    </w:p>
    <w:p w:rsidR="008E3F15" w:rsidRDefault="005F449A">
      <w:pPr>
        <w:ind w:left="347" w:right="6501"/>
      </w:pPr>
      <w:r>
        <w:rPr>
          <w:rFonts w:ascii="Calibri" w:eastAsia="Calibri" w:hAnsi="Calibri" w:cs="Calibri"/>
          <w:noProof/>
          <w:color w:val="000000"/>
          <w:sz w:val="22"/>
        </w:rPr>
        <mc:AlternateContent>
          <mc:Choice Requires="wpg">
            <w:drawing>
              <wp:anchor distT="0" distB="0" distL="114300" distR="114300" simplePos="0" relativeHeight="251791360" behindDoc="0" locked="0" layoutInCell="1" allowOverlap="1">
                <wp:simplePos x="0" y="0"/>
                <wp:positionH relativeFrom="column">
                  <wp:posOffset>214164</wp:posOffset>
                </wp:positionH>
                <wp:positionV relativeFrom="paragraph">
                  <wp:posOffset>34925</wp:posOffset>
                </wp:positionV>
                <wp:extent cx="57150" cy="1123950"/>
                <wp:effectExtent l="0" t="0" r="0" b="0"/>
                <wp:wrapSquare wrapText="bothSides"/>
                <wp:docPr id="287561" name="Group 287561"/>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0271" name="Shape 10271"/>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73" name="Shape 10273"/>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8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8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75" name="Shape 1027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77" name="Shape 10277"/>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79" name="Shape 10279"/>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81" name="Shape 10281"/>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83" name="Shape 10283"/>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85" name="Shape 10285"/>
                        <wps:cNvSpPr/>
                        <wps:spPr>
                          <a:xfrm>
                            <a:off x="0" y="10668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7561" style="width:4.5pt;height:88.5pt;position:absolute;mso-position-horizontal-relative:text;mso-position-horizontal:absolute;margin-left:16.8633pt;mso-position-vertical-relative:text;margin-top:2.75pt;" coordsize="571,11239">
                <v:shape id="Shape 10271" style="position:absolute;width:571;height:571;left:0;top:0;" coordsize="57150,57150" path="m28575,0c32364,0,36009,695,39510,2084c43011,3473,46101,5556,48781,8334c51460,10914,53525,13990,54975,17463c56425,21034,57150,24705,57150,28575c57150,32345,56425,35917,54975,39489c53525,42863,51460,45938,48781,48716c46101,51296,43011,53380,39510,54868c36009,56356,32364,57051,28575,57150c24786,57051,21141,56356,17640,54967c14139,53380,11049,51296,8369,48716c5690,45938,3625,42863,2175,39390c725,35917,0,32345,0,28575c0,24705,725,21034,2175,17463c3625,13990,5690,10914,8369,8334c11049,5556,14139,3473,17640,2084c21141,695,24786,0,28575,0x">
                  <v:stroke weight="0pt" endcap="flat" joinstyle="miter" miterlimit="4" on="false" color="#000000" opacity="0"/>
                  <v:fill on="true" color="#333333"/>
                </v:shape>
                <v:shape id="Shape 10273" style="position:absolute;width:571;height:571;left:0;top:1524;" coordsize="57150,57150" path="m28575,0c32364,0,36009,695,39510,2084c43011,3473,46101,5556,48781,8334c51460,10914,53525,13990,54975,17463c56425,21034,57150,24705,57150,28575c57150,32345,56425,35917,54975,39489c53525,42962,51460,46038,48781,48816c46101,51395,43011,53479,39510,54967c36009,56356,32364,57051,28575,57150c24786,57051,21141,56356,17640,54967c14139,53479,11049,51395,8369,48816c5690,46038,3625,42962,2175,39489c725,35917,0,32345,0,28575c0,24705,725,21034,2175,17463c3625,13990,5690,10914,8369,8334c11049,5556,14139,3473,17640,2084c21141,695,24786,0,28575,0x">
                  <v:stroke weight="0pt" endcap="flat" joinstyle="miter" miterlimit="4" on="false" color="#000000" opacity="0"/>
                  <v:fill on="true" color="#333333"/>
                </v:shape>
                <v:shape id="Shape 10275" style="position:absolute;width:571;height:571;left:0;top:3048;" coordsize="57150,57150" path="m28575,0c32364,0,36009,695,39510,2084c43011,3473,46101,5556,48781,8334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463c3625,13990,5690,10914,8369,8334c11049,5556,14139,3473,17640,2084c21141,695,24786,0,28575,0x">
                  <v:stroke weight="0pt" endcap="flat" joinstyle="miter" miterlimit="4" on="false" color="#000000" opacity="0"/>
                  <v:fill on="true" color="#333333"/>
                </v:shape>
                <v:shape id="Shape 10277" style="position:absolute;width:571;height:571;left:0;top:4572;" coordsize="57150,57150" path="m28575,0c32364,0,36009,695,39510,2084c43011,3473,46101,5556,48781,8334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463c3625,13990,5690,10914,8369,8334c11049,5556,14139,3473,17640,2084c21141,695,24786,0,28575,0x">
                  <v:stroke weight="0pt" endcap="flat" joinstyle="miter" miterlimit="4" on="false" color="#000000" opacity="0"/>
                  <v:fill on="true" color="#333333"/>
                </v:shape>
                <v:shape id="Shape 10279" style="position:absolute;width:571;height:571;left:0;top:6096;" coordsize="57150,57150" path="m28575,0c32364,0,36009,794,39510,2183c43011,3572,46101,5655,48781,8334c51460,10914,53525,14089,54975,17562c56425,21034,57150,24805,57150,28575c57150,32345,56425,35917,54975,39489c53525,42962,51460,46038,48781,48716c46101,51395,43011,53479,39510,54967c36009,56356,32364,57051,28575,57150c24786,57051,21141,56356,17640,54967c14139,53479,11049,51395,8369,48716c5690,46038,3625,42962,2175,39489c725,35917,0,32345,0,28575c0,24805,725,21034,2175,17562c3625,14089,5690,10914,8369,8334c11049,5655,14139,3572,17640,2183c21141,794,24786,0,28575,0x">
                  <v:stroke weight="0pt" endcap="flat" joinstyle="miter" miterlimit="4" on="false" color="#000000" opacity="0"/>
                  <v:fill on="true" color="#333333"/>
                </v:shape>
                <v:shape id="Shape 10281" style="position:absolute;width:571;height:571;left:0;top:7620;" coordsize="57150,57150" path="m28575,0c32364,0,36009,794,39510,2183c43011,3572,46101,5655,48781,8334c51460,10914,53525,14089,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4089,5690,10914,8369,8334c11049,5655,14139,3572,17640,2183c21141,794,24786,0,28575,0x">
                  <v:stroke weight="0pt" endcap="flat" joinstyle="miter" miterlimit="4" on="false" color="#000000" opacity="0"/>
                  <v:fill on="true" color="#333333"/>
                </v:shape>
                <v:shape id="Shape 10283" style="position:absolute;width:571;height:571;left:0;top:9144;" coordsize="57150,57150" path="m28575,0c32364,0,36009,794,39510,2183c43011,3572,46101,5556,48781,8235c51460,10914,53525,13990,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3990,5690,10914,8369,8235c11049,5556,14139,3473,17640,2084c21141,695,24786,0,28575,0x">
                  <v:stroke weight="0pt" endcap="flat" joinstyle="miter" miterlimit="4" on="false" color="#000000" opacity="0"/>
                  <v:fill on="true" color="#333333"/>
                </v:shape>
                <v:shape id="Shape 10285" style="position:absolute;width:571;height:571;left:0;top:10668;" coordsize="57150,57150" path="m28575,0c32364,0,36009,794,39510,2183c43011,3572,46101,5556,48781,8235c51460,10914,53525,13990,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3990,5690,10914,8369,8235c11049,5556,14139,3473,17640,2084c21141,695,24786,0,28575,0x">
                  <v:stroke weight="0pt" endcap="flat" joinstyle="miter" miterlimit="4" on="false" color="#000000" opacity="0"/>
                  <v:fill on="true" color="#333333"/>
                </v:shape>
                <w10:wrap type="square"/>
              </v:group>
            </w:pict>
          </mc:Fallback>
        </mc:AlternateContent>
      </w:r>
      <w:r>
        <w:t>одышка в покое (73%); влажные хрипы в легких (61%); ортопноэ (56%); утомляемость (44%); периферические отеки (43%);</w:t>
      </w:r>
    </w:p>
    <w:p w:rsidR="008E3F15" w:rsidRDefault="005F449A">
      <w:pPr>
        <w:spacing w:after="179"/>
        <w:ind w:left="347" w:right="4765"/>
      </w:pPr>
      <w:r>
        <w:t>повышенное давление в яремных венах (40%); холодные конечности (26%); набор массы тела (25%).</w:t>
      </w:r>
    </w:p>
    <w:p w:rsidR="008E3F15" w:rsidRDefault="005F449A">
      <w:pPr>
        <w:ind w:left="2" w:right="15"/>
      </w:pPr>
      <w:r>
        <w:rPr>
          <w:b/>
        </w:rPr>
        <w:t>Клиническая картина.</w:t>
      </w:r>
      <w:r>
        <w:t xml:space="preserve"> Описанные симптомы в отде</w:t>
      </w:r>
      <w:r>
        <w:t>льности не являются надежными для диагностики СН. Например, набухание шейных вен характеризуется невысокой чувствительностью (68%) и низкой специ фичностью (28%) в отношении повышения центрального венозного давления (Breidthardt T. et al., 2018).</w:t>
      </w:r>
    </w:p>
    <w:p w:rsidR="008E3F15" w:rsidRDefault="005F449A">
      <w:pPr>
        <w:spacing w:after="179"/>
        <w:ind w:left="2" w:right="15"/>
      </w:pPr>
      <w:r>
        <w:t>Следует о</w:t>
      </w:r>
      <w:r>
        <w:t>тметить частые несердечные причины симметричных отеков нижних конечностей, которые могут повлиять на оценку наличия и тяжести СН.</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92384" behindDoc="0" locked="0" layoutInCell="1" allowOverlap="1">
                <wp:simplePos x="0" y="0"/>
                <wp:positionH relativeFrom="column">
                  <wp:posOffset>214164</wp:posOffset>
                </wp:positionH>
                <wp:positionV relativeFrom="paragraph">
                  <wp:posOffset>34925</wp:posOffset>
                </wp:positionV>
                <wp:extent cx="57150" cy="1276350"/>
                <wp:effectExtent l="0" t="0" r="0" b="0"/>
                <wp:wrapSquare wrapText="bothSides"/>
                <wp:docPr id="287565" name="Group 287565"/>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0294" name="Shape 1029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1013"/>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1013"/>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96" name="Shape 1029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299" name="Shape 10299"/>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8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5938"/>
                                  <a:pt x="3625" y="42863"/>
                                  <a:pt x="2175" y="39390"/>
                                </a:cubicBezTo>
                                <a:cubicBezTo>
                                  <a:pt x="725" y="35917"/>
                                  <a:pt x="0" y="32345"/>
                                  <a:pt x="0" y="28575"/>
                                </a:cubicBezTo>
                                <a:cubicBezTo>
                                  <a:pt x="0" y="248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01" name="Shape 10301"/>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8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5938"/>
                                  <a:pt x="3625" y="42863"/>
                                  <a:pt x="2175" y="39390"/>
                                </a:cubicBezTo>
                                <a:cubicBezTo>
                                  <a:pt x="725" y="35917"/>
                                  <a:pt x="0" y="32246"/>
                                  <a:pt x="0" y="28575"/>
                                </a:cubicBezTo>
                                <a:cubicBezTo>
                                  <a:pt x="0" y="248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03" name="Shape 10303"/>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05" name="Shape 10305"/>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07" name="Shape 10307"/>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09" name="Shape 10309"/>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7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7565" style="width:4.5pt;height:100.5pt;position:absolute;mso-position-horizontal-relative:text;mso-position-horizontal:absolute;margin-left:16.8633pt;mso-position-vertical-relative:text;margin-top:2.75pt;" coordsize="571,12763">
                <v:shape id="Shape 10294" style="position:absolute;width:571;height:571;left:0;top:0;" coordsize="57150,57150" path="m28575,0c32364,0,36009,695,39510,2084c43011,3473,46101,5556,48781,8334c51460,11013,53525,14089,54975,17562c56425,21034,57150,24805,57150,28575c57150,32345,56425,35917,54975,39390c53525,42863,51460,46038,48781,48716c46101,51296,43011,53380,39510,54868c36009,56257,32364,57051,28575,57150c24786,57051,21141,56257,17640,54868c14139,53380,11049,51296,8369,48716c5690,46038,3625,42863,2175,39390c725,35917,0,32345,0,28575c0,24805,725,21034,2175,17562c3625,14089,5690,11013,8369,8334c11049,5556,14139,3473,17640,2084c21141,695,24786,0,28575,0x">
                  <v:stroke weight="0pt" endcap="flat" joinstyle="miter" miterlimit="4" on="false" color="#000000" opacity="0"/>
                  <v:fill on="true" color="#333333"/>
                </v:shape>
                <v:shape id="Shape 10296" style="position:absolute;width:571;height:571;left:0;top:1524;"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4" on="false" color="#000000" opacity="0"/>
                  <v:fill on="true" color="#333333"/>
                </v:shape>
                <v:shape id="Shape 10299" style="position:absolute;width:571;height:571;left:0;top:4572;" coordsize="57150,57150" path="m28575,0c32364,0,36009,695,39510,2084c43011,3473,46101,5556,48781,8235c51460,10914,53525,13990,54975,17463c56425,21034,57150,24805,57150,28575c57150,32345,56425,35917,54975,39390c53525,42863,51460,45938,48781,48716c46101,51296,43011,53380,39510,54868c36009,56257,32364,57051,28575,57150c24786,57051,21141,56257,17640,54868c14139,53380,11049,51296,8369,48716c5690,45938,3625,42863,2175,39390c725,35917,0,32345,0,28575c0,24805,725,21034,2175,17562c3625,13990,5690,10914,8369,8235c11049,5556,14139,3473,17640,2084c21141,695,24786,0,28575,0x">
                  <v:stroke weight="0pt" endcap="flat" joinstyle="miter" miterlimit="4" on="false" color="#000000" opacity="0"/>
                  <v:fill on="true" color="#333333"/>
                </v:shape>
                <v:shape id="Shape 10301" style="position:absolute;width:571;height:571;left:0;top:6096;" coordsize="57150,57150" path="m28575,0c32364,0,36009,695,39510,2084c43011,3473,46101,5556,48781,8235c51460,10914,53525,13990,54975,17463c56425,21034,57150,24805,57150,28575c57150,32246,56425,35917,54975,39390c53525,42863,51460,45938,48781,48716c46101,51296,43011,53380,39510,54868c36009,56257,32364,57051,28575,57150c24786,57051,21141,56257,17640,54868c14139,53380,11049,51296,8369,48716c5690,45938,3625,42863,2175,39390c725,35917,0,32246,0,28575c0,24805,725,21034,2175,17562c3625,13990,5690,10914,8369,8235c11049,5556,14139,3473,17640,2084c21141,695,24786,0,28575,0x">
                  <v:stroke weight="0pt" endcap="flat" joinstyle="miter" miterlimit="4" on="false" color="#000000" opacity="0"/>
                  <v:fill on="true" color="#333333"/>
                </v:shape>
                <v:shape id="Shape 10303" style="position:absolute;width:571;height:571;left:0;top:7620;"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4" on="false" color="#000000" opacity="0"/>
                  <v:fill on="true" color="#333333"/>
                </v:shape>
                <v:shape id="Shape 10305" style="position:absolute;width:571;height:571;left:0;top:9144;"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4" on="false" color="#000000" opacity="0"/>
                  <v:fill on="true" color="#333333"/>
                </v:shape>
                <v:shape id="Shape 10307" style="position:absolute;width:571;height:571;left:0;top:10668;"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4" on="false" color="#000000" opacity="0"/>
                  <v:fill on="true" color="#333333"/>
                </v:shape>
                <v:shape id="Shape 10309" style="position:absolute;width:571;height:571;left:0;top:12192;" coordsize="57150,57150" path="m28575,0c32364,0,36009,695,39510,2084c43011,3473,46101,5556,48781,8334c51460,10914,53525,14089,54975,17562c56425,21034,57150,24705,57150,28575c57150,32246,56425,35917,54975,39390c53525,42863,51460,46038,48781,48716c46101,51395,43011,53479,39510,54868c36009,56257,32364,57051,28575,57150c24786,57051,21141,56257,17640,54868c14139,53479,11049,51395,8369,48716c5690,46038,3625,42863,2175,39390c725,35917,0,32246,0,28575c0,24705,725,21034,2175,17562c3625,14089,5690,10914,8369,8334c11049,5556,14139,3473,17640,2084c21141,695,24786,0,28575,0x">
                  <v:stroke weight="0pt" endcap="flat" joinstyle="miter" miterlimit="4" on="false" color="#000000" opacity="0"/>
                  <v:fill on="true" color="#333333"/>
                </v:shape>
                <w10:wrap type="square"/>
              </v:group>
            </w:pict>
          </mc:Fallback>
        </mc:AlternateContent>
      </w:r>
      <w:r>
        <w:t>Правожелудочковая недостаточность (болезни легких, ЛЭ).</w:t>
      </w:r>
    </w:p>
    <w:p w:rsidR="008E3F15" w:rsidRDefault="005F449A">
      <w:pPr>
        <w:ind w:left="347" w:right="15"/>
      </w:pPr>
      <w:r>
        <w:t>Гипопротеинемия (нарушение питания, энтеропатии, печеночная недостаточность, нефротический синдром).</w:t>
      </w:r>
    </w:p>
    <w:p w:rsidR="008E3F15" w:rsidRDefault="005F449A">
      <w:pPr>
        <w:spacing w:after="31"/>
        <w:ind w:left="347" w:right="15"/>
      </w:pPr>
      <w:r>
        <w:t>Нефропатии.</w:t>
      </w:r>
    </w:p>
    <w:p w:rsidR="008E3F15" w:rsidRDefault="005F449A">
      <w:pPr>
        <w:spacing w:after="31"/>
        <w:ind w:left="347" w:right="15"/>
      </w:pPr>
      <w:r>
        <w:t>Тромбозы, сдавление в системе нижней полой вены.</w:t>
      </w:r>
    </w:p>
    <w:p w:rsidR="008E3F15" w:rsidRDefault="005F449A">
      <w:pPr>
        <w:spacing w:after="31"/>
        <w:ind w:left="347" w:right="15"/>
      </w:pPr>
      <w:r>
        <w:t>Цирроз печени.</w:t>
      </w:r>
    </w:p>
    <w:p w:rsidR="008E3F15" w:rsidRDefault="005F449A">
      <w:pPr>
        <w:spacing w:after="31"/>
        <w:ind w:left="347" w:right="15"/>
      </w:pPr>
      <w:r>
        <w:t>Длительное пребывание в вертикальном положении.</w:t>
      </w:r>
    </w:p>
    <w:p w:rsidR="008E3F15" w:rsidRDefault="005F449A">
      <w:pPr>
        <w:spacing w:after="31"/>
        <w:ind w:left="347" w:right="15"/>
      </w:pPr>
      <w:r>
        <w:t>Беременность.</w:t>
      </w:r>
    </w:p>
    <w:p w:rsidR="008E3F15" w:rsidRDefault="005F449A">
      <w:pPr>
        <w:spacing w:after="165"/>
        <w:ind w:left="347" w:right="15"/>
      </w:pPr>
      <w:r>
        <w:t>Идиопатические от</w:t>
      </w:r>
      <w:r>
        <w:t>еки женщин.</w:t>
      </w:r>
    </w:p>
    <w:p w:rsidR="008E3F15" w:rsidRDefault="005F449A">
      <w:pPr>
        <w:ind w:left="2" w:right="15"/>
      </w:pPr>
      <w:r>
        <w:rPr>
          <w:b/>
        </w:rPr>
        <w:t>Натрийуретические пептиды.</w:t>
      </w:r>
      <w:r>
        <w:t xml:space="preserve"> Повышение натрийуретических пептидов, вызывающих вазодилатацию и усиление диуреза в ответ на рост напряжения мио карда, может использоваться для исключения диагноза СН в случае нормальных величин. При уровне NTproBNP </w:t>
      </w:r>
      <w:r>
        <w:t>&lt;300 пг/мл и BNP &lt;100 пг/мл декомпенсация СН маловероятна (</w:t>
      </w:r>
      <w:r>
        <w:rPr>
          <w:b/>
        </w:rPr>
        <w:t>табл. 7.3</w:t>
      </w:r>
      <w:r>
        <w:t>). Быстрой диагностике острой СН помогают экспресс-тесты натрийуретического пептида. Разработан отечественный экспресс-тест на NT-proBNP (Биотест), позволяющий по изменению цвета индикатор</w:t>
      </w:r>
      <w:r>
        <w:t>а ранжировать концентрацию с порогами 125, 450, 900 и 1800 пг/мл.</w:t>
      </w:r>
    </w:p>
    <w:p w:rsidR="008E3F15" w:rsidRDefault="005F449A">
      <w:pPr>
        <w:spacing w:after="31"/>
        <w:ind w:left="2" w:right="15"/>
      </w:pPr>
      <w:r>
        <w:rPr>
          <w:b/>
        </w:rPr>
        <w:t xml:space="preserve">Таблица 7.3. </w:t>
      </w:r>
      <w:r>
        <w:t>Диагностические границы натрийуретических пептидов при острой одышке (ESC)</w:t>
      </w:r>
    </w:p>
    <w:tbl>
      <w:tblPr>
        <w:tblStyle w:val="TableGrid"/>
        <w:tblW w:w="6915" w:type="dxa"/>
        <w:tblInd w:w="37" w:type="dxa"/>
        <w:tblCellMar>
          <w:top w:w="58" w:type="dxa"/>
          <w:left w:w="42" w:type="dxa"/>
          <w:bottom w:w="0" w:type="dxa"/>
          <w:right w:w="38" w:type="dxa"/>
        </w:tblCellMar>
        <w:tblLook w:val="04A0" w:firstRow="1" w:lastRow="0" w:firstColumn="1" w:lastColumn="0" w:noHBand="0" w:noVBand="1"/>
      </w:tblPr>
      <w:tblGrid>
        <w:gridCol w:w="1140"/>
        <w:gridCol w:w="2190"/>
        <w:gridCol w:w="1380"/>
        <w:gridCol w:w="2205"/>
      </w:tblGrid>
      <w:tr w:rsidR="008E3F15">
        <w:trPr>
          <w:trHeight w:val="375"/>
        </w:trPr>
        <w:tc>
          <w:tcPr>
            <w:tcW w:w="6915" w:type="dxa"/>
            <w:gridSpan w:val="4"/>
            <w:tcBorders>
              <w:top w:val="single" w:sz="6" w:space="0" w:color="000000"/>
              <w:left w:val="single" w:sz="6" w:space="0" w:color="000000"/>
              <w:bottom w:val="single" w:sz="6" w:space="0" w:color="000000"/>
              <w:right w:val="single" w:sz="6" w:space="0" w:color="000000"/>
            </w:tcBorders>
          </w:tcPr>
          <w:p w:rsidR="008E3F15" w:rsidRDefault="005F449A">
            <w:pPr>
              <w:tabs>
                <w:tab w:val="right" w:pos="6836"/>
              </w:tabs>
              <w:spacing w:after="0" w:line="259" w:lineRule="auto"/>
              <w:ind w:left="0" w:right="0" w:firstLine="0"/>
            </w:pPr>
            <w:r>
              <w:rPr>
                <w:b/>
                <w:bdr w:val="single" w:sz="12" w:space="0" w:color="000000"/>
              </w:rPr>
              <w:t>Возраст</w:t>
            </w:r>
            <w:r>
              <w:rPr>
                <w:b/>
                <w:bdr w:val="single" w:sz="12" w:space="0" w:color="000000"/>
              </w:rPr>
              <w:tab/>
              <w:t>СН маловероятна Серая зона Определенная СН</w:t>
            </w:r>
          </w:p>
        </w:tc>
      </w:tr>
      <w:tr w:rsidR="008E3F15">
        <w:trPr>
          <w:trHeight w:val="308"/>
        </w:trPr>
        <w:tc>
          <w:tcPr>
            <w:tcW w:w="6915" w:type="dxa"/>
            <w:gridSpan w:val="4"/>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NT-proBNP, пг/мл</w:t>
            </w:r>
          </w:p>
        </w:tc>
      </w:tr>
      <w:tr w:rsidR="008E3F15">
        <w:trPr>
          <w:trHeight w:val="330"/>
        </w:trPr>
        <w:tc>
          <w:tcPr>
            <w:tcW w:w="114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&lt;50 лет</w:t>
            </w:r>
          </w:p>
        </w:tc>
        <w:tc>
          <w:tcPr>
            <w:tcW w:w="21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&lt;300</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300–450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&gt;450</w:t>
            </w:r>
          </w:p>
        </w:tc>
      </w:tr>
      <w:tr w:rsidR="008E3F15">
        <w:trPr>
          <w:trHeight w:val="330"/>
        </w:trPr>
        <w:tc>
          <w:tcPr>
            <w:tcW w:w="1140" w:type="dxa"/>
            <w:tcBorders>
              <w:top w:val="single" w:sz="6" w:space="0" w:color="000000"/>
              <w:left w:val="single" w:sz="6" w:space="0" w:color="000000"/>
              <w:bottom w:val="single" w:sz="6" w:space="0" w:color="000000"/>
              <w:right w:val="nil"/>
            </w:tcBorders>
          </w:tcPr>
          <w:p w:rsidR="008E3F15" w:rsidRDefault="005F449A">
            <w:pPr>
              <w:spacing w:after="0" w:line="259" w:lineRule="auto"/>
              <w:ind w:left="3" w:right="0" w:firstLine="0"/>
              <w:jc w:val="both"/>
            </w:pPr>
            <w:r>
              <w:rPr>
                <w:bdr w:val="single" w:sz="12" w:space="0" w:color="000000"/>
              </w:rPr>
              <w:t>50–75 лет</w:t>
            </w:r>
          </w:p>
        </w:tc>
        <w:tc>
          <w:tcPr>
            <w:tcW w:w="219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7" w:right="0" w:firstLine="0"/>
            </w:pPr>
            <w:r>
              <w:t>&lt;300</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300–900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&gt;900</w:t>
            </w:r>
          </w:p>
        </w:tc>
      </w:tr>
      <w:tr w:rsidR="008E3F15">
        <w:trPr>
          <w:trHeight w:val="330"/>
        </w:trPr>
        <w:tc>
          <w:tcPr>
            <w:tcW w:w="11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&gt;75 лет</w:t>
            </w:r>
          </w:p>
        </w:tc>
        <w:tc>
          <w:tcPr>
            <w:tcW w:w="21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&lt;300</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300–1800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&gt;1800</w:t>
            </w:r>
          </w:p>
        </w:tc>
      </w:tr>
      <w:tr w:rsidR="008E3F15">
        <w:trPr>
          <w:trHeight w:val="330"/>
        </w:trPr>
        <w:tc>
          <w:tcPr>
            <w:tcW w:w="691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BNP, пг/мл</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Любой</w:t>
            </w:r>
          </w:p>
        </w:tc>
        <w:tc>
          <w:tcPr>
            <w:tcW w:w="21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&lt;100</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100–400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&gt;400</w:t>
            </w:r>
          </w:p>
        </w:tc>
      </w:tr>
    </w:tbl>
    <w:p w:rsidR="008E3F15" w:rsidRDefault="005F449A">
      <w:pPr>
        <w:spacing w:after="165"/>
        <w:ind w:left="2" w:right="15"/>
      </w:pPr>
      <w:r>
        <w:t>Среди причин повышения натрийуретического пептида отмечают широкий спектр состояний.</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93408" behindDoc="0" locked="0" layoutInCell="1" allowOverlap="1">
                <wp:simplePos x="0" y="0"/>
                <wp:positionH relativeFrom="column">
                  <wp:posOffset>214164</wp:posOffset>
                </wp:positionH>
                <wp:positionV relativeFrom="paragraph">
                  <wp:posOffset>34925</wp:posOffset>
                </wp:positionV>
                <wp:extent cx="57150" cy="1581150"/>
                <wp:effectExtent l="0" t="0" r="0" b="0"/>
                <wp:wrapSquare wrapText="bothSides"/>
                <wp:docPr id="287567" name="Group 287567"/>
                <wp:cNvGraphicFramePr/>
                <a:graphic xmlns:a="http://schemas.openxmlformats.org/drawingml/2006/main">
                  <a:graphicData uri="http://schemas.microsoft.com/office/word/2010/wordprocessingGroup">
                    <wpg:wgp>
                      <wpg:cNvGrpSpPr/>
                      <wpg:grpSpPr>
                        <a:xfrm>
                          <a:off x="0" y="0"/>
                          <a:ext cx="57150" cy="1581150"/>
                          <a:chOff x="0" y="0"/>
                          <a:chExt cx="57150" cy="1581150"/>
                        </a:xfrm>
                      </wpg:grpSpPr>
                      <wps:wsp>
                        <wps:cNvPr id="10347" name="Shape 10347"/>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50" name="Shape 10350"/>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52" name="Shape 10352"/>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54" name="Shape 10354"/>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763"/>
                                  <a:pt x="2175" y="39390"/>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56" name="Shape 10356"/>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763"/>
                                  <a:pt x="2175" y="39390"/>
                                </a:cubicBezTo>
                                <a:cubicBezTo>
                                  <a:pt x="725" y="35917"/>
                                  <a:pt x="0" y="32345"/>
                                  <a:pt x="0" y="28575"/>
                                </a:cubicBezTo>
                                <a:cubicBezTo>
                                  <a:pt x="0" y="247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58" name="Shape 10358"/>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60" name="Shape 10360"/>
                        <wps:cNvSpPr/>
                        <wps:spPr>
                          <a:xfrm>
                            <a:off x="0" y="1066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1013"/>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62" name="Shape 10362"/>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868"/>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1013"/>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64" name="Shape 10364"/>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868"/>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366" name="Shape 10366"/>
                        <wps:cNvSpPr/>
                        <wps:spPr>
                          <a:xfrm>
                            <a:off x="0" y="1524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7567" style="width:4.5pt;height:124.5pt;position:absolute;mso-position-horizontal-relative:text;mso-position-horizontal:absolute;margin-left:16.8633pt;mso-position-vertical-relative:text;margin-top:2.75pt;" coordsize="571,15811">
                <v:shape id="Shape 10347" style="position:absolute;width:571;height:571;left:0;top:0;" coordsize="57150,57150" path="m28575,0c32364,0,36009,794,39510,2183c43011,3572,46101,5655,48781,8334c51460,10914,53525,14089,54975,17562c56425,21034,57150,24805,57150,28575c57150,32345,56425,35917,54975,39489c53525,42863,51460,45938,48781,48716c46101,51296,43011,53380,39510,54868c36009,56356,32364,57051,28575,57150c24786,57051,21141,56356,17640,54967c14139,53380,11049,51296,8369,48716c5690,45938,3625,42863,2175,39390c725,35917,0,32345,0,28575c0,24805,725,21034,2175,17562c3625,14089,5690,10914,8369,8334c11049,5655,14139,3572,17640,2183c21141,794,24786,0,28575,0x">
                  <v:stroke weight="0pt" endcap="flat" joinstyle="miter" miterlimit="4" on="false" color="#000000" opacity="0"/>
                  <v:fill on="true" color="#333333"/>
                </v:shape>
                <v:shape id="Shape 10350" style="position:absolute;width:571;height:571;left:0;top:3048;" coordsize="57150,57150" path="m28575,0c32364,0,36009,794,39510,2183c43011,3572,46101,5655,48781,8334c51460,10914,53525,14089,54975,17562c56425,21034,57150,24705,57150,28575c57150,32345,56425,35917,54975,39489c53525,42962,51460,46038,48781,48716c46101,51296,43011,53380,39510,54868c36009,56356,32364,57051,28575,57150c24786,57051,21141,56356,17640,54967c14139,53380,11049,51296,8369,48716c5690,46038,3625,42962,2175,39489c725,35917,0,32345,0,28575c0,24705,725,21034,2175,17562c3625,14089,5690,10914,8369,8334c11049,5655,14139,3572,17640,2183c21141,794,24786,0,28575,0x">
                  <v:stroke weight="0pt" endcap="flat" joinstyle="miter" miterlimit="4" on="false" color="#000000" opacity="0"/>
                  <v:fill on="true" color="#333333"/>
                </v:shape>
                <v:shape id="Shape 10352" style="position:absolute;width:571;height:571;left:0;top:4572;" coordsize="57150,57150" path="m28575,0c32364,0,36009,794,39510,2183c43011,3572,46101,5655,48781,8334c51460,10914,53525,14089,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4089,5690,10914,8369,8334c11049,5655,14139,3572,17640,2183c21141,794,24786,0,28575,0x">
                  <v:stroke weight="0pt" endcap="flat" joinstyle="miter" miterlimit="4" on="false" color="#000000" opacity="0"/>
                  <v:fill on="true" color="#333333"/>
                </v:shape>
                <v:shape id="Shape 10354" style="position:absolute;width:571;height:571;left:0;top:6096;" coordsize="57150,57150" path="m28575,0c32364,0,36009,794,39510,2183c43011,3572,46101,5655,48781,8334c51460,10914,53525,14089,54975,17562c56425,21034,57150,24705,57150,28575c57150,32345,56425,35917,54975,39489c53525,42763,51460,45938,48781,48716c46101,51296,43011,53380,39510,54868c36009,56356,32364,57051,28575,57150c24786,57051,21141,56356,17640,54967c14139,53380,11049,51296,8369,48716c5690,45938,3625,42763,2175,39390c725,35917,0,32345,0,28575c0,24705,725,21034,2175,17562c3625,14089,5690,10914,8369,8334c11049,5655,14139,3572,17640,2183c21141,794,24786,0,28575,0x">
                  <v:stroke weight="0pt" endcap="flat" joinstyle="miter" miterlimit="4" on="false" color="#000000" opacity="0"/>
                  <v:fill on="true" color="#333333"/>
                </v:shape>
                <v:shape id="Shape 10356" style="position:absolute;width:571;height:571;left:0;top:7620;" coordsize="57150,57150" path="m28575,0c32364,0,36009,794,39510,2183c43011,3572,46101,5556,48781,8235c51460,10914,53525,13990,54975,17562c56425,21034,57150,24705,57150,28575c57150,32345,56425,35917,54975,39489c53525,42763,51460,45938,48781,48716c46101,51296,43011,53280,39510,54868c36009,56356,32364,57051,28575,57150c24786,57051,21141,56356,17640,54967c14139,53380,11049,51296,8369,48716c5690,45938,3625,42763,2175,39390c725,35917,0,32345,0,28575c0,24705,725,21034,2175,17562c3625,13990,5690,10914,8369,8235c11049,5556,14139,3473,17640,2084c21141,695,24786,0,28575,0x">
                  <v:stroke weight="0pt" endcap="flat" joinstyle="miter" miterlimit="4" on="false" color="#000000" opacity="0"/>
                  <v:fill on="true" color="#333333"/>
                </v:shape>
                <v:shape id="Shape 10358" style="position:absolute;width:571;height:571;left:0;top:9144;" coordsize="57150,57150" path="m28575,0c32364,0,36009,794,39510,2183c43011,3572,46101,5556,48781,8235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463c3625,13990,5690,10914,8369,8235c11049,5556,14139,3473,17640,2084c21141,695,24786,0,28575,0x">
                  <v:stroke weight="0pt" endcap="flat" joinstyle="miter" miterlimit="4" on="false" color="#000000" opacity="0"/>
                  <v:fill on="true" color="#333333"/>
                </v:shape>
                <v:shape id="Shape 10360" style="position:absolute;width:571;height:571;left:0;top:10668;" coordsize="57150,57150" path="m28575,0c32364,0,36009,794,39510,2183c43011,3572,46101,5655,48781,8334c51460,11013,53525,14089,54975,17562c56425,21034,57150,24805,57150,28575c57150,32345,56425,35917,54975,39489c53525,42962,51460,46038,48781,48716c46101,51395,43011,53479,39510,54967c36009,56356,32364,57051,28575,57150c24786,57051,21141,56356,17640,54967c14139,53479,11049,51395,8369,48716c5690,46038,3625,42962,2175,39489c725,35917,0,32345,0,28575c0,24805,725,21034,2175,17562c3625,14089,5690,11013,8369,8334c11049,5655,14139,3572,17640,2183c21141,794,24786,0,28575,0x">
                  <v:stroke weight="0pt" endcap="flat" joinstyle="miter" miterlimit="4" on="false" color="#000000" opacity="0"/>
                  <v:fill on="true" color="#333333"/>
                </v:shape>
                <v:shape id="Shape 10362" style="position:absolute;width:571;height:571;left:0;top:12192;" coordsize="57150,57150" path="m28575,0c32364,0,36009,794,39510,2183c43011,3572,46101,5655,48781,8334c51460,11013,53525,14089,54975,17562c56425,21034,57150,24805,57150,28575c57150,32345,56425,35917,54975,39489c53525,42962,51460,46038,48781,48716c46101,51395,43011,53479,39510,54868c36009,56356,32364,57051,28575,57150c24786,57051,21141,56356,17640,54868c14139,53479,11049,51395,8369,48716c5690,46038,3625,42962,2175,39489c725,35917,0,32345,0,28575c0,24805,725,21034,2175,17562c3625,14089,5690,11013,8369,8334c11049,5655,14139,3572,17640,2183c21141,794,24786,0,28575,0x">
                  <v:stroke weight="0pt" endcap="flat" joinstyle="miter" miterlimit="4" on="false" color="#000000" opacity="0"/>
                  <v:fill on="true" color="#333333"/>
                </v:shape>
                <v:shape id="Shape 10364" style="position:absolute;width:571;height:571;left:0;top:13716;" coordsize="57150,57150" path="m28575,0c32364,0,36009,695,39510,2084c43011,3572,46101,5655,48781,8334c51460,11013,53525,14089,54975,17562c56425,21034,57150,24805,57150,28575c57150,32345,56425,35917,54975,39489c53525,42962,51460,46038,48781,48716c46101,51395,43011,53479,39510,54868c36009,56356,32364,57051,28575,57150c24786,57051,21141,56356,17640,54868c14139,53479,11049,51395,8369,48716c5690,46038,3625,42962,2175,39489c725,35917,0,32345,0,28575c0,24805,725,21034,2175,17562c3625,14089,5690,11013,8369,8334c11049,5655,14139,3572,17640,2084c21141,695,24786,0,28575,0x">
                  <v:stroke weight="0pt" endcap="flat" joinstyle="miter" miterlimit="4" on="false" color="#000000" opacity="0"/>
                  <v:fill on="true" color="#333333"/>
                </v:shape>
                <v:shape id="Shape 10366" style="position:absolute;width:571;height:571;left:0;top:15240;" coordsize="57150,57150" path="m28575,0c32364,0,36009,695,39510,2084c43011,3572,46101,5655,48781,8334c51460,11013,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1013,8369,8334c11049,5655,14139,3572,17640,2084c21141,695,24786,0,28575,0x">
                  <v:stroke weight="0pt" endcap="flat" joinstyle="miter" miterlimit="4" on="false" color="#000000" opacity="0"/>
                  <v:fill on="true" color="#333333"/>
                </v:shape>
                <w10:wrap type="square"/>
              </v:group>
            </w:pict>
          </mc:Fallback>
        </mc:AlternateContent>
      </w:r>
      <w:r>
        <w:t>СН, включая правожелудочковые синдромы вследствие легочной гипертензии (ЛЭ, пневмония, легочное сердце).</w:t>
      </w:r>
    </w:p>
    <w:p w:rsidR="008E3F15" w:rsidRDefault="005F449A">
      <w:pPr>
        <w:spacing w:after="31"/>
        <w:ind w:left="347" w:right="15"/>
      </w:pPr>
      <w:r>
        <w:t>ОКС.</w:t>
      </w:r>
    </w:p>
    <w:p w:rsidR="008E3F15" w:rsidRDefault="005F449A">
      <w:pPr>
        <w:spacing w:after="31"/>
        <w:ind w:left="347" w:right="15"/>
      </w:pPr>
      <w:r>
        <w:t>Ишемия мио карда.</w:t>
      </w:r>
    </w:p>
    <w:p w:rsidR="008E3F15" w:rsidRDefault="005F449A">
      <w:pPr>
        <w:spacing w:after="31"/>
        <w:ind w:left="347" w:right="15"/>
      </w:pPr>
      <w:r>
        <w:t>Болезни мио карда: мио кардит, гипертрофия левого желудочка.</w:t>
      </w:r>
    </w:p>
    <w:p w:rsidR="008E3F15" w:rsidRDefault="005F449A">
      <w:pPr>
        <w:spacing w:after="31"/>
        <w:ind w:left="347" w:right="15"/>
      </w:pPr>
      <w:r>
        <w:t>Перикардит.</w:t>
      </w:r>
    </w:p>
    <w:p w:rsidR="008E3F15" w:rsidRDefault="005F449A">
      <w:pPr>
        <w:spacing w:after="31"/>
        <w:ind w:left="347" w:right="15"/>
      </w:pPr>
      <w:r>
        <w:t>Пороки сердца.</w:t>
      </w:r>
    </w:p>
    <w:p w:rsidR="008E3F15" w:rsidRDefault="005F449A">
      <w:pPr>
        <w:spacing w:after="31"/>
        <w:ind w:left="347" w:right="15"/>
      </w:pPr>
      <w:r>
        <w:t>Тахиаритмии.</w:t>
      </w:r>
    </w:p>
    <w:p w:rsidR="008E3F15" w:rsidRDefault="005F449A">
      <w:pPr>
        <w:spacing w:after="31"/>
        <w:ind w:left="347" w:right="15"/>
      </w:pPr>
      <w:r>
        <w:t>Электроимпульсная терапия.</w:t>
      </w:r>
    </w:p>
    <w:p w:rsidR="008E3F15" w:rsidRDefault="005F449A">
      <w:pPr>
        <w:spacing w:after="31"/>
        <w:ind w:left="347" w:right="15"/>
      </w:pPr>
      <w:r>
        <w:t>Операции на сердце.</w:t>
      </w:r>
    </w:p>
    <w:p w:rsidR="008E3F15" w:rsidRDefault="005F449A">
      <w:pPr>
        <w:spacing w:after="179"/>
        <w:ind w:left="347" w:right="15"/>
      </w:pPr>
      <w:r>
        <w:rPr>
          <w:i/>
        </w:rPr>
        <w:t>Несердечные причины:</w:t>
      </w:r>
      <w:r>
        <w:t xml:space="preserve"> старческий возраст, ишемический инсульт, субарахноидальное кровоизлияние, инфекция (сепсис, тяжелая пневмония), анемия, гипоксемия, выраженная дисфункция почек, цирроз печени, критические болезни, токсические/ метаб</w:t>
      </w:r>
      <w:r>
        <w:t>олические повреждения (интоксикация, химиотерапия рака).</w:t>
      </w:r>
    </w:p>
    <w:p w:rsidR="008E3F15" w:rsidRDefault="005F449A">
      <w:pPr>
        <w:ind w:left="2" w:right="15"/>
      </w:pPr>
      <w:r>
        <w:t>Соответственно, натрийуретические пептиды используются главным образом для исключения СН.</w:t>
      </w:r>
    </w:p>
    <w:p w:rsidR="008E3F15" w:rsidRDefault="005F449A">
      <w:pPr>
        <w:ind w:left="2" w:right="15"/>
      </w:pPr>
      <w:r>
        <w:t>У 5% пациентов, госпитализированных с СН, определяется низкий уровень натрийуретических пептидов, чаще при ожирении, правожелудочковой СН, тяжелой декомпенсации на терминальной стадии болезни сердца (Khalid U. et al., 2017; Bachmann K. et al., 2021). Иссле</w:t>
      </w:r>
      <w:r>
        <w:t>дования повторных тестов натрийуретического пептида для подбора лечения показали противоречивые результаты.</w:t>
      </w:r>
    </w:p>
    <w:p w:rsidR="008E3F15" w:rsidRDefault="005F449A">
      <w:pPr>
        <w:ind w:left="2" w:right="15"/>
      </w:pPr>
      <w:r>
        <w:t>Понижение уровня натрийуретических пептидов перед выпиской (BNP до 250 пг/мл или NTproBNP &gt;30%) ассоциируется со снижением смертности и повторных го</w:t>
      </w:r>
      <w:r>
        <w:t>спитализаций (McQuade C. et al., 2017).</w:t>
      </w:r>
    </w:p>
    <w:p w:rsidR="008E3F15" w:rsidRDefault="005F449A">
      <w:pPr>
        <w:ind w:left="2" w:right="15"/>
      </w:pPr>
      <w:r>
        <w:rPr>
          <w:b/>
        </w:rPr>
        <w:t>Эхокардиография.</w:t>
      </w:r>
      <w:r>
        <w:t xml:space="preserve"> В большом исследовании RELAX-AHF-2 среди пациентов с острой СН при оценке эхокардиографии у 2,5% была выявлена супернормальная (&gt;65%), у 23% — сохраненная (50–65%), у 22% — пониженная (41–49%), у 52%</w:t>
      </w:r>
      <w:r>
        <w:t xml:space="preserve"> — низкая (&lt;40%) ФВЛЖ (van Essen B. et al., 2023). Общая смертность не различалась существенно в группах с разной ФВЛЖ. </w:t>
      </w:r>
      <w:r>
        <w:rPr>
          <w:b/>
        </w:rPr>
        <w:t>Другие тесты.</w:t>
      </w:r>
      <w:r>
        <w:t xml:space="preserve"> Острая СН, включая декомпенсацию, может быть связана с ИМ, диагностика которого затруднена феноменом повышения уровня троп</w:t>
      </w:r>
      <w:r>
        <w:t>онина при дисфункции левого желудочка. Диагноз ИМ следует рассмотреть при быстром появлении тяжелой СН, ангинозном дискомфорте и болях в груди, характерных изменениях ЭКГ, высоком уровне тропонинов, а также оценке коронарного кровообращения.</w:t>
      </w:r>
    </w:p>
    <w:p w:rsidR="008E3F15" w:rsidRDefault="005F449A">
      <w:pPr>
        <w:ind w:left="2" w:right="15"/>
      </w:pPr>
      <w:r>
        <w:t>ЛЭ обычно хара</w:t>
      </w:r>
      <w:r>
        <w:t>ктеризуется острой одышкой, которая не облегчается в ортопноэ, преобладанием дисфункции правого желудочка, тромбоза глубоких вен с повышением Dдимера.</w:t>
      </w:r>
    </w:p>
    <w:p w:rsidR="008E3F15" w:rsidRDefault="005F449A">
      <w:pPr>
        <w:spacing w:after="359"/>
        <w:ind w:left="2" w:right="15"/>
      </w:pPr>
      <w:r>
        <w:t>При наличии факторов риска ХБП целесообразно оценить уровень креатинина и рассчитать скорость клубочковой</w:t>
      </w:r>
      <w:r>
        <w:t xml:space="preserve"> фильтрации (СКФ)/клиренс креатинина для коррекции дозы лекарственных препаратов.</w:t>
      </w:r>
    </w:p>
    <w:p w:rsidR="008E3F15" w:rsidRDefault="005F449A">
      <w:pPr>
        <w:pStyle w:val="Heading1"/>
        <w:ind w:left="2"/>
      </w:pPr>
      <w:r>
        <w:t>Часть I. Сердечно-сосудистые болезни</w:t>
      </w:r>
    </w:p>
    <w:p w:rsidR="008E3F15" w:rsidRDefault="005F449A">
      <w:pPr>
        <w:ind w:left="2" w:right="15"/>
      </w:pPr>
      <w:r>
        <w:t>У пациентов с острой одышкой можно использовать прикроватную сонографию легких с оценкой В-линий, которая показала более высокую чувствит</w:t>
      </w:r>
      <w:r>
        <w:t>ельность и специфичность для диагностики легочного отека, чем традиционная рентгенография грудной клетки (Chiu L. et al., 2022).</w:t>
      </w:r>
    </w:p>
    <w:p w:rsidR="008E3F15" w:rsidRDefault="005F449A">
      <w:pPr>
        <w:spacing w:after="359"/>
        <w:ind w:left="2" w:right="384"/>
      </w:pPr>
      <w:r>
        <w:rPr>
          <w:b/>
        </w:rPr>
        <w:t>Прогноз.</w:t>
      </w:r>
      <w:r>
        <w:t xml:space="preserve"> Для оптимальной сортировки пациентов с острой СН в отделении неотложной помощи предложена шкала EHMRG, а целью оценки </w:t>
      </w:r>
      <w:r>
        <w:t>госпитальной смертности может быть полезна простая шкала GWTG-HF. Привлекательна шкала EFFECT, которая позволяет прогнозировать 30-дневную и годовую смертность у пациентов, госпитализированных с декомпенсацией СН.</w:t>
      </w:r>
    </w:p>
    <w:p w:rsidR="008E3F15" w:rsidRDefault="005F449A">
      <w:pPr>
        <w:pStyle w:val="Heading1"/>
        <w:ind w:left="2"/>
      </w:pPr>
      <w:r>
        <w:t>Часть I. Сердечно-сосудистые болезни</w:t>
      </w:r>
    </w:p>
    <w:p w:rsidR="008E3F15" w:rsidRDefault="005F449A">
      <w:pPr>
        <w:spacing w:after="31"/>
        <w:ind w:left="2" w:right="15"/>
      </w:pPr>
      <w:r>
        <w:t>Лечен</w:t>
      </w:r>
      <w:r>
        <w:t>ие</w:t>
      </w:r>
    </w:p>
    <w:p w:rsidR="008E3F15" w:rsidRDefault="005F449A">
      <w:pPr>
        <w:ind w:left="2" w:right="478"/>
      </w:pPr>
      <w:r>
        <w:t>В период декомпенсации СН проводят активное лечение, направленное на выведение избытка воды и создание благоприятных условий для функционирования сердечнососудистой системы. Не следует торопиться с выпиской, а добиваться полной и стойкой компенсации сос</w:t>
      </w:r>
      <w:r>
        <w:t>тояния, особенно при наличии сложностей амбулаторного наблюдения и лечения.</w:t>
      </w:r>
    </w:p>
    <w:p w:rsidR="008E3F15" w:rsidRDefault="005F449A">
      <w:pPr>
        <w:ind w:left="2" w:right="110"/>
      </w:pPr>
      <w:r>
        <w:t>Рекомендуют ограничение соли до 5–8 г/сут (HART, ACCF/AHA) и жидкости до 1,5–2 л/сут. Следует отметить отсутствие эффекта жесткого ограничения соли и воды. Например, при острой дек</w:t>
      </w:r>
      <w:r>
        <w:t>омпенсации СН ограничение воды до 800 мл/сут и соли до 2 г/сут не уменьшило застой и массу тела, но усилило жажду (Aliti G. et al., 2013). Сдержанность в отношении соли обусловлена также известной связью гипонатриемии с повышением смертности. Терапию фурос</w:t>
      </w:r>
      <w:r>
        <w:t>емидом нужно начать как можно раньше, что может снизить смертность пациентов, госпитализированных с острой СН (REALITY-AHF). Не было найдено существенных различий между болюсным и инфузионным режимами назначения фуросемида (Wu M. et al., 2014). Если пациен</w:t>
      </w:r>
      <w:r>
        <w:t>т не принимал диуретиков, то для быстрого устранения застоя обычно назначают 20–40 мг фуросемида, а если принимал — ту же дозу внутривенно (см.</w:t>
      </w:r>
      <w:r>
        <w:rPr>
          <w:b/>
        </w:rPr>
        <w:t xml:space="preserve"> рис. 7.2</w:t>
      </w:r>
      <w:r>
        <w:t>).</w:t>
      </w:r>
    </w:p>
    <w:p w:rsidR="008E3F15" w:rsidRDefault="005F449A">
      <w:pPr>
        <w:ind w:left="2" w:right="15"/>
      </w:pPr>
      <w:r>
        <w:t>Оптимальная диуретическая терапия должна давать адекватный диурез, обычно &gt;3 л/сут (</w:t>
      </w:r>
      <w:r>
        <w:rPr>
          <w:b/>
        </w:rPr>
        <w:t>рис. 7.3</w:t>
      </w:r>
      <w:r>
        <w:t>). Всасыв</w:t>
      </w:r>
      <w:r>
        <w:t>ание перорального фуросемида варьирует в широком диапазоне, и, соответственно, ответ на одинаковую дозу препарата у пациентов может существенно различаться.</w:t>
      </w:r>
    </w:p>
    <w:p w:rsidR="008E3F15" w:rsidRDefault="005F449A">
      <w:pPr>
        <w:spacing w:after="65" w:line="259" w:lineRule="auto"/>
        <w:ind w:left="7" w:right="0" w:firstLine="0"/>
      </w:pPr>
      <w:r>
        <w:rPr>
          <w:noProof/>
        </w:rPr>
        <w:drawing>
          <wp:inline distT="0" distB="0" distL="0" distR="0">
            <wp:extent cx="5057775" cy="3752850"/>
            <wp:effectExtent l="0" t="0" r="0" b="0"/>
            <wp:docPr id="10470" name="Picture 10470"/>
            <wp:cNvGraphicFramePr/>
            <a:graphic xmlns:a="http://schemas.openxmlformats.org/drawingml/2006/main">
              <a:graphicData uri="http://schemas.openxmlformats.org/drawingml/2006/picture">
                <pic:pic xmlns:pic="http://schemas.openxmlformats.org/drawingml/2006/picture">
                  <pic:nvPicPr>
                    <pic:cNvPr id="10470" name="Picture 10470"/>
                    <pic:cNvPicPr/>
                  </pic:nvPicPr>
                  <pic:blipFill>
                    <a:blip r:embed="rId106"/>
                    <a:stretch>
                      <a:fillRect/>
                    </a:stretch>
                  </pic:blipFill>
                  <pic:spPr>
                    <a:xfrm>
                      <a:off x="0" y="0"/>
                      <a:ext cx="5057775" cy="3752850"/>
                    </a:xfrm>
                    <a:prstGeom prst="rect">
                      <a:avLst/>
                    </a:prstGeom>
                  </pic:spPr>
                </pic:pic>
              </a:graphicData>
            </a:graphic>
          </wp:inline>
        </w:drawing>
      </w:r>
    </w:p>
    <w:p w:rsidR="008E3F15" w:rsidRDefault="005F449A">
      <w:pPr>
        <w:spacing w:after="31"/>
        <w:ind w:left="2" w:right="15"/>
      </w:pPr>
      <w:r>
        <w:rPr>
          <w:b/>
        </w:rPr>
        <w:t xml:space="preserve">Рис. 7.3. </w:t>
      </w:r>
      <w:r>
        <w:t>Алгоритм диуретической терапии в первый день (ESC)</w:t>
      </w:r>
    </w:p>
    <w:p w:rsidR="008E3F15" w:rsidRDefault="005F449A">
      <w:pPr>
        <w:spacing w:after="179"/>
        <w:ind w:left="2" w:right="135"/>
      </w:pPr>
      <w:r>
        <w:t>В рандомизированном исследовании TRA</w:t>
      </w:r>
      <w:r>
        <w:t>NSFORM-HF использование торасемида не снизило риск смерти и числа госпитализаций в течение года по сравнению с фуросемидом. Для преодоления рефрактерности к диуретикам можно использовать следующие подходы.</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794432" behindDoc="0" locked="0" layoutInCell="1" allowOverlap="1">
                <wp:simplePos x="0" y="0"/>
                <wp:positionH relativeFrom="column">
                  <wp:posOffset>214164</wp:posOffset>
                </wp:positionH>
                <wp:positionV relativeFrom="paragraph">
                  <wp:posOffset>34925</wp:posOffset>
                </wp:positionV>
                <wp:extent cx="57150" cy="1276350"/>
                <wp:effectExtent l="0" t="0" r="0" b="0"/>
                <wp:wrapSquare wrapText="bothSides"/>
                <wp:docPr id="293208" name="Group 293208"/>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0476" name="Shape 1047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79" name="Shape 1047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82" name="Shape 10482"/>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84" name="Shape 10484"/>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86" name="Shape 10486"/>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88" name="Shape 10488"/>
                        <wps:cNvSpPr/>
                        <wps:spPr>
                          <a:xfrm>
                            <a:off x="0" y="1066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490" name="Shape 10490"/>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59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5938"/>
                                  <a:pt x="3625" y="42863"/>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3208" style="width:4.5pt;height:100.5pt;position:absolute;mso-position-horizontal-relative:text;mso-position-horizontal:absolute;margin-left:16.8633pt;mso-position-vertical-relative:text;margin-top:2.75pt;" coordsize="571,12763">
                <v:shape id="Shape 10476" style="position:absolute;width:571;height:571;left:0;top:0;" coordsize="57150,57150" path="m28575,0c32364,0,36009,695,39510,2084c43011,3473,46101,5556,48781,8235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235c11049,5556,14139,3473,17640,2084c21141,695,24786,0,28575,0x">
                  <v:stroke weight="0pt" endcap="flat" joinstyle="miter" miterlimit="10" on="false" color="#000000" opacity="0"/>
                  <v:fill on="true" color="#333333"/>
                </v:shape>
                <v:shape id="Shape 10479" style="position:absolute;width:571;height:571;left:0;top:3048;"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235c11049,5556,14139,3473,17640,2084c21141,695,24786,0,28575,0x">
                  <v:stroke weight="0pt" endcap="flat" joinstyle="miter" miterlimit="10" on="false" color="#000000" opacity="0"/>
                  <v:fill on="true" color="#333333"/>
                </v:shape>
                <v:shape id="Shape 10482" style="position:absolute;width:571;height:571;left:0;top:6096;" coordsize="57150,57150" path="m28575,0c32364,0,36009,794,39510,2183c43011,3572,46101,5655,48781,8334c51460,10914,53525,14089,54975,17562c56425,21034,57150,24805,57150,28575c57150,32345,56425,35917,54975,39489c53525,42962,51460,46038,48781,48716c46101,51395,43011,53479,39510,54868c36009,56356,32364,57051,28575,57150c24786,57051,21141,56356,17640,54967c14139,53479,11049,51395,8369,48716c5690,46038,3625,42863,2175,39390c725,35917,0,32345,0,28575c0,24805,725,21034,2175,17562c3625,14089,5690,10914,8369,8334c11049,5655,14139,3572,17640,2183c21141,794,24786,0,28575,0x">
                  <v:stroke weight="0pt" endcap="flat" joinstyle="miter" miterlimit="10" on="false" color="#000000" opacity="0"/>
                  <v:fill on="true" color="#333333"/>
                </v:shape>
                <v:shape id="Shape 10484" style="position:absolute;width:571;height:571;left:0;top:7620;" coordsize="57150,57150" path="m28575,0c32364,0,36009,794,39510,2183c43011,3572,46101,5655,48781,8334c51460,10914,53525,14089,54975,17562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562c3625,14089,5690,10914,8369,8334c11049,5655,14139,3572,17640,2183c21141,794,24786,0,28575,0x">
                  <v:stroke weight="0pt" endcap="flat" joinstyle="miter" miterlimit="10" on="false" color="#000000" opacity="0"/>
                  <v:fill on="true" color="#333333"/>
                </v:shape>
                <v:shape id="Shape 10486" style="position:absolute;width:571;height:571;left:0;top:9144;" coordsize="57150,57150" path="m28575,0c32364,0,36009,794,39510,2183c43011,3572,46101,5655,48781,8334c51460,11013,53525,14188,54975,17661c56425,21134,57150,24805,57150,28575c57150,32345,56425,35917,54975,39489c53525,42962,51460,46038,48781,48716c46101,51395,43011,53479,39510,54868c36009,56356,32364,57051,28575,57150c24786,57051,21141,56356,17640,54967c14139,53479,11049,51395,8369,48716c5690,46038,3625,42863,2175,39390c725,35917,0,32345,0,28575c0,24805,725,21134,2175,17661c3625,14188,5690,11013,8369,8334c11049,5655,14139,3572,17640,2183c21141,794,24786,0,28575,0x">
                  <v:stroke weight="0pt" endcap="flat" joinstyle="miter" miterlimit="10" on="false" color="#000000" opacity="0"/>
                  <v:fill on="true" color="#333333"/>
                </v:shape>
                <v:shape id="Shape 10488" style="position:absolute;width:571;height:571;left:0;top:10668;" coordsize="57150,57150" path="m28575,0c32364,0,36009,794,39510,2183c43011,3572,46101,5655,48781,8334c51460,10914,53525,14089,54975,17562c56425,21034,57150,24705,57150,28575c57150,32345,56425,35917,54975,39489c53525,42962,51460,46038,48781,48716c46101,51296,43011,53380,39510,54868c36009,56356,32364,57051,28575,57150c24786,57051,21141,56356,17640,54967c14139,53380,11049,51296,8369,48716c5690,46038,3625,42962,2175,39489c725,35917,0,32345,0,28575c0,24705,725,21034,2175,17562c3625,14089,5690,10914,8369,8334c11049,5655,14139,3572,17640,2183c21141,794,24786,0,28575,0x">
                  <v:stroke weight="0pt" endcap="flat" joinstyle="miter" miterlimit="10" on="false" color="#000000" opacity="0"/>
                  <v:fill on="true" color="#333333"/>
                </v:shape>
                <v:shape id="Shape 10490" style="position:absolute;width:571;height:571;left:0;top:12192;" coordsize="57150,57150" path="m28575,0c32364,0,36009,794,39510,2183c43011,3572,46101,5655,48781,8334c51460,10914,53525,14089,54975,17562c56425,21034,57150,24705,57150,28575c57150,32345,56425,35917,54975,39489c53525,42863,51460,45938,48781,48716c46101,51395,43011,53479,39510,54967c36009,56356,32364,57051,28575,57150c24786,57051,21141,56356,17640,54967c14139,53479,11049,51395,8369,48716c5690,45938,3625,42863,2175,39489c725,35917,0,32345,0,28575c0,24705,725,21034,2175,17562c3625,14089,5690,10914,8369,8334c11049,5655,14139,3572,17640,2183c21141,794,24786,0,28575,0x">
                  <v:stroke weight="0pt" endcap="flat" joinstyle="miter" miterlimit="10" on="false" color="#000000" opacity="0"/>
                  <v:fill on="true" color="#333333"/>
                </v:shape>
                <w10:wrap type="square"/>
              </v:group>
            </w:pict>
          </mc:Fallback>
        </mc:AlternateContent>
      </w:r>
      <w:r>
        <w:t>Повышение дозы (фуросемид до 600 мг/сут, до 1000 мг/сут при выраженной дисфункции почек, торасемид до 200 мг/сут) и частоты приема диуретиков. Внутривенное (повторные болюсы, инфузия фуросемида 10–40 мг/ч) введение диуретиков.</w:t>
      </w:r>
    </w:p>
    <w:p w:rsidR="008E3F15" w:rsidRDefault="005F449A">
      <w:pPr>
        <w:ind w:left="347" w:right="104"/>
      </w:pPr>
      <w:r>
        <w:t>Комбинация диуретиков (петлев</w:t>
      </w:r>
      <w:r>
        <w:t>ые, тиазиды, триамтерен, аМКР, иНГЛТ-2). Ацетазоламид 500 мг внутривенно.</w:t>
      </w:r>
    </w:p>
    <w:p w:rsidR="008E3F15" w:rsidRDefault="005F449A">
      <w:pPr>
        <w:spacing w:after="31"/>
        <w:ind w:left="347" w:right="15"/>
      </w:pPr>
      <w:r>
        <w:t>Допамин.</w:t>
      </w:r>
    </w:p>
    <w:p w:rsidR="008E3F15" w:rsidRDefault="005F449A">
      <w:pPr>
        <w:spacing w:after="31"/>
        <w:ind w:left="347" w:right="15"/>
      </w:pPr>
      <w:r>
        <w:t>Снижение дозы иАПФ.</w:t>
      </w:r>
    </w:p>
    <w:p w:rsidR="008E3F15" w:rsidRDefault="005F449A">
      <w:pPr>
        <w:spacing w:after="165"/>
        <w:ind w:left="347" w:right="15"/>
      </w:pPr>
      <w:r>
        <w:t>Ограничение НПВП, в том числе и селективных.</w:t>
      </w:r>
    </w:p>
    <w:p w:rsidR="008E3F15" w:rsidRDefault="005F449A">
      <w:pPr>
        <w:ind w:left="2" w:right="15"/>
      </w:pPr>
      <w:r>
        <w:t>Добавление тиазидовых диуретиков к петлевым заметно увеличивает диуретический ответ без существенного возрас</w:t>
      </w:r>
      <w:r>
        <w:t>тания частоты гипокалиемии (CLOROTIC).</w:t>
      </w:r>
    </w:p>
    <w:p w:rsidR="008E3F15" w:rsidRDefault="005F449A">
      <w:pPr>
        <w:ind w:left="2" w:right="680"/>
      </w:pPr>
      <w:r>
        <w:t>Как показывают клинические наблюдения, высокие дозы спиронолактона (титровать до 100 мг 2 раза под контролем оценки калия в плазме) могут увеличить диурез. В то же время в исследовании ATHENA-HF прием спиронолактона в дозе 100 мг в течение 4 сут не дал поз</w:t>
      </w:r>
      <w:r>
        <w:t>итивных результатов.</w:t>
      </w:r>
    </w:p>
    <w:p w:rsidR="008E3F15" w:rsidRDefault="005F449A">
      <w:pPr>
        <w:ind w:left="2" w:right="15"/>
      </w:pPr>
      <w:r>
        <w:t>Внутривенное введение 500 мг ацетазоламида у пациентов с острой СН и перегрузкой объемом (отеки, плевральный выпот, асцит) привело к уменьшению застоя, усилению ответа на петлевые диуретики и сокращению госпитализации в рандомизированн</w:t>
      </w:r>
      <w:r>
        <w:t>ом исследовании ADVOR.</w:t>
      </w:r>
    </w:p>
    <w:p w:rsidR="008E3F15" w:rsidRDefault="005F449A">
      <w:pPr>
        <w:ind w:left="2" w:right="479"/>
      </w:pPr>
      <w:r>
        <w:t xml:space="preserve">У пациентов с отеком легких активная вазодилатация (болюсы изосорбида динитрата 3 мг через 5 мин после 40 мг фуросемида) снизила потребность механической вентиляции и частоту ИМ по сравнению с активным диурезом (болюсы фуросемида по </w:t>
      </w:r>
      <w:r>
        <w:t>80 мг через 15 мин + изосорбида динитрат 1 мг/ч с увеличением скорости на 1 мг/ч каждые 10 мин)</w:t>
      </w:r>
    </w:p>
    <w:p w:rsidR="008E3F15" w:rsidRDefault="005F449A">
      <w:pPr>
        <w:spacing w:after="31"/>
        <w:ind w:left="2" w:right="15"/>
      </w:pPr>
      <w:r>
        <w:t>(Cotter G. et al., 1998).</w:t>
      </w:r>
    </w:p>
    <w:p w:rsidR="008E3F15" w:rsidRDefault="005F449A">
      <w:pPr>
        <w:ind w:left="2" w:right="15"/>
      </w:pPr>
      <w:r>
        <w:t>Однако широкое использование активной ранней вазодилатации при менее тяжелой острой СН, включая быстрое увеличение дозы иАПФ/БРА и тра</w:t>
      </w:r>
      <w:r>
        <w:t>нсдермальные нитраты, не повлияло на смертность и регоспитализации в течение полугода (GALACTIC).</w:t>
      </w:r>
    </w:p>
    <w:p w:rsidR="008E3F15" w:rsidRDefault="005F449A">
      <w:pPr>
        <w:ind w:left="2" w:right="15"/>
      </w:pPr>
      <w:r>
        <w:t>Важно титровать эналаприл (меньше изучены другие иАПФ и БРА) до максимально переносимых доз, не допуская симптомной гипотензии (АДс &lt;90 мм рт.ст.).</w:t>
      </w:r>
    </w:p>
    <w:p w:rsidR="008E3F15" w:rsidRDefault="005F449A">
      <w:pPr>
        <w:ind w:left="2" w:right="15"/>
      </w:pPr>
      <w:r>
        <w:t>У пациенто</w:t>
      </w:r>
      <w:r>
        <w:t>в, госпитализированных с острой декомпенсацией СНнФВ, после стабилизации состояния лечение сакубитрилом + валсартаном в большей степени снизило уровень NTproBNP, а также тропонина, по сравнению с эналаприлом при сопоставимой частоте побочных эффектов в неб</w:t>
      </w:r>
      <w:r>
        <w:t>ольшом исследовании PIONEER-HF. Клиническая эффективность сакубитрила + валсартана также может быть выше эналаприла.</w:t>
      </w:r>
    </w:p>
    <w:p w:rsidR="008E3F15" w:rsidRDefault="005F449A">
      <w:pPr>
        <w:ind w:left="2" w:right="322"/>
      </w:pPr>
      <w:r>
        <w:t>Исследования пациентов, госпитализированных с ухудшением СН, показали эффективность иНГЛТ-2, которые уменьшали симптомы, повышали диурез, ф</w:t>
      </w:r>
      <w:r>
        <w:t>изическую активность и качество жизни (SOLOIST-WHF; EMPA-RESPONSE-AHF; EMPULSE).</w:t>
      </w:r>
    </w:p>
    <w:p w:rsidR="008E3F15" w:rsidRDefault="005F449A">
      <w:pPr>
        <w:ind w:left="2" w:right="15"/>
      </w:pPr>
      <w:r>
        <w:t>У пациентов с ухудшением СН и ФВЛЖ &lt;45% прием вазодилататора верицигуата, стимулирующего растворимую гуанилатциклазу, снизил на 10% частоту сердечно-сосудистой смерти и госпит</w:t>
      </w:r>
      <w:r>
        <w:t>ализаций в исследовании VICTORIA.</w:t>
      </w:r>
    </w:p>
    <w:p w:rsidR="008E3F15" w:rsidRDefault="005F449A">
      <w:pPr>
        <w:ind w:left="2" w:right="15"/>
      </w:pPr>
      <w:r>
        <w:t>Морфин уменьшает одышку и тревогу, однако сопровождается повышением частоты механической вентиляции легких и смертности (Caspi O. et al., 2019).</w:t>
      </w:r>
    </w:p>
    <w:p w:rsidR="008E3F15" w:rsidRDefault="005F449A">
      <w:pPr>
        <w:ind w:left="2" w:right="15"/>
      </w:pPr>
      <w:r>
        <w:t>При выраженной гипонатриемии, связанной с СН, рекомендуют ограничить прием жи</w:t>
      </w:r>
      <w:r>
        <w:t>дкости и ввести толваптан</w:t>
      </w:r>
      <w:r>
        <w:rPr>
          <w:rFonts w:ascii="Times New Roman" w:eastAsia="Times New Roman" w:hAnsi="Times New Roman" w:cs="Times New Roman"/>
          <w:sz w:val="31"/>
          <w:vertAlign w:val="superscript"/>
        </w:rPr>
        <w:t>℘</w:t>
      </w:r>
      <w:r>
        <w:t>.</w:t>
      </w:r>
    </w:p>
    <w:p w:rsidR="008E3F15" w:rsidRDefault="005F449A">
      <w:pPr>
        <w:ind w:left="2" w:right="15"/>
      </w:pPr>
      <w:r>
        <w:t>Можно продолжить прием β-адреноблокаторов, но нежелательно назначать впервые в связи с отрицательным инотропным эффектом препаратов.</w:t>
      </w:r>
    </w:p>
    <w:p w:rsidR="008E3F15" w:rsidRDefault="005F449A">
      <w:pPr>
        <w:spacing w:after="359"/>
        <w:ind w:left="2" w:right="15"/>
      </w:pPr>
      <w:r>
        <w:t>Профилактика тромбоэмболий: п/к гепарин 5000 ед дважды, далтепарин натрия 5000 ед, эноксапарин натрия 40 мг, фондапаринукс натрия 2,5 мг однократно.</w:t>
      </w:r>
    </w:p>
    <w:p w:rsidR="008E3F15" w:rsidRDefault="005F449A">
      <w:pPr>
        <w:pStyle w:val="Heading1"/>
        <w:ind w:left="2"/>
      </w:pPr>
      <w:r>
        <w:t>Часть I. Сердечно-сосудистые болезни</w:t>
      </w:r>
    </w:p>
    <w:p w:rsidR="008E3F15" w:rsidRDefault="005F449A">
      <w:pPr>
        <w:spacing w:after="359"/>
        <w:ind w:left="2" w:right="15"/>
      </w:pPr>
      <w:r>
        <w:t>Важно подробно расписать рекомендации по амбулаторному ведению в выпис</w:t>
      </w:r>
      <w:r>
        <w:t>ке из истории болезни для пациента и врачей. После выписки пациенту с компенсированной СН полезно посетить врача в поликлинике.</w:t>
      </w:r>
    </w:p>
    <w:p w:rsidR="008E3F15" w:rsidRDefault="005F449A">
      <w:pPr>
        <w:pStyle w:val="Heading1"/>
        <w:ind w:left="2"/>
      </w:pPr>
      <w:r>
        <w:t>Часть I. Сердечно-сосудистые болезни</w:t>
      </w:r>
    </w:p>
    <w:p w:rsidR="008E3F15" w:rsidRDefault="005F449A">
      <w:pPr>
        <w:spacing w:after="179"/>
        <w:ind w:left="2" w:right="3549"/>
      </w:pPr>
      <w:r>
        <w:t xml:space="preserve">Глава 8. Сердечная недостаточность хроническая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95456" behindDoc="0" locked="0" layoutInCell="1" allowOverlap="1">
                <wp:simplePos x="0" y="0"/>
                <wp:positionH relativeFrom="column">
                  <wp:posOffset>214164</wp:posOffset>
                </wp:positionH>
                <wp:positionV relativeFrom="paragraph">
                  <wp:posOffset>34925</wp:posOffset>
                </wp:positionV>
                <wp:extent cx="57150" cy="1733550"/>
                <wp:effectExtent l="0" t="0" r="0" b="0"/>
                <wp:wrapSquare wrapText="bothSides"/>
                <wp:docPr id="292232" name="Group 292232"/>
                <wp:cNvGraphicFramePr/>
                <a:graphic xmlns:a="http://schemas.openxmlformats.org/drawingml/2006/main">
                  <a:graphicData uri="http://schemas.microsoft.com/office/word/2010/wordprocessingGroup">
                    <wpg:wgp>
                      <wpg:cNvGrpSpPr/>
                      <wpg:grpSpPr>
                        <a:xfrm>
                          <a:off x="0" y="0"/>
                          <a:ext cx="57150" cy="1733550"/>
                          <a:chOff x="0" y="0"/>
                          <a:chExt cx="57150" cy="1733550"/>
                        </a:xfrm>
                      </wpg:grpSpPr>
                      <wps:wsp>
                        <wps:cNvPr id="10554" name="Shape 1055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345"/>
                                  <a:pt x="56425" y="36016"/>
                                  <a:pt x="54975" y="39489"/>
                                </a:cubicBezTo>
                                <a:cubicBezTo>
                                  <a:pt x="53525" y="43061"/>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56" name="Shape 1055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345"/>
                                  <a:pt x="56425" y="36016"/>
                                  <a:pt x="54975" y="39489"/>
                                </a:cubicBezTo>
                                <a:cubicBezTo>
                                  <a:pt x="53525" y="43061"/>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58" name="Shape 1055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489"/>
                                </a:cubicBezTo>
                                <a:cubicBezTo>
                                  <a:pt x="725" y="35917"/>
                                  <a:pt x="0" y="32345"/>
                                  <a:pt x="0" y="28575"/>
                                </a:cubicBezTo>
                                <a:cubicBezTo>
                                  <a:pt x="0" y="24705"/>
                                  <a:pt x="725" y="21034"/>
                                  <a:pt x="2175" y="17562"/>
                                </a:cubicBezTo>
                                <a:cubicBezTo>
                                  <a:pt x="3625" y="14089"/>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60" name="Shape 1056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562"/>
                                </a:cubicBezTo>
                                <a:cubicBezTo>
                                  <a:pt x="3625" y="14089"/>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62" name="Shape 10562"/>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64" name="Shape 10564"/>
                        <wps:cNvSpPr/>
                        <wps:spPr>
                          <a:xfrm>
                            <a:off x="0" y="7620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66" name="Shape 10566"/>
                        <wps:cNvSpPr/>
                        <wps:spPr>
                          <a:xfrm>
                            <a:off x="0" y="9144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868"/>
                                </a:cubicBezTo>
                                <a:cubicBezTo>
                                  <a:pt x="36009" y="56356"/>
                                  <a:pt x="32364" y="57051"/>
                                  <a:pt x="28575" y="57150"/>
                                </a:cubicBezTo>
                                <a:cubicBezTo>
                                  <a:pt x="24786" y="57051"/>
                                  <a:pt x="21141" y="56356"/>
                                  <a:pt x="17640" y="54868"/>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68" name="Shape 10568"/>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356"/>
                                  <a:pt x="32364" y="57051"/>
                                  <a:pt x="28575" y="57150"/>
                                </a:cubicBezTo>
                                <a:cubicBezTo>
                                  <a:pt x="24786" y="57051"/>
                                  <a:pt x="21141" y="56356"/>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70" name="Shape 10570"/>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73" name="Shape 10573"/>
                        <wps:cNvSpPr/>
                        <wps:spPr>
                          <a:xfrm>
                            <a:off x="0" y="15240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75" name="Shape 10575"/>
                        <wps:cNvSpPr/>
                        <wps:spPr>
                          <a:xfrm>
                            <a:off x="0" y="1676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2232" style="width:4.5pt;height:136.5pt;position:absolute;mso-position-horizontal-relative:text;mso-position-horizontal:absolute;margin-left:16.8633pt;mso-position-vertical-relative:text;margin-top:2.75pt;" coordsize="571,17335">
                <v:shape id="Shape 10554" style="position:absolute;width:571;height:571;left:0;top:0;" coordsize="57150,57150" path="m28575,0c32364,0,36009,695,39510,2084c43011,3473,46101,5556,48781,8334c51460,10914,53525,14089,54975,17562c56425,21034,57150,24705,57150,28575c57150,32345,56425,36016,54975,39489c53525,43061,51460,46038,48781,48716c46101,51395,43011,53479,39510,54967c36009,56356,32364,57051,28575,57150c24786,57051,21141,56356,17640,54967c14139,53479,11049,51395,8369,48716c5690,46038,3625,42962,2175,39489c725,35917,0,32345,0,28575c0,24705,725,21034,2175,17562c3625,14089,5690,10914,8369,8334c11049,5556,14139,3473,17640,2084c21141,695,24786,0,28575,0x">
                  <v:stroke weight="0pt" endcap="flat" joinstyle="miter" miterlimit="10" on="false" color="#000000" opacity="0"/>
                  <v:fill on="true" color="#333333"/>
                </v:shape>
                <v:shape id="Shape 10556" style="position:absolute;width:571;height:571;left:0;top:1524;" coordsize="57150,57150" path="m28575,0c32364,0,36009,695,39510,2084c43011,3473,46101,5556,48781,8235c51460,10914,53525,14089,54975,17562c56425,21034,57150,24705,57150,28575c57150,32345,56425,36016,54975,39489c53525,43061,51460,46038,48781,48716c46101,51395,43011,53479,39510,54967c36009,56356,32364,57051,28575,57150c24786,57051,21141,56356,17640,54967c14139,53479,11049,51395,8369,48716c5690,46038,3625,42962,2175,39489c725,35917,0,32345,0,28575c0,24705,725,21034,2175,17562c3625,14089,5690,10914,8369,8235c11049,5556,14139,3473,17640,2084c21141,695,24786,0,28575,0x">
                  <v:stroke weight="0pt" endcap="flat" joinstyle="miter" miterlimit="10" on="false" color="#000000" opacity="0"/>
                  <v:fill on="true" color="#333333"/>
                </v:shape>
                <v:shape id="Shape 10558" style="position:absolute;width:571;height:571;left:0;top:3048;" coordsize="57150,57150" path="m28575,0c32364,0,36009,695,39510,2084c43011,3473,46101,5556,48781,8235c51460,10914,53525,14089,54975,17562c56425,21034,57150,24705,57150,28575c57150,32345,56425,35917,54975,39489c53525,42863,51460,46038,48781,48716c46101,51395,43011,53479,39510,54967c36009,56356,32364,57051,28575,57150c24786,57051,21141,56356,17640,54967c14139,53479,11049,51395,8369,48716c5690,46038,3625,42863,2175,39489c725,35917,0,32345,0,28575c0,24705,725,21034,2175,17562c3625,14089,5690,10914,8369,8235c11049,5556,14139,3473,17640,2084c21141,695,24786,0,28575,0x">
                  <v:stroke weight="0pt" endcap="flat" joinstyle="miter" miterlimit="10" on="false" color="#000000" opacity="0"/>
                  <v:fill on="true" color="#333333"/>
                </v:shape>
                <v:shape id="Shape 10560" style="position:absolute;width:571;height:571;left:0;top:4572;" coordsize="57150,57150" path="m28575,0c32364,0,36009,695,39510,2084c43011,3473,46101,5556,48781,8235c51460,10914,53525,14089,54975,17562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562c3625,14089,5690,10914,8369,8235c11049,5556,14139,3473,17640,2084c21141,695,24786,0,28575,0x">
                  <v:stroke weight="0pt" endcap="flat" joinstyle="miter" miterlimit="10" on="false" color="#000000" opacity="0"/>
                  <v:fill on="true" color="#333333"/>
                </v:shape>
                <v:shape id="Shape 10562" style="position:absolute;width:571;height:571;left:0;top:6096;" coordsize="57150,57150" path="m28575,0c32364,0,36009,695,39510,2084c43011,3473,46101,5556,48781,8235c51460,10914,53525,13990,54975,17463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463c3625,13990,5690,10914,8369,8235c11049,5556,14139,3473,17640,2084c21141,695,24786,0,28575,0x">
                  <v:stroke weight="0pt" endcap="flat" joinstyle="miter" miterlimit="10" on="false" color="#000000" opacity="0"/>
                  <v:fill on="true" color="#333333"/>
                </v:shape>
                <v:shape id="Shape 10564" style="position:absolute;width:571;height:571;left:0;top:7620;" coordsize="57150,57150" path="m28575,0c32364,0,36009,695,39510,1984c43011,3473,46101,5556,48781,8235c51460,10914,53525,13990,54975,17463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463c3625,13990,5690,10914,8369,8235c11049,5556,14139,3473,17640,1984c21141,695,24786,0,28575,0x">
                  <v:stroke weight="0pt" endcap="flat" joinstyle="miter" miterlimit="10" on="false" color="#000000" opacity="0"/>
                  <v:fill on="true" color="#333333"/>
                </v:shape>
                <v:shape id="Shape 10566" style="position:absolute;width:571;height:571;left:0;top:9144;" coordsize="57150,57150" path="m28575,0c32364,0,36009,695,39510,1984c43011,3473,46101,5556,48781,8235c51460,10914,53525,13891,54975,17463c56425,21034,57150,24705,57150,28575c57150,32345,56425,35917,54975,39489c53525,42863,51460,46038,48781,48716c46101,51395,43011,53380,39510,54868c36009,56356,32364,57051,28575,57150c24786,57051,21141,56356,17640,54868c14139,53380,11049,51395,8369,48716c5690,46038,3625,42863,2175,39489c725,35917,0,32345,0,28575c0,24705,725,21034,2175,17463c3625,13990,5690,10914,8369,8235c11049,5556,14139,3473,17640,1984c21141,695,24786,0,28575,0x">
                  <v:stroke weight="0pt" endcap="flat" joinstyle="miter" miterlimit="10" on="false" color="#000000" opacity="0"/>
                  <v:fill on="true" color="#333333"/>
                </v:shape>
                <v:shape id="Shape 10568" style="position:absolute;width:571;height:571;left:0;top:10668;" coordsize="57150,57150" path="m28575,0c32364,0,36009,695,39510,2084c43011,3473,46101,5556,48781,8235c51460,10914,53525,13990,54975,17463c56425,21034,57150,24705,57150,28575c57150,32345,56425,35917,54975,39390c53525,42863,51460,46038,48781,48716c46101,51395,43011,53380,39510,54868c36009,56356,32364,57051,28575,57150c24786,57051,21141,56356,17640,54868c14139,53380,11049,51395,8369,48716c5690,46038,3625,42863,2175,39390c725,35917,0,32345,0,28575c0,24705,725,21034,2175,17463c3625,13990,5690,10914,8369,8235c11049,5556,14139,3473,17640,2084c21141,695,24786,0,28575,0x">
                  <v:stroke weight="0pt" endcap="flat" joinstyle="miter" miterlimit="10" on="false" color="#000000" opacity="0"/>
                  <v:fill on="true" color="#333333"/>
                </v:shape>
                <v:shape id="Shape 10570" style="position:absolute;width:571;height:571;left:0;top:12192;" coordsize="57150,57150" path="m28575,0c32364,0,36009,695,39510,2084c43011,3473,46101,5556,48781,8235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235c11049,5556,14139,3473,17640,2084c21141,695,24786,0,28575,0x">
                  <v:stroke weight="0pt" endcap="flat" joinstyle="miter" miterlimit="10" on="false" color="#000000" opacity="0"/>
                  <v:fill on="true" color="#333333"/>
                </v:shape>
                <v:shape id="Shape 10573" style="position:absolute;width:571;height:571;left:0;top:15240;" coordsize="57150,57150" path="m28575,0c32364,0,36009,695,39510,2084c43011,3473,46101,5556,48781,8334c51460,10914,53525,13990,54975,17463c56425,21034,57150,24705,57150,28575c57150,32345,56425,35917,54975,39489c53525,42863,51460,45938,48781,48716c46101,51296,43011,53380,39510,54868c36009,56356,32364,57051,28575,57150c24786,57051,21141,56356,17640,54967c14139,53380,11049,51296,8369,48716c5690,45938,3625,42863,2175,39390c725,35917,0,32345,0,28575c0,24705,725,21034,2175,17463c3625,13990,5690,10914,8369,8334c11049,5556,14139,3473,17640,2084c21141,695,24786,0,28575,0x">
                  <v:stroke weight="0pt" endcap="flat" joinstyle="miter" miterlimit="10" on="false" color="#000000" opacity="0"/>
                  <v:fill on="true" color="#333333"/>
                </v:shape>
                <v:shape id="Shape 10575" style="position:absolute;width:571;height:571;left:0;top:16764;" coordsize="57150,57150" path="m28575,0c32364,0,36009,695,39510,2084c43011,3473,46101,5556,48781,8334c51460,10914,53525,13990,54975,17463c56425,21034,57150,24705,57150,28575c57150,32345,56425,35917,54975,39489c53525,42863,51460,45938,48781,48716c46101,51296,43011,53380,39510,54868c36009,56356,32364,57051,28575,57150c24786,57051,21141,56356,17640,54967c14139,53380,11049,51296,8369,48716c5690,45938,3625,42863,2175,39390c725,35917,0,32345,0,28575c0,24705,725,21034,2175,17463c3625,13990,5690,10914,8369,8334c11049,5556,14139,3473,17640,2084c21141,695,24786,0,28575,0x">
                  <v:stroke weight="0pt" endcap="flat" joinstyle="miter" miterlimit="10" on="false" color="#000000" opacity="0"/>
                  <v:fill on="true" color="#333333"/>
                </v:shape>
                <w10:wrap type="square"/>
              </v:group>
            </w:pict>
          </mc:Fallback>
        </mc:AlternateContent>
      </w:r>
      <w:r>
        <w:t>Дневник АД, ЧСС, массы тела.</w:t>
      </w:r>
    </w:p>
    <w:p w:rsidR="008E3F15" w:rsidRDefault="005F449A">
      <w:pPr>
        <w:spacing w:after="31"/>
        <w:ind w:left="347" w:right="15"/>
      </w:pPr>
      <w:r>
        <w:t>Те</w:t>
      </w:r>
      <w:r>
        <w:t>ст 6-минутной ходьбы.</w:t>
      </w:r>
    </w:p>
    <w:p w:rsidR="008E3F15" w:rsidRDefault="005F449A">
      <w:pPr>
        <w:spacing w:after="31"/>
        <w:ind w:left="347" w:right="15"/>
      </w:pPr>
      <w:r>
        <w:t>ЭКГ.</w:t>
      </w:r>
    </w:p>
    <w:p w:rsidR="008E3F15" w:rsidRDefault="005F449A">
      <w:pPr>
        <w:spacing w:after="31"/>
        <w:ind w:left="347" w:right="15"/>
      </w:pPr>
      <w:r>
        <w:t>Мониторирование ЭКГ.</w:t>
      </w:r>
    </w:p>
    <w:p w:rsidR="008E3F15" w:rsidRDefault="005F449A">
      <w:pPr>
        <w:spacing w:after="31"/>
        <w:ind w:left="347" w:right="15"/>
      </w:pPr>
      <w:r>
        <w:t>Эхокардиография.</w:t>
      </w:r>
    </w:p>
    <w:p w:rsidR="008E3F15" w:rsidRDefault="005F449A">
      <w:pPr>
        <w:spacing w:after="31"/>
        <w:ind w:left="347" w:right="15"/>
      </w:pPr>
      <w:r>
        <w:t>КТ-ангиография коронарных артерий.</w:t>
      </w:r>
    </w:p>
    <w:p w:rsidR="008E3F15" w:rsidRDefault="005F449A">
      <w:pPr>
        <w:spacing w:after="31"/>
        <w:ind w:left="347" w:right="15"/>
      </w:pPr>
      <w:r>
        <w:t>Магнитно-резонансная томография.</w:t>
      </w:r>
    </w:p>
    <w:p w:rsidR="008E3F15" w:rsidRDefault="005F449A">
      <w:pPr>
        <w:spacing w:after="31"/>
        <w:ind w:left="347" w:right="15"/>
      </w:pPr>
      <w:r>
        <w:t>Натрийуретический пептид (BNP, NT-proBNP).</w:t>
      </w:r>
    </w:p>
    <w:p w:rsidR="008E3F15" w:rsidRDefault="005F449A">
      <w:pPr>
        <w:ind w:left="347" w:right="15"/>
      </w:pPr>
      <w:r>
        <w:t>Калий, натрий, железо, ферритин, трансферрин, креатинин, рСКФ, трансаминазы, глю</w:t>
      </w:r>
      <w:r>
        <w:t>коза.</w:t>
      </w:r>
    </w:p>
    <w:p w:rsidR="008E3F15" w:rsidRDefault="005F449A">
      <w:pPr>
        <w:spacing w:after="179"/>
        <w:ind w:left="347" w:right="5908"/>
      </w:pPr>
      <w:r>
        <w:t>Шкалы MAGGIC, SHFM. Генетические тесты.</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96480" behindDoc="0" locked="0" layoutInCell="1" allowOverlap="1">
                <wp:simplePos x="0" y="0"/>
                <wp:positionH relativeFrom="column">
                  <wp:posOffset>214164</wp:posOffset>
                </wp:positionH>
                <wp:positionV relativeFrom="paragraph">
                  <wp:posOffset>34925</wp:posOffset>
                </wp:positionV>
                <wp:extent cx="57150" cy="971550"/>
                <wp:effectExtent l="0" t="0" r="0" b="0"/>
                <wp:wrapSquare wrapText="bothSides"/>
                <wp:docPr id="292239" name="Group 292239"/>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0578" name="Shape 10578"/>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80" name="Shape 10580"/>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82" name="Shape 10582"/>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84" name="Shape 10584"/>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86" name="Shape 10586"/>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88" name="Shape 10588"/>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188"/>
                                  <a:pt x="54975" y="17661"/>
                                </a:cubicBezTo>
                                <a:cubicBezTo>
                                  <a:pt x="56425" y="211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134"/>
                                  <a:pt x="2175" y="17661"/>
                                </a:cubicBezTo>
                                <a:cubicBezTo>
                                  <a:pt x="3625" y="14188"/>
                                  <a:pt x="5690" y="11013"/>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590" name="Shape 10590"/>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59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5938"/>
                                  <a:pt x="3625" y="42863"/>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2239" style="width:4.5pt;height:76.5pt;position:absolute;mso-position-horizontal-relative:text;mso-position-horizontal:absolute;margin-left:16.8633pt;mso-position-vertical-relative:text;margin-top:2.75pt;" coordsize="571,9715">
                <v:shape id="Shape 10578" style="position:absolute;width:571;height:571;left:0;top:0;" coordsize="57150,57150" path="m28575,0c32364,0,36009,695,39510,2084c43011,3473,46101,5556,48781,8235c51460,10914,53525,13990,54975,17463c56425,21034,57150,24705,57150,28575c57150,32246,56425,35818,54975,39291c53525,42763,51460,45938,48781,48716c46101,51296,43011,53380,39510,54769c36009,56257,32364,57051,28575,57150c24786,57051,21141,56257,17640,54769c14139,53380,11049,51296,8369,48716c5690,45938,3625,42763,2175,39291c725,35818,0,32246,0,28575c0,24705,725,21034,2175,17463c3625,13990,5690,10914,8369,8235c11049,5556,14139,3473,17640,2084c21141,695,24786,0,28575,0x">
                  <v:stroke weight="0pt" endcap="flat" joinstyle="miter" miterlimit="10" on="false" color="#000000" opacity="0"/>
                  <v:fill on="true" color="#333333"/>
                </v:shape>
                <v:shape id="Shape 10580" style="position:absolute;width:571;height:571;left:0;top:1524;" coordsize="57150,57150" path="m28575,0c32364,0,36009,794,39510,2183c43011,3572,46101,5655,48781,8334c51460,10914,53525,14089,54975,17562c56425,21034,57150,24805,57150,28575c57150,32345,56425,35917,54975,39489c53525,42962,51460,46038,48781,48716c46101,51395,43011,53479,39510,54868c36009,56356,32364,57051,28575,57150c24786,57051,21141,56356,17640,54967c14139,53479,11049,51395,8369,48716c5690,46038,3625,42863,2175,39390c725,35917,0,32345,0,28575c0,24805,725,21034,2175,17562c3625,14089,5690,10914,8369,8334c11049,5655,14139,3572,17640,2183c21141,794,24786,0,28575,0x">
                  <v:stroke weight="0pt" endcap="flat" joinstyle="miter" miterlimit="10" on="false" color="#000000" opacity="0"/>
                  <v:fill on="true" color="#333333"/>
                </v:shape>
                <v:shape id="Shape 10582" style="position:absolute;width:571;height:571;left:0;top:3048;" coordsize="57150,57150" path="m28575,0c32364,0,36009,794,39510,2183c43011,3572,46101,5655,48781,8334c51460,10914,53525,14089,54975,17562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562c3625,14089,5690,10914,8369,8334c11049,5655,14139,3572,17640,2183c21141,794,24786,0,28575,0x">
                  <v:stroke weight="0pt" endcap="flat" joinstyle="miter" miterlimit="10" on="false" color="#000000" opacity="0"/>
                  <v:fill on="true" color="#333333"/>
                </v:shape>
                <v:shape id="Shape 10584" style="position:absolute;width:571;height:571;left:0;top:4572;" coordsize="57150,57150" path="m28575,0c32364,0,36009,794,39510,2183c43011,3572,46101,5655,48781,8334c51460,11013,53525,14188,54975,17661c56425,21134,57150,24805,57150,28575c57150,32345,56425,35917,54975,39489c53525,42962,51460,46038,48781,48716c46101,51395,43011,53479,39510,54868c36009,56356,32364,57051,28575,57150c24786,57051,21141,56356,17640,54967c14139,53479,11049,51395,8369,48716c5690,46038,3625,42863,2175,39390c725,35917,0,32345,0,28575c0,24805,725,21134,2175,17661c3625,14188,5690,11013,8369,8334c11049,5655,14139,3572,17640,2183c21141,794,24786,0,28575,0x">
                  <v:stroke weight="0pt" endcap="flat" joinstyle="miter" miterlimit="10" on="false" color="#000000" opacity="0"/>
                  <v:fill on="true" color="#333333"/>
                </v:shape>
                <v:shape id="Shape 10586" style="position:absolute;width:571;height:571;left:0;top:6096;" coordsize="57150,57150" path="m28575,0c32364,0,36009,794,39510,2183c43011,3572,46101,5655,48781,8334c51460,11013,53525,14188,54975,17661c56425,21134,57150,24805,57150,28575c57150,32345,56425,35917,54975,39489c53525,42962,51460,46038,48781,48716c46101,51395,43011,53479,39510,54868c36009,56356,32364,57051,28575,57150c24786,57051,21141,56356,17640,54967c14139,53479,11049,51395,8369,48716c5690,46038,3625,42962,2175,39489c725,35917,0,32345,0,28575c0,24805,725,21134,2175,17661c3625,14188,5690,11013,8369,8334c11049,5655,14139,3572,17640,2183c21141,794,24786,0,28575,0x">
                  <v:stroke weight="0pt" endcap="flat" joinstyle="miter" miterlimit="10" on="false" color="#000000" opacity="0"/>
                  <v:fill on="true" color="#333333"/>
                </v:shape>
                <v:shape id="Shape 10588" style="position:absolute;width:571;height:571;left:0;top:7620;" coordsize="57150,57150" path="m28575,0c32364,0,36009,794,39510,2183c43011,3572,46101,5655,48781,8334c51460,11013,53525,14188,54975,17661c56425,21134,57150,24805,57150,28575c57150,32345,56425,35917,54975,39489c53525,42962,51460,46038,48781,48716c46101,51395,43011,53479,39510,54967c36009,56356,32364,57051,28575,57150c24786,57051,21141,56356,17640,54967c14139,53479,11049,51395,8369,48716c5690,46038,3625,42962,2175,39489c725,35917,0,32345,0,28575c0,24805,725,21134,2175,17661c3625,14188,5690,11013,8369,8334c11049,5655,14139,3572,17640,2183c21141,794,24786,0,28575,0x">
                  <v:stroke weight="0pt" endcap="flat" joinstyle="miter" miterlimit="10" on="false" color="#000000" opacity="0"/>
                  <v:fill on="true" color="#333333"/>
                </v:shape>
                <v:shape id="Shape 10590" style="position:absolute;width:571;height:571;left:0;top:9144;" coordsize="57150,57150" path="m28575,0c32364,0,36009,794,39510,2183c43011,3572,46101,5655,48781,8334c51460,10914,53525,14089,54975,17562c56425,21034,57150,24705,57150,28575c57150,32345,56425,35917,54975,39489c53525,42863,51460,45938,48781,48716c46101,51395,43011,53479,39510,54967c36009,56356,32364,57051,28575,57150c24786,57051,21141,56356,17640,54967c14139,53479,11049,51395,8369,48716c5690,45938,3625,42863,2175,39489c725,35917,0,32345,0,28575c0,24705,725,21034,2175,17562c3625,14089,5690,10914,8369,8334c11049,5655,14139,3572,17640,2183c21141,794,24786,0,28575,0x">
                  <v:stroke weight="0pt" endcap="flat" joinstyle="miter" miterlimit="10" on="false" color="#000000" opacity="0"/>
                  <v:fill on="true" color="#333333"/>
                </v:shape>
                <w10:wrap type="square"/>
              </v:group>
            </w:pict>
          </mc:Fallback>
        </mc:AlternateContent>
      </w:r>
      <w:r>
        <w:t>Диуретики.</w:t>
      </w:r>
    </w:p>
    <w:p w:rsidR="008E3F15" w:rsidRDefault="005F449A">
      <w:pPr>
        <w:ind w:left="347" w:right="5958"/>
      </w:pPr>
      <w:r>
        <w:t>β-Адреноблокаторы. иАПФ/БРА, сакубитрил + валсартан. иНГЛТ-2. аМКР.</w:t>
      </w:r>
    </w:p>
    <w:p w:rsidR="008E3F15" w:rsidRDefault="005F449A">
      <w:pPr>
        <w:spacing w:after="179"/>
        <w:ind w:left="347" w:right="3962"/>
      </w:pPr>
      <w:r>
        <w:t>Дигоксин, ивабрадин, железа карбоксимальтозат. СРТ, ИКД.</w:t>
      </w:r>
    </w:p>
    <w:p w:rsidR="008E3F15" w:rsidRDefault="005F449A">
      <w:pPr>
        <w:ind w:left="2" w:right="15"/>
      </w:pPr>
      <w:r>
        <w:t>СН представляет собой клинический синдром с симптомами и признаками, вызванными структурными или функциональными нарушениями наполнения желудочков или выброса крови (AHA/ACC/HFSA).</w:t>
      </w:r>
    </w:p>
    <w:p w:rsidR="008E3F15" w:rsidRDefault="005F449A">
      <w:pPr>
        <w:spacing w:after="359"/>
        <w:ind w:left="2" w:right="168"/>
      </w:pPr>
      <w:r>
        <w:t>Распространенность СН, по данным международных регистров, составляет 1–2% н</w:t>
      </w:r>
      <w:r>
        <w:t>аселения, а среди пациентов старше 80 лет — около 12% (NHANES). По данным исследования ЭПОХА– ХСН, в РФ частота СН оказалась выше — 7%, а клинически выраженная СН NYHA II–IV была выявлена у 4,5%, при этом основная часть пациентов (более 65%) в возрасте 60–</w:t>
      </w:r>
      <w:r>
        <w:t>80 лет. Более половины случаев СН, особенно у женщин и стариков, составляет сердечная недостаточность с сохраненной фракцией выброса левого желудочка (СНсФВ), прогноз при которой несколько лучше, чем при СНнФВ.</w:t>
      </w:r>
    </w:p>
    <w:p w:rsidR="008E3F15" w:rsidRDefault="005F449A">
      <w:pPr>
        <w:pStyle w:val="Heading1"/>
        <w:ind w:left="2"/>
      </w:pPr>
      <w:r>
        <w:t>Часть I. Сердечно-сосудистые болезни</w:t>
      </w:r>
    </w:p>
    <w:p w:rsidR="008E3F15" w:rsidRDefault="005F449A">
      <w:pPr>
        <w:spacing w:after="31"/>
        <w:ind w:left="2" w:right="15"/>
      </w:pPr>
      <w:r>
        <w:t xml:space="preserve">Причины </w:t>
      </w:r>
      <w:r>
        <w:t>и факторы риска</w:t>
      </w:r>
    </w:p>
    <w:p w:rsidR="008E3F15" w:rsidRDefault="005F449A">
      <w:pPr>
        <w:spacing w:after="133" w:line="259" w:lineRule="auto"/>
        <w:ind w:left="2" w:right="0"/>
      </w:pPr>
      <w:r>
        <w:rPr>
          <w:b/>
        </w:rPr>
        <w:t>Повреждение мио карда (кардиомиопатии):</w:t>
      </w:r>
    </w:p>
    <w:p w:rsidR="008E3F15" w:rsidRDefault="005F449A">
      <w:pPr>
        <w:ind w:left="347" w:right="3183"/>
      </w:pPr>
      <w:r>
        <w:rPr>
          <w:rFonts w:ascii="Calibri" w:eastAsia="Calibri" w:hAnsi="Calibri" w:cs="Calibri"/>
          <w:noProof/>
          <w:color w:val="000000"/>
          <w:sz w:val="22"/>
        </w:rPr>
        <mc:AlternateContent>
          <mc:Choice Requires="wpg">
            <w:drawing>
              <wp:anchor distT="0" distB="0" distL="114300" distR="114300" simplePos="0" relativeHeight="251797504" behindDoc="0" locked="0" layoutInCell="1" allowOverlap="1">
                <wp:simplePos x="0" y="0"/>
                <wp:positionH relativeFrom="column">
                  <wp:posOffset>214164</wp:posOffset>
                </wp:positionH>
                <wp:positionV relativeFrom="paragraph">
                  <wp:posOffset>34925</wp:posOffset>
                </wp:positionV>
                <wp:extent cx="57150" cy="819150"/>
                <wp:effectExtent l="0" t="0" r="0" b="0"/>
                <wp:wrapSquare wrapText="bothSides"/>
                <wp:docPr id="289366" name="Group 289366"/>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10646" name="Shape 1064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48" name="Shape 1064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50" name="Shape 1065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52" name="Shape 10652"/>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55" name="Shape 10655"/>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606"/>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606"/>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9366" style="width:4.5pt;height:64.5pt;position:absolute;mso-position-horizontal-relative:text;mso-position-horizontal:absolute;margin-left:16.8633pt;mso-position-vertical-relative:text;margin-top:2.75pt;" coordsize="571,8191">
                <v:shape id="Shape 10646" style="position:absolute;width:571;height:571;left:0;top:0;"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967c14139,53479,11049,51395,8369,48716c5690,46038,3625,42962,2175,39489c725,35917,0,32345,0,28575c0,24705,725,21034,2175,17463c3625,13990,5690,10914,8369,8235c11049,5556,14139,3473,17640,2084c21141,695,24786,0,28575,0x">
                  <v:stroke weight="0pt" endcap="flat" joinstyle="miter" miterlimit="4" on="false" color="#000000" opacity="0"/>
                  <v:fill on="true" color="#333333"/>
                </v:shape>
                <v:shape id="Shape 10648" style="position:absolute;width:571;height:571;left:0;top:1524;"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235c11049,5556,14139,3473,17640,2084c21141,695,24786,0,28575,0x">
                  <v:stroke weight="0pt" endcap="flat" joinstyle="miter" miterlimit="4" on="false" color="#000000" opacity="0"/>
                  <v:fill on="true" color="#333333"/>
                </v:shape>
                <v:shape id="Shape 10650" style="position:absolute;width:571;height:571;left:0;top:3048;"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235c11049,5556,14139,3473,17640,2084c21141,695,24786,0,28575,0x">
                  <v:stroke weight="0pt" endcap="flat" joinstyle="miter" miterlimit="4" on="false" color="#000000" opacity="0"/>
                  <v:fill on="true" color="#333333"/>
                </v:shape>
                <v:shape id="Shape 10652" style="position:absolute;width:571;height:571;left:0;top:4572;"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235c11049,5556,14139,3473,17640,2084c21141,695,24786,0,28575,0x">
                  <v:stroke weight="0pt" endcap="flat" joinstyle="miter" miterlimit="4" on="false" color="#000000" opacity="0"/>
                  <v:fill on="true" color="#333333"/>
                </v:shape>
                <v:shape id="Shape 10655" style="position:absolute;width:571;height:571;left:0;top:7620;" coordsize="57150,57150" path="m28575,0c32364,0,36009,794,39510,2183c43011,3572,46101,5556,48781,8235c51460,10914,53525,13990,54975,17463c56425,21034,57150,24606,57150,28575c57150,32345,56425,35917,54975,39489c53525,42962,51460,46038,48781,48716c46101,51395,43011,53479,39510,54868c36009,56356,32364,57051,28575,57150c24786,57051,21141,56356,17640,54967c14139,53479,11049,51395,8369,48716c5690,46038,3625,42863,2175,39390c725,35917,0,32345,0,28575c0,24606,725,21034,2175,17463c3625,13990,5690,10914,8369,8235c11049,5556,14139,3473,17640,2084c21141,695,24786,0,28575,0x">
                  <v:stroke weight="0pt" endcap="flat" joinstyle="miter" miterlimit="4" on="false" color="#000000" opacity="0"/>
                  <v:fill on="true" color="#333333"/>
                </v:shape>
                <w10:wrap type="square"/>
              </v:group>
            </w:pict>
          </mc:Fallback>
        </mc:AlternateContent>
      </w:r>
      <w:r>
        <w:t>дилатационные: идиопатическая, ишемическая, семейная; эндокринные: диабетическая, гипертиреоидная; токсические: алкогольная, кокаиновая, химиотерапия рака;</w:t>
      </w:r>
    </w:p>
    <w:p w:rsidR="008E3F15" w:rsidRDefault="005F449A">
      <w:pPr>
        <w:ind w:left="347" w:right="15"/>
      </w:pPr>
      <w:r>
        <w:t>воспалительные: мио кардиты, болезни соединительной ткани, синдром приобретенного иммунодефицита;</w:t>
      </w:r>
    </w:p>
    <w:p w:rsidR="008E3F15" w:rsidRDefault="005F449A">
      <w:pPr>
        <w:spacing w:after="179"/>
        <w:ind w:left="347" w:right="15"/>
      </w:pPr>
      <w:r>
        <w:t>другие: послеродовая (перипартальная), сепсис-индуцированная, перегрузка железом, амилоидоз, саркоидоз, LMNA-кардиомиопатия.</w:t>
      </w:r>
    </w:p>
    <w:p w:rsidR="008E3F15" w:rsidRDefault="005F449A">
      <w:pPr>
        <w:spacing w:after="133" w:line="259" w:lineRule="auto"/>
        <w:ind w:left="2" w:right="0"/>
      </w:pPr>
      <w:r>
        <w:rPr>
          <w:b/>
        </w:rPr>
        <w:t>Перегрузка мио карда:</w:t>
      </w:r>
    </w:p>
    <w:p w:rsidR="008E3F15" w:rsidRDefault="005F449A">
      <w:pPr>
        <w:spacing w:after="179"/>
        <w:ind w:left="347" w:right="2348"/>
      </w:pPr>
      <w:r>
        <w:rPr>
          <w:rFonts w:ascii="Calibri" w:eastAsia="Calibri" w:hAnsi="Calibri" w:cs="Calibri"/>
          <w:noProof/>
          <w:color w:val="000000"/>
          <w:sz w:val="22"/>
        </w:rPr>
        <mc:AlternateContent>
          <mc:Choice Requires="wpg">
            <w:drawing>
              <wp:anchor distT="0" distB="0" distL="114300" distR="114300" simplePos="0" relativeHeight="251798528" behindDoc="0" locked="0" layoutInCell="1" allowOverlap="1">
                <wp:simplePos x="0" y="0"/>
                <wp:positionH relativeFrom="column">
                  <wp:posOffset>214164</wp:posOffset>
                </wp:positionH>
                <wp:positionV relativeFrom="paragraph">
                  <wp:posOffset>34925</wp:posOffset>
                </wp:positionV>
                <wp:extent cx="57150" cy="514350"/>
                <wp:effectExtent l="0" t="0" r="0" b="0"/>
                <wp:wrapSquare wrapText="bothSides"/>
                <wp:docPr id="289368" name="Group 28936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0659" name="Shape 10659"/>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967"/>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489"/>
                                </a:cubicBezTo>
                                <a:cubicBezTo>
                                  <a:pt x="725" y="35917"/>
                                  <a:pt x="0" y="32345"/>
                                  <a:pt x="0" y="28575"/>
                                </a:cubicBezTo>
                                <a:cubicBezTo>
                                  <a:pt x="0" y="24705"/>
                                  <a:pt x="725" y="21034"/>
                                  <a:pt x="2175" y="17562"/>
                                </a:cubicBezTo>
                                <a:cubicBezTo>
                                  <a:pt x="3625" y="14089"/>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61" name="Shape 1066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2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489"/>
                                </a:cubicBezTo>
                                <a:cubicBezTo>
                                  <a:pt x="725" y="35917"/>
                                  <a:pt x="0" y="32345"/>
                                  <a:pt x="0" y="28575"/>
                                </a:cubicBezTo>
                                <a:cubicBezTo>
                                  <a:pt x="0" y="24705"/>
                                  <a:pt x="725" y="21034"/>
                                  <a:pt x="2175" y="17463"/>
                                </a:cubicBezTo>
                                <a:cubicBezTo>
                                  <a:pt x="3625" y="13990"/>
                                  <a:pt x="5690" y="10914"/>
                                  <a:pt x="8369"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63" name="Shape 1066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769"/>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7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0665" name="Shape 1066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769"/>
                                </a:cubicBezTo>
                                <a:cubicBezTo>
                                  <a:pt x="36009" y="56356"/>
                                  <a:pt x="32364" y="57051"/>
                                  <a:pt x="28575" y="57150"/>
                                </a:cubicBezTo>
                                <a:cubicBezTo>
                                  <a:pt x="24786" y="57051"/>
                                  <a:pt x="21141" y="56356"/>
                                  <a:pt x="17640" y="54868"/>
                                </a:cubicBezTo>
                                <a:cubicBezTo>
                                  <a:pt x="14139" y="53280"/>
                                  <a:pt x="11049" y="51296"/>
                                  <a:pt x="8369" y="48716"/>
                                </a:cubicBezTo>
                                <a:cubicBezTo>
                                  <a:pt x="5690" y="45938"/>
                                  <a:pt x="3625" y="427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9368" style="width:4.5pt;height:40.5pt;position:absolute;mso-position-horizontal-relative:text;mso-position-horizontal:absolute;margin-left:16.8633pt;mso-position-vertical-relative:text;margin-top:2.75pt;" coordsize="571,5143">
                <v:shape id="Shape 10659" style="position:absolute;width:571;height:571;left:0;top:0;" coordsize="57150,57150" path="m28575,0c32364,0,36009,794,39510,2183c43011,3572,46101,5655,48781,8334c51460,10914,53525,14089,54975,17562c56425,21034,57150,24705,57150,28575c57150,32345,56425,35917,54975,39489c53525,42863,51460,45938,48781,48716c46101,51296,43011,53380,39510,54967c36009,56356,32364,57051,28575,57150c24786,57051,21141,56356,17640,54967c14139,53380,11049,51296,8369,48716c5690,45938,3625,42863,2175,39489c725,35917,0,32345,0,28575c0,24705,725,21034,2175,17562c3625,14089,5690,10914,8369,8334c11049,5655,14139,3572,17640,2183c21141,794,24786,0,28575,0x">
                  <v:stroke weight="0pt" endcap="flat" joinstyle="miter" miterlimit="4" on="false" color="#000000" opacity="0"/>
                  <v:fill on="true" color="#333333"/>
                </v:shape>
                <v:shape id="Shape 10661" style="position:absolute;width:571;height:571;left:0;top:1524;" coordsize="57150,57150" path="m28575,0c32364,0,36009,794,39510,2183c43011,3572,46101,5655,48781,8334c51460,10914,53525,13990,54975,17463c56425,21034,57150,24705,57150,28575c57150,32345,56425,35917,54975,39489c53525,42863,51460,45938,48781,48716c46101,51296,43011,53280,39510,54868c36009,56356,32364,57051,28575,57150c24786,57051,21141,56356,17640,54967c14139,53380,11049,51296,8369,48716c5690,45938,3625,42863,2175,39489c725,35917,0,32345,0,28575c0,24705,725,21034,2175,17463c3625,13990,5690,10914,8369,8334c11049,5655,14139,3572,17640,2183c21141,794,24786,0,28575,0x">
                  <v:stroke weight="0pt" endcap="flat" joinstyle="miter" miterlimit="4" on="false" color="#000000" opacity="0"/>
                  <v:fill on="true" color="#333333"/>
                </v:shape>
                <v:shape id="Shape 10663" style="position:absolute;width:571;height:571;left:0;top:3048;" coordsize="57150,57150" path="m28575,0c32364,0,36009,794,39510,2183c43011,3572,46101,5556,48781,8235c51460,10914,53525,13990,54975,17463c56425,21034,57150,24705,57150,28575c57150,32345,56425,35917,54975,39489c53525,42763,51460,45938,48781,48716c46101,51296,43011,53280,39510,54769c36009,56356,32364,57051,28575,57150c24786,57051,21141,56356,17640,54967c14139,53380,11049,51296,8369,48716c5690,45938,3625,42763,2175,39390c725,35917,0,32345,0,28575c0,24705,725,21034,2175,17463c3625,13990,5690,10914,8369,8235c11049,5556,14139,3473,17640,1984c21141,695,24786,0,28575,0x">
                  <v:stroke weight="0pt" endcap="flat" joinstyle="miter" miterlimit="4" on="false" color="#000000" opacity="0"/>
                  <v:fill on="true" color="#333333"/>
                </v:shape>
                <v:shape id="Shape 10665" style="position:absolute;width:571;height:571;left:0;top:4572;" coordsize="57150,57150" path="m28575,0c32364,0,36009,695,39510,2084c43011,3473,46101,5556,48781,8235c51460,10914,53525,13990,54975,17463c56425,21034,57150,24705,57150,28575c57150,32345,56425,35917,54975,39489c53525,42763,51460,45938,48781,48716c46101,51296,43011,53280,39510,54769c36009,56356,32364,57051,28575,57150c24786,57051,21141,56356,17640,54868c14139,53280,11049,51296,8369,48716c5690,45938,3625,42763,2175,39390c725,35917,0,32345,0,28575c0,24705,725,21034,2175,17463c3625,13990,5690,10914,8369,8235c11049,5556,14139,3473,17640,1984c21141,695,24786,0,28575,0x">
                  <v:stroke weight="0pt" endcap="flat" joinstyle="miter" miterlimit="4" on="false" color="#000000" opacity="0"/>
                  <v:fill on="true" color="#333333"/>
                </v:shape>
                <w10:wrap type="square"/>
              </v:group>
            </w:pict>
          </mc:Fallback>
        </mc:AlternateContent>
      </w:r>
      <w:r>
        <w:t>болезни кл</w:t>
      </w:r>
      <w:r>
        <w:t>апанов сердца, врожденные аномалии сердца и сосудов; артериальная гипертензия (гипо- и нормокинетическая); дисфункция почек; тахиаритмии, брадиаритмии, желудочковые ЭС.</w:t>
      </w:r>
    </w:p>
    <w:p w:rsidR="008E3F15" w:rsidRDefault="005F449A">
      <w:pPr>
        <w:spacing w:after="359"/>
        <w:ind w:left="2" w:right="15"/>
      </w:pPr>
      <w:r>
        <w:t>СНнФВ почти в половине случаев обусловлена ишемической кардиомиопатией, обычно вследств</w:t>
      </w:r>
      <w:r>
        <w:t>ие перенесенного ИМ. В исследовании PROMIS-HFpEF была показана высокая частота миокроваскулярной дисфункции у пациентов с СНсФВ.</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ind w:left="2" w:right="942"/>
      </w:pPr>
      <w:r>
        <w:t>Современная классификация СН, предложенная международной экспертной группой, представлена в</w:t>
      </w:r>
      <w:r>
        <w:rPr>
          <w:b/>
        </w:rPr>
        <w:t xml:space="preserve"> табл. 8.1</w:t>
      </w:r>
      <w:r>
        <w:t xml:space="preserve">, </w:t>
      </w:r>
      <w:r>
        <w:rPr>
          <w:b/>
        </w:rPr>
        <w:t>8.2</w:t>
      </w:r>
      <w:r>
        <w:t>. Учитывая существенную связь сократимости мио карда и эффективности лечения, предложено разделить СН в зависимости от ФВЛЖ.</w:t>
      </w:r>
    </w:p>
    <w:p w:rsidR="008E3F15" w:rsidRDefault="005F449A">
      <w:pPr>
        <w:spacing w:after="31"/>
        <w:ind w:left="2" w:right="15"/>
      </w:pPr>
      <w:r>
        <w:rPr>
          <w:b/>
        </w:rPr>
        <w:t xml:space="preserve">Таблица 8.1. </w:t>
      </w:r>
      <w:r>
        <w:t>Классификаци</w:t>
      </w:r>
      <w:r>
        <w:t>я хронической сердечной недостаточности (ESC; AHA/ACC/HFSA)</w:t>
      </w:r>
    </w:p>
    <w:tbl>
      <w:tblPr>
        <w:tblStyle w:val="TableGrid"/>
        <w:tblW w:w="10485" w:type="dxa"/>
        <w:tblInd w:w="37" w:type="dxa"/>
        <w:tblCellMar>
          <w:top w:w="80" w:type="dxa"/>
          <w:left w:w="45" w:type="dxa"/>
          <w:bottom w:w="0" w:type="dxa"/>
          <w:right w:w="115" w:type="dxa"/>
        </w:tblCellMar>
        <w:tblLook w:val="04A0" w:firstRow="1" w:lastRow="0" w:firstColumn="1" w:lastColumn="0" w:noHBand="0" w:noVBand="1"/>
      </w:tblPr>
      <w:tblGrid>
        <w:gridCol w:w="2220"/>
        <w:gridCol w:w="8265"/>
      </w:tblGrid>
      <w:tr w:rsidR="008E3F15">
        <w:trPr>
          <w:trHeight w:val="330"/>
        </w:trPr>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Показатель</w:t>
            </w:r>
          </w:p>
        </w:tc>
        <w:tc>
          <w:tcPr>
            <w:tcW w:w="8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Градация</w:t>
            </w:r>
          </w:p>
        </w:tc>
      </w:tr>
      <w:tr w:rsidR="008E3F15">
        <w:trPr>
          <w:trHeight w:val="570"/>
        </w:trPr>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ФВЛЖ</w:t>
            </w:r>
          </w:p>
          <w:p w:rsidR="008E3F15" w:rsidRDefault="005F449A">
            <w:pPr>
              <w:spacing w:after="0" w:line="259" w:lineRule="auto"/>
              <w:ind w:left="0" w:right="0" w:firstLine="0"/>
            </w:pPr>
            <w:r>
              <w:t>(гемодинамика)</w:t>
            </w:r>
          </w:p>
        </w:tc>
        <w:tc>
          <w:tcPr>
            <w:tcW w:w="8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Низкая (≤40%), пониженная/промежуточная (41–49%), сохраненная (≥50%), улучшенная (от ≤40% до &gt;40% с приростом ≥10%)</w:t>
            </w:r>
          </w:p>
        </w:tc>
      </w:tr>
      <w:tr w:rsidR="008E3F15">
        <w:trPr>
          <w:trHeight w:val="570"/>
        </w:trPr>
        <w:tc>
          <w:tcPr>
            <w:tcW w:w="22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Тяжесть</w:t>
            </w:r>
          </w:p>
        </w:tc>
        <w:tc>
          <w:tcPr>
            <w:tcW w:w="8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I–IV класс Нью-Йоркской кардиологической ассоциации (New York Heart Association — NYHA) (вне декомпенсации)</w:t>
            </w:r>
          </w:p>
        </w:tc>
      </w:tr>
      <w:tr w:rsidR="008E3F15">
        <w:trPr>
          <w:trHeight w:val="330"/>
        </w:trPr>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Течение</w:t>
            </w:r>
          </w:p>
        </w:tc>
        <w:tc>
          <w:tcPr>
            <w:tcW w:w="8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Компенсация, декомпенсация (острая СН)</w:t>
            </w:r>
          </w:p>
        </w:tc>
      </w:tr>
      <w:tr w:rsidR="008E3F15">
        <w:trPr>
          <w:trHeight w:val="330"/>
        </w:trPr>
        <w:tc>
          <w:tcPr>
            <w:tcW w:w="22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Стадии</w:t>
            </w:r>
          </w:p>
        </w:tc>
        <w:tc>
          <w:tcPr>
            <w:tcW w:w="8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A, B, C, D (AHA/ACC/HFSA, ESC)</w:t>
            </w:r>
          </w:p>
        </w:tc>
      </w:tr>
    </w:tbl>
    <w:p w:rsidR="008E3F15" w:rsidRDefault="005F449A">
      <w:pPr>
        <w:spacing w:after="31"/>
        <w:ind w:left="2" w:right="15"/>
      </w:pPr>
      <w:r>
        <w:rPr>
          <w:b/>
        </w:rPr>
        <w:t xml:space="preserve">Таблица 8.2. </w:t>
      </w:r>
      <w:r>
        <w:t>Классификация тяжести NYHA</w:t>
      </w:r>
    </w:p>
    <w:tbl>
      <w:tblPr>
        <w:tblStyle w:val="TableGrid"/>
        <w:tblW w:w="9825" w:type="dxa"/>
        <w:tblInd w:w="37" w:type="dxa"/>
        <w:tblCellMar>
          <w:top w:w="80" w:type="dxa"/>
          <w:left w:w="39" w:type="dxa"/>
          <w:bottom w:w="0" w:type="dxa"/>
          <w:right w:w="48" w:type="dxa"/>
        </w:tblCellMar>
        <w:tblLook w:val="04A0" w:firstRow="1" w:lastRow="0" w:firstColumn="1" w:lastColumn="0" w:noHBand="0" w:noVBand="1"/>
      </w:tblPr>
      <w:tblGrid>
        <w:gridCol w:w="765"/>
        <w:gridCol w:w="9060"/>
      </w:tblGrid>
      <w:tr w:rsidR="008E3F15">
        <w:trPr>
          <w:trHeight w:val="330"/>
        </w:trPr>
        <w:tc>
          <w:tcPr>
            <w:tcW w:w="765" w:type="dxa"/>
            <w:tcBorders>
              <w:top w:val="single" w:sz="6" w:space="0" w:color="000000"/>
              <w:left w:val="single" w:sz="6" w:space="0" w:color="000000"/>
              <w:bottom w:val="single" w:sz="6" w:space="0" w:color="000000"/>
              <w:right w:val="nil"/>
            </w:tcBorders>
          </w:tcPr>
          <w:p w:rsidR="008E3F15" w:rsidRDefault="005F449A">
            <w:pPr>
              <w:spacing w:after="0" w:line="259" w:lineRule="auto"/>
              <w:ind w:left="6" w:right="0" w:firstLine="0"/>
              <w:jc w:val="both"/>
            </w:pPr>
            <w:r>
              <w:rPr>
                <w:b/>
                <w:bdr w:val="single" w:sz="12" w:space="0" w:color="000000"/>
              </w:rPr>
              <w:t>Класс</w:t>
            </w:r>
          </w:p>
        </w:tc>
        <w:tc>
          <w:tcPr>
            <w:tcW w:w="906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Характеристика</w:t>
            </w:r>
          </w:p>
        </w:tc>
      </w:tr>
      <w:tr w:rsidR="008E3F15">
        <w:trPr>
          <w:trHeight w:val="330"/>
        </w:trPr>
        <w:tc>
          <w:tcPr>
            <w:tcW w:w="7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w:t>
            </w:r>
          </w:p>
        </w:tc>
        <w:tc>
          <w:tcPr>
            <w:tcW w:w="906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Обычная физическая активность без усталости, одышки или сердцебиения</w:t>
            </w:r>
          </w:p>
        </w:tc>
      </w:tr>
      <w:tr w:rsidR="008E3F15">
        <w:trPr>
          <w:trHeight w:val="330"/>
        </w:trPr>
        <w:tc>
          <w:tcPr>
            <w:tcW w:w="76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t>II</w:t>
            </w:r>
          </w:p>
        </w:tc>
        <w:tc>
          <w:tcPr>
            <w:tcW w:w="906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Обычная физическая активность вызывает усталость, одышку или сердцебиение</w:t>
            </w:r>
          </w:p>
        </w:tc>
      </w:tr>
      <w:tr w:rsidR="008E3F15">
        <w:trPr>
          <w:trHeight w:val="330"/>
        </w:trPr>
        <w:tc>
          <w:tcPr>
            <w:tcW w:w="7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III</w:t>
            </w:r>
          </w:p>
        </w:tc>
        <w:tc>
          <w:tcPr>
            <w:tcW w:w="9060"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Небольшая физическая активность вызывает симптомы</w:t>
            </w:r>
          </w:p>
        </w:tc>
      </w:tr>
      <w:tr w:rsidR="008E3F15">
        <w:trPr>
          <w:trHeight w:val="330"/>
        </w:trPr>
        <w:tc>
          <w:tcPr>
            <w:tcW w:w="76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t>IV</w:t>
            </w:r>
          </w:p>
        </w:tc>
        <w:tc>
          <w:tcPr>
            <w:tcW w:w="906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pPr>
            <w:r>
              <w:rPr>
                <w:bdr w:val="single" w:sz="12" w:space="0" w:color="000000"/>
              </w:rPr>
              <w:t>Симптомы могут быть в покое, усиливаются при любой физической активности</w:t>
            </w:r>
          </w:p>
        </w:tc>
      </w:tr>
    </w:tbl>
    <w:p w:rsidR="008E3F15" w:rsidRDefault="005F449A">
      <w:pPr>
        <w:ind w:left="2" w:right="15"/>
      </w:pPr>
      <w:r>
        <w:t>В случаях пониженной или сохраненной ФВЛЖ для установления диагноза необходимо определение натрийуретического пептида, гипертрофии левого желудочка/дилатации левого предсердия или признаков диастолической дисфункции левого желудочка по данным эхокардиограф</w:t>
      </w:r>
      <w:r>
        <w:t>ии.</w:t>
      </w:r>
    </w:p>
    <w:p w:rsidR="008E3F15" w:rsidRDefault="005F449A">
      <w:pPr>
        <w:ind w:left="2" w:right="15"/>
      </w:pPr>
      <w:r>
        <w:t>Экспертами РКО предложено выделить следующие этапы развития СН: высокий риск, предсердечная недостаточность (поражение сердца, повышение натрийуретического пептида без симптомов СН), 1-й (симптомы и признаки СН) и 2-й (далеко зашедшая, тяжелая СН) стад</w:t>
      </w:r>
      <w:r>
        <w:t>ии, которые соответствуют стадиями A–D зарубежных классификаций.</w:t>
      </w:r>
    </w:p>
    <w:p w:rsidR="008E3F15" w:rsidRDefault="005F449A">
      <w:pPr>
        <w:ind w:left="2" w:right="15"/>
      </w:pPr>
      <w:r>
        <w:t>При оформлении диагноза следует учитывать, что декомпенсация является формой острой СН и не следует указывать ФК и стадию (</w:t>
      </w:r>
      <w:r>
        <w:rPr>
          <w:b/>
        </w:rPr>
        <w:t>табл. 8.3</w:t>
      </w:r>
      <w:r>
        <w:t>).</w:t>
      </w:r>
    </w:p>
    <w:p w:rsidR="008E3F15" w:rsidRDefault="005F449A">
      <w:pPr>
        <w:spacing w:after="31"/>
        <w:ind w:left="2" w:right="15"/>
      </w:pPr>
      <w:r>
        <w:rPr>
          <w:b/>
        </w:rPr>
        <w:t xml:space="preserve">Таблица 8.3. </w:t>
      </w:r>
      <w:r>
        <w:t>Примеры оформления диагноза</w:t>
      </w:r>
    </w:p>
    <w:tbl>
      <w:tblPr>
        <w:tblStyle w:val="TableGrid"/>
        <w:tblW w:w="10485" w:type="dxa"/>
        <w:tblInd w:w="37" w:type="dxa"/>
        <w:tblCellMar>
          <w:top w:w="58" w:type="dxa"/>
          <w:left w:w="45" w:type="dxa"/>
          <w:bottom w:w="0" w:type="dxa"/>
          <w:right w:w="115" w:type="dxa"/>
        </w:tblCellMar>
        <w:tblLook w:val="04A0" w:firstRow="1" w:lastRow="0" w:firstColumn="1" w:lastColumn="0" w:noHBand="0" w:noVBand="1"/>
      </w:tblPr>
      <w:tblGrid>
        <w:gridCol w:w="9165"/>
        <w:gridCol w:w="1320"/>
      </w:tblGrid>
      <w:tr w:rsidR="008E3F15">
        <w:trPr>
          <w:trHeight w:val="570"/>
        </w:trPr>
        <w:tc>
          <w:tcPr>
            <w:tcW w:w="91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Код</w:t>
            </w:r>
          </w:p>
          <w:p w:rsidR="008E3F15" w:rsidRDefault="005F449A">
            <w:pPr>
              <w:spacing w:after="0" w:line="259" w:lineRule="auto"/>
              <w:ind w:left="4" w:right="0" w:firstLine="0"/>
            </w:pPr>
            <w:r>
              <w:rPr>
                <w:b/>
              </w:rPr>
              <w:t>МКБ-10</w:t>
            </w:r>
          </w:p>
        </w:tc>
      </w:tr>
      <w:tr w:rsidR="008E3F15">
        <w:trPr>
          <w:trHeight w:val="570"/>
        </w:trPr>
        <w:tc>
          <w:tcPr>
            <w:tcW w:w="91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Дилатационная кардиомиопатия, блокада левой ножки пучка Гиса (240 мс), ХСН с низкой ФВЛЖ (26%, 10.03.2023), NYHA III</w:t>
            </w:r>
          </w:p>
        </w:tc>
        <w:tc>
          <w:tcPr>
            <w:tcW w:w="13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I42.0</w:t>
            </w:r>
          </w:p>
        </w:tc>
      </w:tr>
      <w:tr w:rsidR="008E3F15">
        <w:trPr>
          <w:trHeight w:val="548"/>
        </w:trPr>
        <w:tc>
          <w:tcPr>
            <w:tcW w:w="91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1334" w:firstLine="0"/>
            </w:pPr>
            <w:r>
              <w:t>Гипертоническая болезнь. Хроническая сердечная недостаточность с сохраненной ФВЛЖ, NYHA II. Отеки ног (амлодипин)</w:t>
            </w:r>
          </w:p>
        </w:tc>
        <w:tc>
          <w:tcPr>
            <w:tcW w:w="132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4" w:right="0" w:firstLine="0"/>
            </w:pPr>
            <w:r>
              <w:t>I11.0</w:t>
            </w:r>
          </w:p>
        </w:tc>
      </w:tr>
      <w:tr w:rsidR="008E3F15">
        <w:trPr>
          <w:trHeight w:val="548"/>
        </w:trPr>
        <w:tc>
          <w:tcPr>
            <w:tcW w:w="91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729" w:firstLine="0"/>
            </w:pPr>
            <w:r>
              <w:t>Инфаркт миокарда (2011, 2017). Хроническая сердечная недостаточность с низкой ФВЛЖ (28%, 17.09.2023)</w:t>
            </w:r>
          </w:p>
        </w:tc>
        <w:tc>
          <w:tcPr>
            <w:tcW w:w="132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I22</w:t>
            </w:r>
          </w:p>
        </w:tc>
      </w:tr>
    </w:tbl>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ind w:left="2" w:right="15"/>
      </w:pPr>
      <w:r>
        <w:t>При подозрении на СН рекомендован диагностический алгоритм с подтверждением симптомов с помощью натрийуретического пептида (</w:t>
      </w:r>
      <w:r>
        <w:rPr>
          <w:b/>
        </w:rPr>
        <w:t>рис. 8.1</w:t>
      </w:r>
      <w:r>
        <w:t>).</w:t>
      </w:r>
    </w:p>
    <w:p w:rsidR="008E3F15" w:rsidRDefault="005F449A">
      <w:pPr>
        <w:spacing w:after="65" w:line="259" w:lineRule="auto"/>
        <w:ind w:left="7" w:right="0" w:firstLine="0"/>
      </w:pPr>
      <w:r>
        <w:rPr>
          <w:noProof/>
        </w:rPr>
        <w:drawing>
          <wp:inline distT="0" distB="0" distL="0" distR="0">
            <wp:extent cx="5057775" cy="3314700"/>
            <wp:effectExtent l="0" t="0" r="0" b="0"/>
            <wp:docPr id="10758" name="Picture 10758"/>
            <wp:cNvGraphicFramePr/>
            <a:graphic xmlns:a="http://schemas.openxmlformats.org/drawingml/2006/main">
              <a:graphicData uri="http://schemas.openxmlformats.org/drawingml/2006/picture">
                <pic:pic xmlns:pic="http://schemas.openxmlformats.org/drawingml/2006/picture">
                  <pic:nvPicPr>
                    <pic:cNvPr id="10758" name="Picture 10758"/>
                    <pic:cNvPicPr/>
                  </pic:nvPicPr>
                  <pic:blipFill>
                    <a:blip r:embed="rId107"/>
                    <a:stretch>
                      <a:fillRect/>
                    </a:stretch>
                  </pic:blipFill>
                  <pic:spPr>
                    <a:xfrm>
                      <a:off x="0" y="0"/>
                      <a:ext cx="5057775" cy="3314700"/>
                    </a:xfrm>
                    <a:prstGeom prst="rect">
                      <a:avLst/>
                    </a:prstGeom>
                  </pic:spPr>
                </pic:pic>
              </a:graphicData>
            </a:graphic>
          </wp:inline>
        </w:drawing>
      </w:r>
    </w:p>
    <w:p w:rsidR="008E3F15" w:rsidRDefault="005F449A">
      <w:pPr>
        <w:spacing w:after="31"/>
        <w:ind w:left="2" w:right="15"/>
      </w:pPr>
      <w:r>
        <w:rPr>
          <w:b/>
        </w:rPr>
        <w:t xml:space="preserve">Рис. 8.1. </w:t>
      </w:r>
      <w:r>
        <w:t>Алгоритм диагностики сердечной недостаточности (ESC; AHA/ACC/HFSA)</w:t>
      </w:r>
    </w:p>
    <w:p w:rsidR="008E3F15" w:rsidRDefault="005F449A">
      <w:pPr>
        <w:ind w:left="2" w:right="15"/>
      </w:pPr>
      <w:r>
        <w:t>У пациентов с установленным диагнозом выра</w:t>
      </w:r>
      <w:r>
        <w:t>женной застойной СН важное значение имеет ежедневный контроль гемодинамических параметров и особенно массы тела с помощью дневника, где также указываются принимаемые препараты и дозы.</w:t>
      </w:r>
    </w:p>
    <w:p w:rsidR="008E3F15" w:rsidRDefault="005F449A">
      <w:pPr>
        <w:ind w:left="2" w:right="15"/>
      </w:pPr>
      <w:r>
        <w:t>Мониторинг массы тела позволяет своевременно выявить ухудшение застойной</w:t>
      </w:r>
      <w:r>
        <w:t xml:space="preserve"> СН и усилить лечение, не доводя ситуацию до декомпенсации и госпитализации (</w:t>
      </w:r>
      <w:r>
        <w:rPr>
          <w:b/>
        </w:rPr>
        <w:t>рис. 8.2</w:t>
      </w:r>
      <w:r>
        <w:t>). У ряда мотивированных пациентов без депрессии, ранее госпитализированных с декомпенсацией СН, дистанционное неинвазивное мониторирование (масса тела, АД, ЧСС, S</w:t>
      </w:r>
      <w:r>
        <w:rPr>
          <w:sz w:val="31"/>
          <w:vertAlign w:val="subscript"/>
        </w:rPr>
        <w:t>p</w:t>
      </w:r>
      <w:r>
        <w:t>O</w:t>
      </w:r>
      <w:r>
        <w:rPr>
          <w:sz w:val="31"/>
          <w:vertAlign w:val="subscript"/>
        </w:rPr>
        <w:t>2</w:t>
      </w:r>
      <w:r>
        <w:t>) мож</w:t>
      </w:r>
      <w:r>
        <w:t>ет улучшить прогноз (TIM-HF2).</w:t>
      </w:r>
    </w:p>
    <w:p w:rsidR="008E3F15" w:rsidRDefault="005F449A">
      <w:pPr>
        <w:spacing w:after="65" w:line="259" w:lineRule="auto"/>
        <w:ind w:left="7" w:right="0" w:firstLine="0"/>
      </w:pPr>
      <w:r>
        <w:rPr>
          <w:noProof/>
        </w:rPr>
        <w:drawing>
          <wp:inline distT="0" distB="0" distL="0" distR="0">
            <wp:extent cx="5057775" cy="2724150"/>
            <wp:effectExtent l="0" t="0" r="0" b="0"/>
            <wp:docPr id="10776" name="Picture 10776"/>
            <wp:cNvGraphicFramePr/>
            <a:graphic xmlns:a="http://schemas.openxmlformats.org/drawingml/2006/main">
              <a:graphicData uri="http://schemas.openxmlformats.org/drawingml/2006/picture">
                <pic:pic xmlns:pic="http://schemas.openxmlformats.org/drawingml/2006/picture">
                  <pic:nvPicPr>
                    <pic:cNvPr id="10776" name="Picture 10776"/>
                    <pic:cNvPicPr/>
                  </pic:nvPicPr>
                  <pic:blipFill>
                    <a:blip r:embed="rId108"/>
                    <a:stretch>
                      <a:fillRect/>
                    </a:stretch>
                  </pic:blipFill>
                  <pic:spPr>
                    <a:xfrm>
                      <a:off x="0" y="0"/>
                      <a:ext cx="5057775" cy="2724150"/>
                    </a:xfrm>
                    <a:prstGeom prst="rect">
                      <a:avLst/>
                    </a:prstGeom>
                  </pic:spPr>
                </pic:pic>
              </a:graphicData>
            </a:graphic>
          </wp:inline>
        </w:drawing>
      </w:r>
    </w:p>
    <w:p w:rsidR="008E3F15" w:rsidRDefault="005F449A">
      <w:pPr>
        <w:spacing w:after="31"/>
        <w:ind w:left="2" w:right="15"/>
      </w:pPr>
      <w:r>
        <w:rPr>
          <w:b/>
        </w:rPr>
        <w:t xml:space="preserve">Рис. 8.2. </w:t>
      </w:r>
      <w:r>
        <w:t>Пример ежедневного мониторирования массы тела</w:t>
      </w:r>
    </w:p>
    <w:p w:rsidR="008E3F15" w:rsidRDefault="005F449A">
      <w:pPr>
        <w:ind w:left="2" w:right="15"/>
      </w:pPr>
      <w:r>
        <w:t>Для мониторинга состояния помогают тест 6-минутной ходьбы, программы для мобильных устройств с передачей данных врачу. Повышение после реабилитационных мероприятий тес</w:t>
      </w:r>
      <w:r>
        <w:t>та 6-минутной ходьбы &gt;50 м ассоциируется со снижением отдаленной смертности</w:t>
      </w:r>
    </w:p>
    <w:p w:rsidR="008E3F15" w:rsidRDefault="005F449A">
      <w:pPr>
        <w:spacing w:after="31"/>
        <w:ind w:left="2" w:right="15"/>
      </w:pPr>
      <w:r>
        <w:t>(Scrutinio D. et al., 2022).</w:t>
      </w:r>
    </w:p>
    <w:p w:rsidR="008E3F15" w:rsidRDefault="005F449A">
      <w:pPr>
        <w:spacing w:after="31"/>
        <w:ind w:left="2" w:right="15"/>
      </w:pPr>
      <w:r>
        <w:t>Периодическая (каждые 3–12 мес в зависимости от состояния) оценка ЭКГ</w:t>
      </w:r>
    </w:p>
    <w:p w:rsidR="008E3F15" w:rsidRDefault="005F449A">
      <w:pPr>
        <w:ind w:left="2" w:right="15"/>
      </w:pPr>
      <w:r>
        <w:t>(внутрижелудочковая блокада, ФП), эхокардиографии (ФВЛЖ, размеры камер сердца) по</w:t>
      </w:r>
      <w:r>
        <w:t>зволяет своевременно определять необходимость инвазивного лечения.</w:t>
      </w:r>
    </w:p>
    <w:p w:rsidR="008E3F15" w:rsidRDefault="005F449A">
      <w:pPr>
        <w:ind w:left="2" w:right="15"/>
      </w:pPr>
      <w:r>
        <w:t xml:space="preserve">Гемодинамический мониторинг с помощью имплантируемых устройств позволяет снизить частоту ухудшений и госпитализаций пациентов с разными формами СН (Curtain J. et al., 2023). </w:t>
      </w:r>
      <w:r>
        <w:rPr>
          <w:b/>
        </w:rPr>
        <w:t>Натрийуретическ</w:t>
      </w:r>
      <w:r>
        <w:rPr>
          <w:b/>
        </w:rPr>
        <w:t xml:space="preserve">ие пептиды. </w:t>
      </w:r>
      <w:r>
        <w:t>Оценка концентрации натрийуретических пептидов рекомендуется в качестве начального диагностического теста у пациентов с симптомами, предполагающими наличие СН, в первую очередь для исключения диагноза (см.</w:t>
      </w:r>
      <w:r>
        <w:rPr>
          <w:b/>
        </w:rPr>
        <w:t xml:space="preserve"> рис. 8.1</w:t>
      </w:r>
      <w:r>
        <w:t>). В случае стабильного течени</w:t>
      </w:r>
      <w:r>
        <w:t xml:space="preserve">я СН уровень NT-proBNP &lt;125 пг/мл или &lt;35 пг/мл для BNP обычно позволяет исключить СН. Ввиду большого числа причин повышения натрийуретических пептидов тест менее надежен для подтверждения диагноза. Оценка уровня натрийуретических пептидов позволяет также </w:t>
      </w:r>
      <w:r>
        <w:t>контролировать эффект лечения и снизить частоту госпитализаций (McLellan J. et al., 2020; Pufulete M. et al., 2018).</w:t>
      </w:r>
    </w:p>
    <w:p w:rsidR="008E3F15" w:rsidRDefault="005F449A">
      <w:pPr>
        <w:ind w:left="2" w:right="15"/>
      </w:pPr>
      <w:r>
        <w:t>Использование экспресс-тестов в амбулаторных и домашних условиях также может помочь выявить ухудшения СН, своевременно вносить коррективы в лечение и улучшить исходы, включая госпитализации с СН (Shimizu N. et al., 2020).</w:t>
      </w:r>
    </w:p>
    <w:p w:rsidR="008E3F15" w:rsidRDefault="005F449A">
      <w:pPr>
        <w:ind w:left="2" w:right="15"/>
      </w:pPr>
      <w:r>
        <w:rPr>
          <w:b/>
        </w:rPr>
        <w:t>Эхокардиография.</w:t>
      </w:r>
      <w:r>
        <w:t>При отсутствии при</w:t>
      </w:r>
      <w:r>
        <w:t>знаков систолической или диастолической дисфункции левого желудочка диагноз СН следует пересмотреть. Важным эхокардиографическим показателем является сократимость левого желудочка, которая оценивается по ФВЛЖ, вычисляемой по формуле Симпсона. Использование</w:t>
      </w:r>
      <w:r>
        <w:t xml:space="preserve"> простой формулы Тейхгольца не рекомендуется. Нормальные диапазоны ФВЛЖ для мужчин и женщин соответствуют 52–72 и 54–74% (ASE/EACVI). Точная оценка ФВЛЖ очень важна для выбора лечения.</w:t>
      </w:r>
    </w:p>
    <w:p w:rsidR="008E3F15" w:rsidRDefault="005F449A">
      <w:pPr>
        <w:ind w:left="2" w:right="563"/>
      </w:pPr>
      <w:r>
        <w:t>При оценке размеров камер сердца следует использовать индексы (отношени</w:t>
      </w:r>
      <w:r>
        <w:t>е размера к площади поверхности тела) согласно современным рекомендациям (Приложение, ASE/EACVI).</w:t>
      </w:r>
    </w:p>
    <w:p w:rsidR="008E3F15" w:rsidRDefault="005F449A">
      <w:pPr>
        <w:ind w:left="2" w:right="15"/>
      </w:pPr>
      <w:r>
        <w:t>Важно отметить, что сохраненная ФВЛЖ не является синонимом диастолической дисфункции мио карда.</w:t>
      </w:r>
    </w:p>
    <w:p w:rsidR="008E3F15" w:rsidRDefault="005F449A">
      <w:pPr>
        <w:spacing w:after="277"/>
        <w:ind w:left="2" w:right="419"/>
      </w:pPr>
      <w:r>
        <w:t>Последние рекомендации для диагностики диастолической дисфункц</w:t>
      </w:r>
      <w:r>
        <w:t>ии левого желудочка при отсутствии сниженной сократимости мио карда предлагают использовать наличие 3 из 4 следующих критериев (ASE/ACVI, HFA).</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799552" behindDoc="0" locked="0" layoutInCell="1" allowOverlap="1">
                <wp:simplePos x="0" y="0"/>
                <wp:positionH relativeFrom="column">
                  <wp:posOffset>214164</wp:posOffset>
                </wp:positionH>
                <wp:positionV relativeFrom="paragraph">
                  <wp:posOffset>32524</wp:posOffset>
                </wp:positionV>
                <wp:extent cx="57150" cy="514350"/>
                <wp:effectExtent l="0" t="0" r="0" b="0"/>
                <wp:wrapSquare wrapText="bothSides"/>
                <wp:docPr id="285898" name="Group 28589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0833" name="Shape 10833"/>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837" name="Shape 1083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839" name="Shape 1083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0841" name="Shape 10841"/>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5898" style="width:4.5pt;height:40.5pt;position:absolute;mso-position-horizontal-relative:text;mso-position-horizontal:absolute;margin-left:16.8633pt;mso-position-vertical-relative:text;margin-top:2.56091pt;" coordsize="571,5143">
                <v:shape id="Shape 10833" style="position:absolute;width:571;height:571;left:0;top:0;"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10" on="false" color="#000000" opacity="0"/>
                  <v:fill on="true" color="#333333"/>
                </v:shape>
                <v:shape id="Shape 10837" style="position:absolute;width:571;height:571;left:0;top:1524;"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10" on="false" color="#000000" opacity="0"/>
                  <v:fill on="true" color="#333333"/>
                </v:shape>
                <v:shape id="Shape 10839" style="position:absolute;width:571;height:571;left:0;top:3048;"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10" on="false" color="#000000" opacity="0"/>
                  <v:fill on="true" color="#333333"/>
                </v:shape>
                <v:shape id="Shape 10841" style="position:absolute;width:571;height:571;left:0;top:4572;" coordsize="57150,57150" path="m28575,0c32364,0,36009,695,39510,2084c43011,3473,46101,5556,48781,8334c51460,10914,53525,14089,54975,17562c56425,21034,57150,24805,57150,28575c57150,32345,56425,35917,54975,39489c53525,42962,51460,46038,48781,48716c46101,51395,43011,53479,39510,54967c36009,56356,32364,57051,28575,57150c24786,57051,21141,56356,17640,54967c14139,53479,11049,51395,8369,48716c5690,46038,3625,42962,2175,39489c725,35917,0,32345,0,28575c0,24805,725,21034,2175,17562c3625,14089,5690,10914,8369,8334c11049,5556,14139,3473,17640,2084c21141,695,24786,0,28575,0x">
                  <v:stroke weight="0pt" endcap="flat" joinstyle="miter" miterlimit="10" on="false" color="#000000" opacity="0"/>
                  <v:fill on="true" color="#333333"/>
                </v:shape>
                <w10:wrap type="square"/>
              </v:group>
            </w:pict>
          </mc:Fallback>
        </mc:AlternateContent>
      </w:r>
      <w:r>
        <w:t>Индекс объема левого предсердия &gt;34 мл/м</w:t>
      </w:r>
      <w:r>
        <w:rPr>
          <w:sz w:val="31"/>
          <w:vertAlign w:val="superscript"/>
        </w:rPr>
        <w:t>2</w:t>
      </w:r>
      <w:r>
        <w:t>.</w:t>
      </w:r>
    </w:p>
    <w:p w:rsidR="008E3F15" w:rsidRDefault="005F449A">
      <w:pPr>
        <w:spacing w:after="31"/>
        <w:ind w:left="347" w:right="15"/>
      </w:pPr>
      <w:r>
        <w:t>Среднее E/e’ ≥15.</w:t>
      </w:r>
    </w:p>
    <w:p w:rsidR="008E3F15" w:rsidRDefault="005F449A">
      <w:pPr>
        <w:spacing w:after="179"/>
        <w:ind w:left="347" w:right="1419"/>
      </w:pPr>
      <w:r>
        <w:t>Септальная скорость e’ &lt;7 см/с или латеральная скорость &lt;10 см/с. Скорость трикуспидальной регургитации &gt;2,8 м/с.</w:t>
      </w:r>
    </w:p>
    <w:p w:rsidR="008E3F15" w:rsidRDefault="005F449A">
      <w:pPr>
        <w:ind w:left="2" w:right="565"/>
      </w:pPr>
      <w:r>
        <w:t xml:space="preserve">Следует отметить, что индекс объема левого предсердия больше коррелирует с ФП, чем с характеристиками СН (Gehlken C. et al., 2021). В связи с </w:t>
      </w:r>
      <w:r>
        <w:t>низкой чувствительностью эхокардиографии в покое для диагностики диастолической СН может помочь стресс-тест с оценкой E/e’.</w:t>
      </w:r>
    </w:p>
    <w:p w:rsidR="008E3F15" w:rsidRDefault="005F449A">
      <w:pPr>
        <w:ind w:left="2" w:right="15"/>
      </w:pPr>
      <w:r>
        <w:t>У пациентов с СНпФВ уменьшение переносимости нагрузок связывают с хронотропной некомпетентностью, периферическими факторами, снижени</w:t>
      </w:r>
      <w:r>
        <w:t>ем резерва ударного объема, которые могут быть обусловлены функциональной митральной регургитацией и дисфункцией правого желудочка (Topilsky Y. et al., 2017).</w:t>
      </w:r>
    </w:p>
    <w:p w:rsidR="008E3F15" w:rsidRDefault="005F449A">
      <w:pPr>
        <w:ind w:left="2" w:right="15"/>
      </w:pPr>
      <w:r>
        <w:rPr>
          <w:b/>
        </w:rPr>
        <w:t xml:space="preserve">ЭКГ </w:t>
      </w:r>
      <w:r>
        <w:t>позволяет оценить наличие острого или перенесенного ИМ, гипертрофии камер сердца, аритмий. Пр</w:t>
      </w:r>
      <w:r>
        <w:t xml:space="preserve">и нарушении проведения у пациентов с СНнФВ важно точно оценить ширину комплекса </w:t>
      </w:r>
      <w:r>
        <w:rPr>
          <w:i/>
        </w:rPr>
        <w:t>QRS</w:t>
      </w:r>
      <w:r>
        <w:t xml:space="preserve"> (стандартно во II отведении, в грудных отведениях </w:t>
      </w:r>
      <w:r>
        <w:rPr>
          <w:i/>
        </w:rPr>
        <w:t>QRS</w:t>
      </w:r>
      <w:r>
        <w:t xml:space="preserve"> шире) для оценки возможности СРТ. Нормальная ЭКГ не характерна для дисфункции левого желудочка и СН. При мониторирован</w:t>
      </w:r>
      <w:r>
        <w:t xml:space="preserve">ии ЭКГ можно оценить степень контроля ЧСС при тахиаритмиях, частоту желудочковых ЭС, которые могут существенно повлиять на гемодинамику, эпизоды ФП. </w:t>
      </w:r>
      <w:r>
        <w:rPr>
          <w:b/>
        </w:rPr>
        <w:t>Магнитно-резонансная томография</w:t>
      </w:r>
      <w:r>
        <w:t xml:space="preserve"> используется для диагностики заболеваний мио карда (например, мио кардита, </w:t>
      </w:r>
      <w:r>
        <w:t>амилоидоза, гемохроматоза, саркоидоза). При мио кардите выявляют локальное или глобальное усиление интенсивности сигнала на Т2-взвешенных изображениях</w:t>
      </w:r>
    </w:p>
    <w:p w:rsidR="008E3F15" w:rsidRDefault="005F449A">
      <w:pPr>
        <w:spacing w:after="359"/>
        <w:ind w:left="2" w:right="146"/>
      </w:pPr>
      <w:r>
        <w:t>(отек), повышение отношения раннего гадолиниевого усиления мио карда и скелетных мышц (≥4) в гадолиний-ус</w:t>
      </w:r>
      <w:r>
        <w:t>иленных Т1-взвешенных изображениях (отек, гиперемия), локальное повреждение с неишемическим типом распределения в инвертированных Т1-взвешенных изображениях (позднее гадолиниевое усиление). Магнитно-резонансная томография помогает уточнить причину неишемич</w:t>
      </w:r>
      <w:r>
        <w:t>еской СН, однако рутинное использование не улучшило прогноз по сравнению с селективным применением (IMAGE-HF 1B).</w:t>
      </w:r>
    </w:p>
    <w:p w:rsidR="008E3F15" w:rsidRDefault="005F449A">
      <w:pPr>
        <w:pStyle w:val="Heading1"/>
        <w:ind w:left="2"/>
      </w:pPr>
      <w:r>
        <w:t>Часть I. Сердечно-сосудистые болезни</w:t>
      </w:r>
    </w:p>
    <w:p w:rsidR="008E3F15" w:rsidRDefault="005F449A">
      <w:pPr>
        <w:ind w:left="2" w:right="15"/>
      </w:pPr>
      <w:r>
        <w:rPr>
          <w:b/>
        </w:rPr>
        <w:t>Коронарная ангиография</w:t>
      </w:r>
      <w:r>
        <w:t xml:space="preserve"> (неинвазивная или инвазивная) выполняется при подозрении на коронарную болезнь сер</w:t>
      </w:r>
      <w:r>
        <w:t>дца, если возможна реваскуляризация мио карда. Ранняя КГ у пациентов с острой СН может снизить смертность и улучшить прогноз сердечно-сосудистых событий (Kosyakovsky L. et al., 2021).</w:t>
      </w:r>
    </w:p>
    <w:p w:rsidR="008E3F15" w:rsidRDefault="005F449A">
      <w:pPr>
        <w:ind w:left="2" w:right="185"/>
      </w:pPr>
      <w:r>
        <w:rPr>
          <w:b/>
        </w:rPr>
        <w:t>Эндомио кардиальная биопсия</w:t>
      </w:r>
      <w:r>
        <w:t xml:space="preserve"> с иммуногистохимической оценкой биоптата поз</w:t>
      </w:r>
      <w:r>
        <w:t xml:space="preserve">воляет выявить признаки мио кардита (воспалительный инфильтрат, некроз мио карда, вирусы), исключить дилатационную кардиомиопатию и болезни накопления. Эндомио кардиальная биопсия особенно полезна при быстро прогрессирующей СН неясной природы, несмотря на </w:t>
      </w:r>
      <w:r>
        <w:t>адекватное медикаментозное лечение, когда может быть выявлено заболевание, требующее специфического лечения.</w:t>
      </w:r>
    </w:p>
    <w:p w:rsidR="008E3F15" w:rsidRDefault="005F449A">
      <w:pPr>
        <w:ind w:left="2" w:right="274"/>
      </w:pPr>
      <w:r>
        <w:rPr>
          <w:b/>
        </w:rPr>
        <w:t>Генетические тесты</w:t>
      </w:r>
      <w:r>
        <w:t>могут быть полезными у некоторых пациентов с гипертрофической, идиопатической дилатационной, аритмогенной кардиомиопатией для уто</w:t>
      </w:r>
      <w:r>
        <w:t>чнения прогноза и раннего выявления заболевания у родственников.</w:t>
      </w:r>
    </w:p>
    <w:p w:rsidR="008E3F15" w:rsidRDefault="005F449A">
      <w:pPr>
        <w:ind w:left="2" w:right="15"/>
      </w:pPr>
      <w:r>
        <w:t>Удаленный мониторинг давления в легочной артерии с помощью имплантируемого устройства CardioMEMS-HF позволил снизить частоту госпитализаций и улучшить качество жизни у пациентов с СНнФВ и III</w:t>
      </w:r>
      <w:r>
        <w:t xml:space="preserve"> классом NYHA в рандомизированном исследовании MONITOR-HF.</w:t>
      </w:r>
    </w:p>
    <w:p w:rsidR="008E3F15" w:rsidRDefault="005F449A">
      <w:pPr>
        <w:spacing w:after="359"/>
        <w:ind w:left="2" w:right="747"/>
      </w:pPr>
      <w:r>
        <w:rPr>
          <w:b/>
        </w:rPr>
        <w:t>Прогноз.</w:t>
      </w:r>
      <w:r>
        <w:t xml:space="preserve"> С целью предсказания риска смерти в ближайшие 1–5 лет у пациентов с хронической СН можно использовать валидизированные шкалы SHFM и MAGGIC. Для пациентов с СН и сохраненной ФВЛЖ разработана шкала H2FPEF.</w:t>
      </w:r>
    </w:p>
    <w:p w:rsidR="008E3F15" w:rsidRDefault="005F449A">
      <w:pPr>
        <w:pStyle w:val="Heading1"/>
        <w:ind w:left="2"/>
      </w:pPr>
      <w:r>
        <w:t>Часть I. Сердечно-сосудистые болезни</w:t>
      </w:r>
    </w:p>
    <w:p w:rsidR="008E3F15" w:rsidRDefault="005F449A">
      <w:pPr>
        <w:spacing w:after="31"/>
        <w:ind w:left="2" w:right="15"/>
      </w:pPr>
      <w:r>
        <w:t>Лечение</w:t>
      </w:r>
    </w:p>
    <w:p w:rsidR="008E3F15" w:rsidRDefault="005F449A">
      <w:pPr>
        <w:ind w:left="2" w:right="15"/>
      </w:pPr>
      <w:r>
        <w:t>Если э</w:t>
      </w:r>
      <w:r>
        <w:t>то возможно, следует устранить или нивелировать влияние причины СН, включая реваскуляризацию мио карда, коррекцию порока сердца, мышечной обструкции, воспаления. Лечение СН направлено на уменьшение симптомов и повышение выживаемости. В период декомпенсации</w:t>
      </w:r>
      <w:r>
        <w:t xml:space="preserve"> (острой СН) проводится активная диуретическая терапия и назначаются вазодилатирующие препараты при низкой сократимости мио карда. После улучшения состояния продолжается лечение поддерживающими дозами, направленное на предотвращение декомпенсации СН и повы</w:t>
      </w:r>
      <w:r>
        <w:t>шение выживаемости с помощью лекарственных препаратов и имплантируемых устройств. При ухудшении состояния пациенты могут повышать дозы лекарственных препаратов, чего сложнее добиться у стариков и при коморбидности (QUALIFY).</w:t>
      </w:r>
    </w:p>
    <w:p w:rsidR="008E3F15" w:rsidRDefault="005F449A">
      <w:pPr>
        <w:ind w:left="2" w:right="15"/>
      </w:pPr>
      <w:r>
        <w:t xml:space="preserve">Исследования показывают, что в </w:t>
      </w:r>
      <w:r>
        <w:t>течение года после госпитализации целевые дозы основных препаратов достигают только 10–30% пациентов, а 24–55% прекращают прием, что увеличивает заболеваемость и смертность (Savarese G. et al., 2021; Pierce J. et al., 2022). Существенное значение в эффекти</w:t>
      </w:r>
      <w:r>
        <w:t>вности лечения имеет приверженность к лечению и повышение мотивации пациента и ухаживающих к продолжению активной борьбы за сохранение здоровья (MOTIVATE-HF).</w:t>
      </w:r>
    </w:p>
    <w:p w:rsidR="008E3F15" w:rsidRDefault="005F449A">
      <w:pPr>
        <w:ind w:left="2" w:right="179"/>
      </w:pPr>
      <w:r>
        <w:t xml:space="preserve">Наряду с лекарственными препаратами лечение пациентов со стабильной СН включает ограничение соли </w:t>
      </w:r>
      <w:r>
        <w:t>[до 8 г/сут при симптомной СН (AHA/ACCF)], физические нагрузки. Значительное ограничение потребления соли может привести к гипонатриемии и увеличить риск повторных госпитализаций и смертность (Paterna S. et al., 2008; Doukky R. et al., 2016). Физические тр</w:t>
      </w:r>
      <w:r>
        <w:t>енировки увеличивают функциональные возможности пациентов с СН и качество жизни.</w:t>
      </w:r>
    </w:p>
    <w:p w:rsidR="008E3F15" w:rsidRDefault="005F449A">
      <w:pPr>
        <w:ind w:left="2" w:right="15"/>
      </w:pPr>
      <w:r>
        <w:rPr>
          <w:b/>
        </w:rPr>
        <w:t>Медикаментозное лечение.</w:t>
      </w:r>
      <w:r>
        <w:t xml:space="preserve"> Для устранения отеков и застоя назначают диуретики. Диуретическую терапию целесообразно проводить под контролем ежедневного измерения массы тела. Обыч</w:t>
      </w:r>
      <w:r>
        <w:t>но адекватный диурез поддерживают с помощью торасемида, а фуросемид применяют для быстрого контроля.</w:t>
      </w:r>
    </w:p>
    <w:p w:rsidR="008E3F15" w:rsidRDefault="005F449A">
      <w:pPr>
        <w:ind w:left="2" w:right="15"/>
      </w:pPr>
      <w:r>
        <w:t>Торасемид обладает лучшей биодоступностью при всасывании в кишечнике и длительностью действия по сравнению с фуросемидом, а также имеет антиальдостероновый</w:t>
      </w:r>
      <w:r>
        <w:t xml:space="preserve"> эффект. Однако препарат не снизил смертность и частоту госпитализаций по сравнению с фуросемидом при длительном приеме в рандомизированном исследовании TRANSFORM-HF.</w:t>
      </w:r>
    </w:p>
    <w:p w:rsidR="008E3F15" w:rsidRDefault="005F449A">
      <w:pPr>
        <w:ind w:left="2" w:right="15"/>
      </w:pPr>
      <w:r>
        <w:t>У пациентов с СНсФВ для улучшения гемодинамики, снижения госпитализаций и смертности пока</w:t>
      </w:r>
      <w:r>
        <w:t>заны β-адреноблокаторы, иАПФ/БРА или сакубитрил + валсартан, иНГЛТ-2, аМКР (</w:t>
      </w:r>
      <w:r>
        <w:rPr>
          <w:b/>
        </w:rPr>
        <w:t>рис. 8.3</w:t>
      </w:r>
      <w:r>
        <w:t xml:space="preserve">, </w:t>
      </w:r>
      <w:r>
        <w:rPr>
          <w:b/>
        </w:rPr>
        <w:t>табл. 8.4</w:t>
      </w:r>
      <w:r>
        <w:t>). Следует посредством титрования дозы добиваться целевых (максимально переносимых) доз иАПФ/БРА и β-адреноблокаторов, что может снизить смертность и частоту гос</w:t>
      </w:r>
      <w:r>
        <w:t>питализаций (BIOSTAT-CHF).</w:t>
      </w:r>
    </w:p>
    <w:p w:rsidR="008E3F15" w:rsidRDefault="005F449A">
      <w:pPr>
        <w:spacing w:after="65" w:line="259" w:lineRule="auto"/>
        <w:ind w:left="7" w:right="0" w:firstLine="0"/>
      </w:pPr>
      <w:r>
        <w:rPr>
          <w:noProof/>
        </w:rPr>
        <w:drawing>
          <wp:inline distT="0" distB="0" distL="0" distR="0">
            <wp:extent cx="5057775" cy="2638425"/>
            <wp:effectExtent l="0" t="0" r="0" b="0"/>
            <wp:docPr id="11045" name="Picture 11045"/>
            <wp:cNvGraphicFramePr/>
            <a:graphic xmlns:a="http://schemas.openxmlformats.org/drawingml/2006/main">
              <a:graphicData uri="http://schemas.openxmlformats.org/drawingml/2006/picture">
                <pic:pic xmlns:pic="http://schemas.openxmlformats.org/drawingml/2006/picture">
                  <pic:nvPicPr>
                    <pic:cNvPr id="11045" name="Picture 11045"/>
                    <pic:cNvPicPr/>
                  </pic:nvPicPr>
                  <pic:blipFill>
                    <a:blip r:embed="rId109"/>
                    <a:stretch>
                      <a:fillRect/>
                    </a:stretch>
                  </pic:blipFill>
                  <pic:spPr>
                    <a:xfrm>
                      <a:off x="0" y="0"/>
                      <a:ext cx="5057775" cy="2638425"/>
                    </a:xfrm>
                    <a:prstGeom prst="rect">
                      <a:avLst/>
                    </a:prstGeom>
                  </pic:spPr>
                </pic:pic>
              </a:graphicData>
            </a:graphic>
          </wp:inline>
        </w:drawing>
      </w:r>
    </w:p>
    <w:p w:rsidR="008E3F15" w:rsidRDefault="005F449A">
      <w:pPr>
        <w:ind w:left="2" w:right="15"/>
      </w:pPr>
      <w:r>
        <w:rPr>
          <w:b/>
        </w:rPr>
        <w:t xml:space="preserve">Рис. 8.3. </w:t>
      </w:r>
      <w:r>
        <w:t>Лечение хронической сердечной недостаточности в зависимости от фракции выброса левого желудочка (ESC; AHA/ACC/HFSA)</w:t>
      </w:r>
    </w:p>
    <w:p w:rsidR="008E3F15" w:rsidRDefault="005F449A">
      <w:pPr>
        <w:spacing w:after="31"/>
        <w:ind w:left="2" w:right="15"/>
      </w:pPr>
      <w:r>
        <w:rPr>
          <w:b/>
        </w:rPr>
        <w:t xml:space="preserve">Таблица 8.4. </w:t>
      </w:r>
      <w:r>
        <w:t>Дозы препаратов для лечения сердечной недостаточности (ESC; AHA/ACC/HFSA)</w:t>
      </w:r>
    </w:p>
    <w:tbl>
      <w:tblPr>
        <w:tblStyle w:val="TableGrid"/>
        <w:tblW w:w="10485" w:type="dxa"/>
        <w:tblInd w:w="37" w:type="dxa"/>
        <w:tblCellMar>
          <w:top w:w="80" w:type="dxa"/>
          <w:left w:w="38" w:type="dxa"/>
          <w:bottom w:w="0" w:type="dxa"/>
          <w:right w:w="46" w:type="dxa"/>
        </w:tblCellMar>
        <w:tblLook w:val="04A0" w:firstRow="1" w:lastRow="0" w:firstColumn="1" w:lastColumn="0" w:noHBand="0" w:noVBand="1"/>
      </w:tblPr>
      <w:tblGrid>
        <w:gridCol w:w="2310"/>
        <w:gridCol w:w="2655"/>
        <w:gridCol w:w="1845"/>
        <w:gridCol w:w="3675"/>
      </w:tblGrid>
      <w:tr w:rsidR="008E3F15">
        <w:trPr>
          <w:trHeight w:val="570"/>
        </w:trPr>
        <w:tc>
          <w:tcPr>
            <w:tcW w:w="2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Группа</w:t>
            </w:r>
          </w:p>
        </w:tc>
        <w:tc>
          <w:tcPr>
            <w:tcW w:w="26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Препара</w:t>
            </w:r>
            <w:r>
              <w:rPr>
                <w:b/>
              </w:rPr>
              <w:t>ты</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rPr>
                <w:b/>
              </w:rPr>
              <w:t>Доза начальная</w:t>
            </w:r>
          </w:p>
        </w:tc>
        <w:tc>
          <w:tcPr>
            <w:tcW w:w="3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rPr>
                <w:b/>
              </w:rPr>
              <w:t>Доза целевая</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β-</w:t>
            </w:r>
          </w:p>
          <w:p w:rsidR="008E3F15" w:rsidRDefault="005F449A">
            <w:pPr>
              <w:spacing w:after="0" w:line="259" w:lineRule="auto"/>
              <w:ind w:left="7" w:right="0" w:firstLine="0"/>
            </w:pPr>
            <w:r>
              <w:t>Адреноблокаторы</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Бисопролол</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 мг 1 раз</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Карведилол</w:t>
            </w:r>
          </w:p>
        </w:tc>
        <w:tc>
          <w:tcPr>
            <w:tcW w:w="18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3,125 мг 2 раза</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25 мг 2 раза, 50 мг 2 раза</w:t>
            </w:r>
          </w:p>
          <w:p w:rsidR="008E3F15" w:rsidRDefault="005F449A">
            <w:pPr>
              <w:spacing w:after="0" w:line="259" w:lineRule="auto"/>
              <w:ind w:right="0" w:firstLine="0"/>
            </w:pPr>
            <w:r>
              <w:t>(вес ≥85 кг)</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Метопролола сукцинат</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12,5–25 мг</w:t>
            </w:r>
          </w:p>
          <w:p w:rsidR="008E3F15" w:rsidRDefault="005F449A">
            <w:pPr>
              <w:spacing w:after="0" w:line="259" w:lineRule="auto"/>
              <w:ind w:left="7" w:right="0" w:firstLine="0"/>
            </w:pPr>
            <w:r>
              <w:t>1 раз</w:t>
            </w:r>
          </w:p>
        </w:tc>
        <w:tc>
          <w:tcPr>
            <w:tcW w:w="3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200 мг 1 раз</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иАПФ</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Эналаприл</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2,5 мг 2 раза</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10–20 мг 2 раза</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Лизиноприл</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2,5–5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20–40 мг 1 раз</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Рамиприл</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 мг 1 раз</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Трандолаприл</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4 мг 1 раз</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БРА</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Кандесартан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4–8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32 мг 1 раз</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Валсартан</w:t>
            </w:r>
          </w:p>
        </w:tc>
        <w:tc>
          <w:tcPr>
            <w:tcW w:w="184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7" w:right="0" w:firstLine="0"/>
            </w:pPr>
            <w:r>
              <w:t>40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160 мг 2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Лозартан</w:t>
            </w:r>
          </w:p>
        </w:tc>
        <w:tc>
          <w:tcPr>
            <w:tcW w:w="1845" w:type="dxa"/>
            <w:tcBorders>
              <w:top w:val="single" w:sz="6" w:space="0" w:color="000000"/>
              <w:left w:val="nil"/>
              <w:bottom w:val="single" w:sz="6" w:space="0" w:color="000000"/>
              <w:right w:val="nil"/>
            </w:tcBorders>
          </w:tcPr>
          <w:p w:rsidR="008E3F15" w:rsidRDefault="005F449A">
            <w:pPr>
              <w:spacing w:after="0" w:line="259" w:lineRule="auto"/>
              <w:ind w:left="7" w:right="0" w:firstLine="0"/>
            </w:pPr>
            <w:r>
              <w:rPr>
                <w:bdr w:val="single" w:sz="12" w:space="0" w:color="000000"/>
              </w:rPr>
              <w:t>25–50 мг 1 раз</w:t>
            </w:r>
          </w:p>
        </w:tc>
        <w:tc>
          <w:tcPr>
            <w:tcW w:w="36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right="0" w:firstLine="0"/>
            </w:pPr>
            <w:r>
              <w:t>150 мг 1 раз</w:t>
            </w:r>
          </w:p>
        </w:tc>
      </w:tr>
      <w:tr w:rsidR="008E3F15">
        <w:trPr>
          <w:trHeight w:val="57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аМКР</w:t>
            </w:r>
          </w:p>
        </w:tc>
        <w:tc>
          <w:tcPr>
            <w:tcW w:w="26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Спиронолактон</w:t>
            </w:r>
          </w:p>
        </w:tc>
        <w:tc>
          <w:tcPr>
            <w:tcW w:w="18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12,5–25 мг</w:t>
            </w:r>
          </w:p>
          <w:p w:rsidR="008E3F15" w:rsidRDefault="005F449A">
            <w:pPr>
              <w:spacing w:after="0" w:line="259" w:lineRule="auto"/>
              <w:ind w:left="7" w:right="0" w:firstLine="0"/>
            </w:pPr>
            <w:r>
              <w:t>1 раз</w:t>
            </w:r>
          </w:p>
        </w:tc>
        <w:tc>
          <w:tcPr>
            <w:tcW w:w="3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50 мг 1 раз</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Эплеренон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50 мг 1 раз</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иНГЛТ-2</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Дапаглифлозин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10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 мг 1 раз</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Эмпаглифлозин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10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 мг 1 раз</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Диуретики</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Фуросемид</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20–40 мг</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40–240 мг</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Торасемид</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5–10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200 мг</w:t>
            </w:r>
          </w:p>
        </w:tc>
      </w:tr>
      <w:tr w:rsidR="008E3F15">
        <w:trPr>
          <w:trHeight w:val="57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Гидрохлоротиазид</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12,5–25 мг</w:t>
            </w:r>
          </w:p>
          <w:p w:rsidR="008E3F15" w:rsidRDefault="005F449A">
            <w:pPr>
              <w:spacing w:after="0" w:line="259" w:lineRule="auto"/>
              <w:ind w:left="7" w:right="0" w:firstLine="0"/>
            </w:pPr>
            <w:r>
              <w:t>1 раз</w:t>
            </w:r>
          </w:p>
        </w:tc>
        <w:tc>
          <w:tcPr>
            <w:tcW w:w="3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200 мг</w:t>
            </w:r>
          </w:p>
        </w:tc>
      </w:tr>
      <w:tr w:rsidR="008E3F15">
        <w:trPr>
          <w:trHeight w:val="330"/>
        </w:trPr>
        <w:tc>
          <w:tcPr>
            <w:tcW w:w="23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Другие препараты</w:t>
            </w: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Дигоксин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0,125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0,25 мг 1 раз</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Ивабрадин</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5 мг 2 раза</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7,5 мг 2 раза</w:t>
            </w:r>
          </w:p>
        </w:tc>
      </w:tr>
      <w:tr w:rsidR="008E3F15">
        <w:trPr>
          <w:trHeight w:val="57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Сакубитрил + валсартан</w:t>
            </w:r>
          </w:p>
        </w:tc>
        <w:tc>
          <w:tcPr>
            <w:tcW w:w="18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100 мг 2 раза</w:t>
            </w:r>
          </w:p>
        </w:tc>
        <w:tc>
          <w:tcPr>
            <w:tcW w:w="36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200 мг 2 раза</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6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Верицигуат</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2,5 мг 1 раз</w:t>
            </w:r>
          </w:p>
        </w:tc>
        <w:tc>
          <w:tcPr>
            <w:tcW w:w="36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 мг 1 раз</w:t>
            </w:r>
          </w:p>
        </w:tc>
      </w:tr>
    </w:tbl>
    <w:p w:rsidR="008E3F15" w:rsidRDefault="005F449A">
      <w:pPr>
        <w:pStyle w:val="Heading1"/>
        <w:ind w:left="2"/>
      </w:pPr>
      <w:r>
        <w:t>Часть I. Сердечно-сосудистые болезни</w:t>
      </w:r>
    </w:p>
    <w:p w:rsidR="008E3F15" w:rsidRDefault="005F449A">
      <w:pPr>
        <w:ind w:left="2" w:right="15"/>
      </w:pPr>
      <w:r>
        <w:t>В случае непереносимости иАПФ (обычно вследствие кашля) используют БРА, эффективность которых близка к иАПФ (Heran B. et al., 2012, Xie W. et al., 2016).</w:t>
      </w:r>
    </w:p>
    <w:p w:rsidR="008E3F15" w:rsidRDefault="005F449A">
      <w:pPr>
        <w:ind w:left="2" w:right="594"/>
      </w:pPr>
      <w:r>
        <w:t>Комбинированный препарат, состоящий из ингибитора неприлизина сакубитрила и ингибитора ангиотензина ва</w:t>
      </w:r>
      <w:r>
        <w:t>лсартана (в дозе 200 мг 2 раза), снизил общую и сердечнососудистую смертность, частоту госпитализаций по сравнению с эналаприлом (в дозе 10 мг 2 раза) в исследовании PARADIGM-HF у пациентов с СНнФВ.</w:t>
      </w:r>
    </w:p>
    <w:p w:rsidR="008E3F15" w:rsidRDefault="005F449A">
      <w:pPr>
        <w:ind w:left="2" w:right="15"/>
      </w:pPr>
      <w:r>
        <w:t>иНГЛТ-2 (эмпаглифлозин, дапаглифлозин) обладают диуретиче</w:t>
      </w:r>
      <w:r>
        <w:t>ским эффектом и снижают частоту госпитализаций с СН у пациентов с широким спектром ФВЛЖ, замедляют прогрессирование почечной дисфункции независимо от наличия СД (Zannad F. et al., 2020;</w:t>
      </w:r>
    </w:p>
    <w:p w:rsidR="008E3F15" w:rsidRDefault="005F449A">
      <w:pPr>
        <w:spacing w:after="31"/>
        <w:ind w:left="2" w:right="15"/>
      </w:pPr>
      <w:r>
        <w:t>Li X. et al., 2021).</w:t>
      </w:r>
    </w:p>
    <w:p w:rsidR="008E3F15" w:rsidRDefault="005F449A">
      <w:pPr>
        <w:ind w:left="2" w:right="445"/>
      </w:pPr>
      <w:r>
        <w:t>Спиронолактон или эплеренон показаны всем пациентам с симптомами СН, несмотря на адекватное лечение иАПФ/БРА и β-адреноблокаторами, и ФВЛЖ ≤35% для снижения смертности и госпитализаций с СН (EMPHASIS-HF, Xie W. et al., 2016). Эплеренон более селективно бло</w:t>
      </w:r>
      <w:r>
        <w:t>кирует минералокортикоидные рецепторы, чем спиронолактон, и реже вызывает гиперкалиемию, ухудшение функции почек, побочные эффекты, связанные с блокадой глюкокортикоидных, андрогенных, прогестероновых рецепторов (Yang P. et al., 2019).</w:t>
      </w:r>
    </w:p>
    <w:p w:rsidR="008E3F15" w:rsidRDefault="005F449A">
      <w:pPr>
        <w:ind w:left="2" w:right="253"/>
      </w:pPr>
      <w:r>
        <w:t>β-Адреноблокаторы мо</w:t>
      </w:r>
      <w:r>
        <w:t xml:space="preserve">гут снизить смертность и заболеваемость у стабильных пациентов с СНнФВ и СНпФВ (PROSPERO). Смертность уменьшается независимо от исходной ЧСС и при более низкой достигнутой ЧСС только у пациентов с синусовым ритмом (Kotecha D. et al., 2017). При титровании </w:t>
      </w:r>
      <w:r>
        <w:t>дозы до целевых уровней требуется контроль состояния при достижении ЧСС 50 в мин. Более высокие дозы β-адреноблокаторов могут снизить смертность по сравнению с низкими дозами, независимо от достигнутой ЧСС (Ajam T. et al., 2018).</w:t>
      </w:r>
    </w:p>
    <w:p w:rsidR="008E3F15" w:rsidRDefault="005F449A">
      <w:pPr>
        <w:ind w:left="2" w:right="15"/>
      </w:pPr>
      <w:r>
        <w:t xml:space="preserve">Возможно также применение </w:t>
      </w:r>
      <w:r>
        <w:t>ивабрадина у пациентов с ФВЛЖ ≤35%, у которых сохраняется ЧСС ≥70 в мин, несмотря на адекватные дозы β-адреноблокаторов, хотя его эффективность невелика (Cochrane Reviews).</w:t>
      </w:r>
    </w:p>
    <w:p w:rsidR="008E3F15" w:rsidRDefault="005F449A">
      <w:pPr>
        <w:ind w:left="2" w:right="15"/>
      </w:pPr>
      <w:r>
        <w:t>Дигоксин не влияет на смертность, но снижает частоту госпитализаций и ухудшений (Co</w:t>
      </w:r>
      <w:r>
        <w:t>chrane Reviews; DIG). Повышение смертности у пациентов, принимавших дигоксин,</w:t>
      </w:r>
    </w:p>
    <w:p w:rsidR="008E3F15" w:rsidRDefault="005F449A">
      <w:pPr>
        <w:ind w:left="2" w:right="15"/>
      </w:pPr>
      <w:r>
        <w:t>в наблюдательных исследованиях объясняется более тяжелым состоянием (Aguirre D. et al., 2019).</w:t>
      </w:r>
    </w:p>
    <w:p w:rsidR="008E3F15" w:rsidRDefault="005F449A">
      <w:pPr>
        <w:ind w:left="2" w:right="15"/>
      </w:pPr>
      <w:r>
        <w:t>У пациентов c ФВЛЖ &lt;40–50% и дефицитом железа (ферритин &lt;100 мкг/л или ферритин 100</w:t>
      </w:r>
      <w:r>
        <w:t>– 299 мкг/л и насыщение трансферрина &lt;20%), независимо от наличия анемии, внутривенное введение железа карбоксимальтозата привело к противоречивому влиянию на частоту госпитализаций, симптомы СН и функциональные возможности (CONFIRM-HF; Affirm-AHF; HEART-F</w:t>
      </w:r>
      <w:r>
        <w:t>ID).</w:t>
      </w:r>
    </w:p>
    <w:p w:rsidR="008E3F15" w:rsidRDefault="005F449A">
      <w:pPr>
        <w:spacing w:after="31"/>
        <w:ind w:left="2" w:right="15"/>
      </w:pPr>
      <w:r>
        <w:t>Терапия СНпФВ и СНсФВ включает диуретики при симптомах застоя и иНГЛТ-2.</w:t>
      </w:r>
    </w:p>
    <w:p w:rsidR="008E3F15" w:rsidRDefault="005F449A">
      <w:pPr>
        <w:ind w:left="2" w:right="15"/>
      </w:pPr>
      <w:r>
        <w:t>В исследованиях EMPEROR-Preserved и DELIVER эмпаглифлозин и дапаглифлозин снизили риск госпитализаций с СНсФВ независимо от наличия СД.</w:t>
      </w:r>
    </w:p>
    <w:p w:rsidR="008E3F15" w:rsidRDefault="005F449A">
      <w:pPr>
        <w:ind w:left="2" w:right="15"/>
      </w:pPr>
      <w:r>
        <w:t>Отеки устраняют диуретиками, рекомендуют к</w:t>
      </w:r>
      <w:r>
        <w:t>онтроль тахикардии, возможно, эффективны βадреноблокаторы (Fukuta H. et al., 2017).</w:t>
      </w:r>
    </w:p>
    <w:p w:rsidR="008E3F15" w:rsidRDefault="005F449A">
      <w:pPr>
        <w:ind w:left="2" w:right="15"/>
      </w:pPr>
      <w:r>
        <w:t>В рандомизированном исследовании TOPCAT спиронолактон снизил риск сердечнососудистых событий и частоту госпитализаций с СН. Сакубитрил + валсартан не улучшил прогноз у паци</w:t>
      </w:r>
      <w:r>
        <w:t>ентов с СНсФВ в исследовании PARAGON-HF.</w:t>
      </w:r>
    </w:p>
    <w:p w:rsidR="008E3F15" w:rsidRDefault="005F449A">
      <w:pPr>
        <w:ind w:left="2" w:right="95"/>
      </w:pPr>
      <w:r>
        <w:t>Эффективность статинов у пациентов с СН NYHA II–IV независимо от ишемической природы и ФВЛЖ убедительно не доказана, поэтому в целях снижения числа принимаемых лекарственных препаратов возможно их исключение.</w:t>
      </w:r>
    </w:p>
    <w:p w:rsidR="008E3F15" w:rsidRDefault="005F449A">
      <w:pPr>
        <w:ind w:left="2" w:right="15"/>
      </w:pPr>
      <w:r>
        <w:t>Для ко</w:t>
      </w:r>
      <w:r>
        <w:t>нтроля аритмий, негативно влияющих на гемодинамику, у пациентов с СНсФВ предпочтительнее использовать амиодарон. Эффективное медикаментозное или катетерное лечение ФП и частых желудочковых ЭС может увеличить ФВЛЖ и замедлить прогрессирование СН.</w:t>
      </w:r>
    </w:p>
    <w:p w:rsidR="008E3F15" w:rsidRDefault="005F449A">
      <w:pPr>
        <w:ind w:left="2" w:right="15"/>
      </w:pPr>
      <w:r>
        <w:rPr>
          <w:b/>
        </w:rPr>
        <w:t>Интервенци</w:t>
      </w:r>
      <w:r>
        <w:rPr>
          <w:b/>
        </w:rPr>
        <w:t>онное лечение.</w:t>
      </w:r>
      <w:r>
        <w:t xml:space="preserve"> Ишемическая кардиомиопатия — самая частая форма дилатационной кардиомиопатии. КГ целесообразна для пациентов с СН и СК, рефрактерными к медикаментозному лечению, симптомными желудочковыми тахиаритмиями, выживших после остановки сердца, средн</w:t>
      </w:r>
      <w:r>
        <w:t>ей и высокой претестовой вероятностью коронарной болезни, признаками ишемии мио карда при стресс-тесте.</w:t>
      </w:r>
    </w:p>
    <w:p w:rsidR="008E3F15" w:rsidRDefault="005F449A">
      <w:pPr>
        <w:ind w:left="2" w:right="15"/>
      </w:pPr>
      <w:r>
        <w:t>В случаях обструктивной формы коронарной болезни необходима реваскуляризация мио карда, обеспечивающая существенное улучшение коронарного кровообращения</w:t>
      </w:r>
      <w:r>
        <w:t xml:space="preserve"> и функции левого желудочка.</w:t>
      </w:r>
    </w:p>
    <w:p w:rsidR="008E3F15" w:rsidRDefault="005F449A">
      <w:pPr>
        <w:ind w:left="2" w:right="15"/>
      </w:pPr>
      <w:r>
        <w:t>Перспективным направлением считается многосенсорный телемониторинг состояния пациента, направленный на своевременное распознавание и лечение декомпенсации СН (MultiSENSE).</w:t>
      </w:r>
    </w:p>
    <w:p w:rsidR="008E3F15" w:rsidRDefault="005F449A">
      <w:pPr>
        <w:spacing w:after="169" w:line="259" w:lineRule="auto"/>
        <w:ind w:left="17" w:right="0"/>
      </w:pPr>
      <w:r>
        <w:rPr>
          <w:i/>
        </w:rPr>
        <w:t xml:space="preserve">Имплантация кардиовертера-дефибриллятора. </w:t>
      </w:r>
      <w:r>
        <w:t>Поскольку бол</w:t>
      </w:r>
      <w:r>
        <w:t xml:space="preserve">ьшая часть пациентов с СН умирает от внезапной аритмической смерти, то при наличии показаний рекомендуют ИКД. </w:t>
      </w:r>
      <w:r>
        <w:rPr>
          <w:i/>
        </w:rPr>
        <w:t>Рекомендации по ИКД-терапии у пациентов с дилатационной или гипокинетической недилатационной кардиомиопатией (ESC):</w:t>
      </w:r>
    </w:p>
    <w:p w:rsidR="008E3F15" w:rsidRDefault="005F449A">
      <w:pPr>
        <w:spacing w:line="259" w:lineRule="auto"/>
        <w:ind w:left="347" w:right="0"/>
      </w:pPr>
      <w:r>
        <w:rPr>
          <w:rFonts w:ascii="Calibri" w:eastAsia="Calibri" w:hAnsi="Calibri" w:cs="Calibri"/>
          <w:noProof/>
          <w:color w:val="000000"/>
          <w:sz w:val="22"/>
        </w:rPr>
        <mc:AlternateContent>
          <mc:Choice Requires="wpg">
            <w:drawing>
              <wp:inline distT="0" distB="0" distL="0" distR="0">
                <wp:extent cx="57150" cy="57150"/>
                <wp:effectExtent l="0" t="0" r="0" b="0"/>
                <wp:docPr id="289235" name="Group 28923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03" name="Shape 11303"/>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9235" style="width:4.5pt;height:4.5pt;mso-position-horizontal-relative:char;mso-position-vertical-relative:line" coordsize="571,571">
                <v:shape id="Shape 11303" style="position:absolute;width:571;height:571;left:0;top:0;" coordsize="57150,57150" path="m28575,0c32364,0,36009,695,39510,2084c43011,3473,46101,5556,48781,8235c51460,10914,53525,14089,54975,17562c56425,21034,57150,24705,57150,28575c57150,32345,56425,36016,54975,39489c53525,42962,51460,46038,48781,48716c46101,51395,43011,53479,39510,54967c36009,56356,32364,57051,28575,57150c24786,57051,21141,56356,17640,54967c14139,53479,11049,51395,8369,48716c5690,46038,3625,42962,2175,39489c725,35917,0,32345,0,28575c0,24705,725,21034,2175,17562c3625,14089,5690,10914,8369,8235c11049,5556,14139,3473,17640,2084c21141,695,24786,0,28575,0x">
                  <v:stroke weight="0pt" endcap="flat" joinstyle="miter" miterlimit="10" on="false" color="#000000" opacity="0"/>
                  <v:fill on="true" color="#333333"/>
                </v:shape>
              </v:group>
            </w:pict>
          </mc:Fallback>
        </mc:AlternateContent>
      </w:r>
      <w:r>
        <w:rPr>
          <w:i/>
        </w:rPr>
        <w:t xml:space="preserve"> I класс (рекомендуется):</w:t>
      </w:r>
    </w:p>
    <w:p w:rsidR="008E3F15" w:rsidRDefault="005F449A">
      <w:pPr>
        <w:spacing w:after="31"/>
        <w:ind w:left="947" w:right="15"/>
      </w:pPr>
      <w:r>
        <w:rPr>
          <w:rFonts w:ascii="Calibri" w:eastAsia="Calibri" w:hAnsi="Calibri" w:cs="Calibri"/>
          <w:noProof/>
          <w:color w:val="000000"/>
          <w:sz w:val="22"/>
        </w:rPr>
        <mc:AlternateContent>
          <mc:Choice Requires="wpg">
            <w:drawing>
              <wp:inline distT="0" distB="0" distL="0" distR="0">
                <wp:extent cx="57150" cy="57150"/>
                <wp:effectExtent l="0" t="0" r="0" b="0"/>
                <wp:docPr id="288257" name="Group 28825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24" name="Shape 1132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57" style="width:4.50001pt;height:4.5pt;mso-position-horizontal-relative:char;mso-position-vertical-relative:line" coordsize="571,571">
                <v:shape id="Shape 11324" style="position:absolute;width:571;height:571;left:0;top:0;" coordsize="57150,57150" path="m28575,0c32364,0,36009,794,39510,2183c43011,3572,46101,5556,48781,8235c51460,10914,53525,13990,54975,17463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463c3625,13990,5690,10914,8370,8235c11049,5556,14139,3473,17640,2084c21141,695,24786,0,28575,0x">
                  <v:stroke weight="0pt" endcap="flat" joinstyle="miter" miterlimit="10" on="false" color="#000000" opacity="0"/>
                  <v:fill on="true" color="#333333"/>
                </v:shape>
              </v:group>
            </w:pict>
          </mc:Fallback>
        </mc:AlternateContent>
      </w:r>
      <w:r>
        <w:t xml:space="preserve"> пациенты, выжившие после остановки сердца вследствие ЖТ/ФЖ или имеющие</w:t>
      </w:r>
    </w:p>
    <w:p w:rsidR="008E3F15" w:rsidRDefault="005F449A">
      <w:pPr>
        <w:ind w:left="607" w:right="1666" w:firstLine="600"/>
      </w:pPr>
      <w:r>
        <w:rPr>
          <w:rFonts w:ascii="Calibri" w:eastAsia="Calibri" w:hAnsi="Calibri" w:cs="Calibri"/>
          <w:noProof/>
          <w:color w:val="000000"/>
          <w:sz w:val="22"/>
        </w:rPr>
        <mc:AlternateContent>
          <mc:Choice Requires="wpg">
            <w:drawing>
              <wp:anchor distT="0" distB="0" distL="114300" distR="114300" simplePos="0" relativeHeight="251800576" behindDoc="0" locked="0" layoutInCell="1" allowOverlap="1">
                <wp:simplePos x="0" y="0"/>
                <wp:positionH relativeFrom="column">
                  <wp:posOffset>214164</wp:posOffset>
                </wp:positionH>
                <wp:positionV relativeFrom="paragraph">
                  <wp:posOffset>187325</wp:posOffset>
                </wp:positionV>
                <wp:extent cx="438150" cy="514350"/>
                <wp:effectExtent l="0" t="0" r="0" b="0"/>
                <wp:wrapSquare wrapText="bothSides"/>
                <wp:docPr id="288258" name="Group 288258"/>
                <wp:cNvGraphicFramePr/>
                <a:graphic xmlns:a="http://schemas.openxmlformats.org/drawingml/2006/main">
                  <a:graphicData uri="http://schemas.microsoft.com/office/word/2010/wordprocessingGroup">
                    <wpg:wgp>
                      <wpg:cNvGrpSpPr/>
                      <wpg:grpSpPr>
                        <a:xfrm>
                          <a:off x="0" y="0"/>
                          <a:ext cx="438150" cy="514350"/>
                          <a:chOff x="0" y="0"/>
                          <a:chExt cx="438150" cy="514350"/>
                        </a:xfrm>
                      </wpg:grpSpPr>
                      <wps:wsp>
                        <wps:cNvPr id="11327" name="Shape 11327"/>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0935"/>
                                  <a:pt x="57150" y="24606"/>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868"/>
                                </a:cubicBezTo>
                                <a:cubicBezTo>
                                  <a:pt x="14139" y="53479"/>
                                  <a:pt x="11049" y="51395"/>
                                  <a:pt x="8369" y="48716"/>
                                </a:cubicBezTo>
                                <a:cubicBezTo>
                                  <a:pt x="5690" y="46038"/>
                                  <a:pt x="3625" y="42962"/>
                                  <a:pt x="2175" y="39489"/>
                                </a:cubicBezTo>
                                <a:cubicBezTo>
                                  <a:pt x="725" y="35917"/>
                                  <a:pt x="0" y="32345"/>
                                  <a:pt x="0" y="28575"/>
                                </a:cubicBezTo>
                                <a:cubicBezTo>
                                  <a:pt x="0" y="24606"/>
                                  <a:pt x="725" y="20935"/>
                                  <a:pt x="2175" y="17463"/>
                                </a:cubicBezTo>
                                <a:cubicBezTo>
                                  <a:pt x="3625" y="13891"/>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329" name="Shape 11329"/>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332" name="Shape 11332"/>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463"/>
                                </a:cubicBezTo>
                                <a:cubicBezTo>
                                  <a:pt x="3625" y="13891"/>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8258" style="width:34.5pt;height:40.5pt;position:absolute;mso-position-horizontal-relative:text;mso-position-horizontal:absolute;margin-left:16.8633pt;mso-position-vertical-relative:text;margin-top:14.75pt;" coordsize="4381,5143">
                <v:shape id="Shape 11327" style="position:absolute;width:571;height:571;left:0;top:0;" coordsize="57150,57150" path="m28575,0c32364,0,36009,695,39510,2084c43011,3473,46101,5556,48781,8235c51460,10914,53525,13891,54975,17463c56425,20935,57150,24606,57150,28575c57150,32345,56425,35917,54975,39489c53525,42962,51460,46038,48781,48716c46101,51395,43011,53479,39510,54868c36009,56356,32364,57051,28575,57150c24786,57051,21141,56356,17640,54868c14139,53479,11049,51395,8369,48716c5690,46038,3625,42962,2175,39489c725,35917,0,32345,0,28575c0,24606,725,20935,2175,17463c3625,13891,5690,10914,8369,8235c11049,5556,14139,3473,17640,1984c21141,695,24786,0,28575,0x">
                  <v:stroke weight="0pt" endcap="flat" joinstyle="miter" miterlimit="10" on="false" color="#000000" opacity="0"/>
                  <v:fill on="true" color="#333333"/>
                </v:shape>
                <v:shape id="Shape 11329" style="position:absolute;width:571;height:571;left:3810;top:1524;" coordsize="57150,57150" path="m28575,0c32364,0,36009,695,39510,2084c43011,3473,46101,5556,48781,8235c51460,10914,53525,13990,54975,17463c56425,21034,57150,24705,57150,28575c57150,32345,56425,35917,54975,39390c53525,42863,51460,46038,48781,48716c46101,51395,43011,53479,39510,54868c36009,56257,32364,57051,28575,57150c24786,57051,21141,56257,17640,54868c14139,53479,11049,51395,8370,48716c5690,46038,3625,42863,2175,39390c725,35917,0,32345,0,28575c0,24705,725,21034,2175,17463c3625,13990,5690,10914,8370,8235c11049,5556,14139,3473,17640,1984c21141,695,24786,0,28575,0x">
                  <v:stroke weight="0pt" endcap="flat" joinstyle="miter" miterlimit="10" on="false" color="#000000" opacity="0"/>
                  <v:fill on="true" color="#333333"/>
                </v:shape>
                <v:shape id="Shape 11332" style="position:absolute;width:571;height:571;left:3810;top:4572;" coordsize="57150,57150" path="m28575,0c32364,0,36009,695,39510,2084c43011,3473,46101,5556,48781,8235c51460,10914,53525,13891,54975,17463c56425,21034,57150,24705,57150,28575c57150,32345,56425,35917,54975,39390c53525,42863,51460,45938,48781,48716c46101,51296,43011,53380,39510,54868c36009,56257,32364,57051,28575,57150c24786,57051,21141,56257,17640,54868c14139,53380,11049,51296,8370,48716c5690,45938,3625,42863,2175,39390c725,35917,0,32345,0,28575c0,24705,725,21034,2175,17463c3625,13891,5690,10914,8370,8235c11049,5556,14139,3473,17640,2084c21141,695,24786,0,28575,0x">
                  <v:stroke weight="0pt" endcap="flat" joinstyle="miter" miterlimit="10" on="false" color="#000000" opacity="0"/>
                  <v:fill on="true" color="#333333"/>
                </v:shape>
                <w10:wrap type="square"/>
              </v:group>
            </w:pict>
          </mc:Fallback>
        </mc:AlternateContent>
      </w:r>
      <w:r>
        <w:t xml:space="preserve">гемодинамически непереносимую устойчивую мономорфную ЖТ; </w:t>
      </w:r>
      <w:r>
        <w:rPr>
          <w:i/>
        </w:rPr>
        <w:t>IIа класс (целесообразно):</w:t>
      </w:r>
    </w:p>
    <w:p w:rsidR="008E3F15" w:rsidRDefault="005F449A">
      <w:pPr>
        <w:ind w:left="347" w:right="15"/>
      </w:pPr>
      <w:r>
        <w:t>СН NYHA II–III класса и ФВЛЖ ≤35% после ≥3 мес оптимальной медикаментозной терапии;</w:t>
      </w:r>
    </w:p>
    <w:p w:rsidR="008E3F15" w:rsidRDefault="005F449A">
      <w:pPr>
        <w:spacing w:after="359"/>
        <w:ind w:left="937" w:right="311" w:firstLine="180"/>
      </w:pPr>
      <w:r>
        <w:t>патогенная мута</w:t>
      </w:r>
      <w:r>
        <w:t xml:space="preserve">ция в гене LMNA, если предполагаемый 5-летний риск жизнеугрожающей желудочковой аритмии ≥10% при наличии неустойчивой ЖТ или ФВЛЖ &lt;50% или нарушении атриовентрикулярного проведения; </w:t>
      </w:r>
      <w:r>
        <w:rPr>
          <w:rFonts w:ascii="Calibri" w:eastAsia="Calibri" w:hAnsi="Calibri" w:cs="Calibri"/>
          <w:noProof/>
          <w:color w:val="000000"/>
          <w:sz w:val="22"/>
        </w:rPr>
        <mc:AlternateContent>
          <mc:Choice Requires="wpg">
            <w:drawing>
              <wp:inline distT="0" distB="0" distL="0" distR="0">
                <wp:extent cx="57150" cy="57150"/>
                <wp:effectExtent l="0" t="0" r="0" b="0"/>
                <wp:docPr id="288259" name="Group 28825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36" name="Shape 1133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59" style="width:4.50001pt;height:4.5pt;mso-position-horizontal-relative:char;mso-position-vertical-relative:line" coordsize="571,571">
                <v:shape id="Shape 11336" style="position:absolute;width:571;height:571;left:0;top:0;"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70,48716c5690,46038,3625,42863,2175,39390c725,35917,0,32345,0,28575c0,24805,725,21034,2175,17562c3625,14089,5690,10914,8370,8334c11049,5556,14139,3473,17640,2084c21141,695,24786,0,28575,0x">
                  <v:stroke weight="0pt" endcap="flat" joinstyle="miter" miterlimit="10" on="false" color="#000000" opacity="0"/>
                  <v:fill on="true" color="#333333"/>
                </v:shape>
              </v:group>
            </w:pict>
          </mc:Fallback>
        </mc:AlternateContent>
      </w:r>
      <w:r>
        <w:t xml:space="preserve"> пациенты с ФВЛЖ &lt;50% и наличием ≥2 факторов риска (обморок, позднее гадо</w:t>
      </w:r>
      <w:r>
        <w:t xml:space="preserve">линиевое усиление, индуцированная устойчивая мономорфная ЖТ, патогенные мутации в генах LMNA, PLN, FLNC, RBM20); </w:t>
      </w:r>
      <w:r>
        <w:rPr>
          <w:rFonts w:ascii="Calibri" w:eastAsia="Calibri" w:hAnsi="Calibri" w:cs="Calibri"/>
          <w:noProof/>
          <w:color w:val="000000"/>
          <w:sz w:val="22"/>
        </w:rPr>
        <mc:AlternateContent>
          <mc:Choice Requires="wpg">
            <w:drawing>
              <wp:inline distT="0" distB="0" distL="0" distR="0">
                <wp:extent cx="57150" cy="57150"/>
                <wp:effectExtent l="0" t="0" r="0" b="0"/>
                <wp:docPr id="288260" name="Group 28826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40" name="Shape 11340"/>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8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5938"/>
                                  <a:pt x="3625" y="42863"/>
                                  <a:pt x="2175" y="39390"/>
                                </a:cubicBezTo>
                                <a:cubicBezTo>
                                  <a:pt x="725" y="35917"/>
                                  <a:pt x="0" y="32246"/>
                                  <a:pt x="0" y="28575"/>
                                </a:cubicBezTo>
                                <a:cubicBezTo>
                                  <a:pt x="0" y="248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0" style="width:4.50001pt;height:4.5pt;mso-position-horizontal-relative:char;mso-position-vertical-relative:line" coordsize="571,571">
                <v:shape id="Shape 11340" style="position:absolute;width:571;height:571;left:0;top:0;" coordsize="57150,57150" path="m28575,0c32364,0,36009,695,39510,2084c43011,3473,46101,5556,48781,8235c51460,10914,53525,13990,54975,17463c56425,21034,57150,24805,57150,28575c57150,32246,56425,35917,54975,39390c53525,42863,51460,45938,48781,48716c46101,51296,43011,53380,39510,54868c36009,56257,32364,57051,28575,57150c24786,57051,21141,56257,17640,54868c14139,53380,11049,51296,8370,48716c5690,45938,3625,42863,2175,39390c725,35917,0,32246,0,28575c0,24805,725,21034,2175,17562c3625,13990,5690,10914,8370,8235c11049,5556,14139,3473,17640,2084c21141,695,24786,0,28575,0x">
                  <v:stroke weight="0pt" endcap="flat" joinstyle="miter" miterlimit="10" on="false" color="#000000" opacity="0"/>
                  <v:fill on="true" color="#333333"/>
                </v:shape>
              </v:group>
            </w:pict>
          </mc:Fallback>
        </mc:AlternateContent>
      </w:r>
      <w:r>
        <w:t xml:space="preserve"> гемодинамически переносимая устойчивая мономорфная ЖТ.</w:t>
      </w:r>
    </w:p>
    <w:p w:rsidR="008E3F15" w:rsidRDefault="005F449A">
      <w:pPr>
        <w:pStyle w:val="Heading1"/>
        <w:ind w:left="2"/>
      </w:pPr>
      <w:r>
        <w:t>Часть I. Сердечно-сосудистые болезни</w:t>
      </w:r>
    </w:p>
    <w:p w:rsidR="008E3F15" w:rsidRDefault="005F449A">
      <w:pPr>
        <w:ind w:left="2" w:right="112"/>
      </w:pPr>
      <w:r>
        <w:rPr>
          <w:i/>
        </w:rPr>
        <w:t xml:space="preserve">СРТ </w:t>
      </w:r>
      <w:r>
        <w:t>включает трехкамерную электростимуляцию сердц</w:t>
      </w:r>
      <w:r>
        <w:t>а с расположением электродов в правом предсердии, правом и левом желудочках (через коронарный синус). Такой подход позволяет устранить асинхронную работу желудочков путем оптимизации паузы между навязанным сокращением предсердий и желудочков. Применение СР</w:t>
      </w:r>
      <w:r>
        <w:t>Т позволяет уменьшить симптомы, снизить госпитализации и смертность.</w:t>
      </w:r>
    </w:p>
    <w:p w:rsidR="008E3F15" w:rsidRDefault="005F449A">
      <w:pPr>
        <w:spacing w:after="179"/>
        <w:ind w:left="2" w:right="144"/>
      </w:pPr>
      <w:r>
        <w:t xml:space="preserve">У пациентов с узким </w:t>
      </w:r>
      <w:r>
        <w:rPr>
          <w:i/>
        </w:rPr>
        <w:t>QRS</w:t>
      </w:r>
      <w:r>
        <w:t xml:space="preserve"> эффективность СРТ не доказана (EchoCRT, LESSER-EARTH). </w:t>
      </w:r>
      <w:r>
        <w:rPr>
          <w:i/>
        </w:rPr>
        <w:t>Показания для терапии СРТ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01600" behindDoc="1" locked="0" layoutInCell="1" allowOverlap="1">
                <wp:simplePos x="0" y="0"/>
                <wp:positionH relativeFrom="column">
                  <wp:posOffset>214164</wp:posOffset>
                </wp:positionH>
                <wp:positionV relativeFrom="paragraph">
                  <wp:posOffset>34925</wp:posOffset>
                </wp:positionV>
                <wp:extent cx="438150" cy="209550"/>
                <wp:effectExtent l="0" t="0" r="0" b="0"/>
                <wp:wrapNone/>
                <wp:docPr id="288261" name="Group 288261"/>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1353" name="Shape 11353"/>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355" name="Shape 11355"/>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8261" style="width:34.5pt;height:16.5pt;position:absolute;z-index:-2147483618;mso-position-horizontal-relative:text;mso-position-horizontal:absolute;margin-left:16.8633pt;mso-position-vertical-relative:text;margin-top:2.75pt;" coordsize="4381,2095">
                <v:shape id="Shape 11353" style="position:absolute;width:571;height:571;left:0;top:0;" coordsize="57150,57150" path="m28575,0c32364,0,36009,695,39510,2084c43011,3473,46101,5556,48781,8235c51460,10914,53525,13990,54975,17463c56425,21034,57150,24705,57150,28575c57150,32345,56425,35917,54975,39390c53525,42863,51460,46038,48781,48716c46101,51395,43011,53380,39510,54868c36009,56257,32364,57051,28575,57150c24786,57051,21141,56257,17640,54868c14139,53380,11049,51395,8369,48716c5690,46038,3625,42863,2175,39390c725,35917,0,32345,0,28575c0,24705,725,21034,2175,17463c3625,13990,5690,10914,8369,8235c11049,5556,14139,3473,17640,2084c21141,695,24786,0,28575,0x">
                  <v:stroke weight="0pt" endcap="flat" joinstyle="miter" miterlimit="10" on="false" color="#000000" opacity="0"/>
                  <v:fill on="true" color="#333333"/>
                </v:shape>
                <v:shape id="Shape 11355" style="position:absolute;width:571;height:571;left:3810;top:1524;" coordsize="57150,57150" path="m28575,0c32364,0,36009,695,39510,2084c43011,3473,46101,5556,48781,8235c51460,10914,53525,13990,54975,17463c56425,21034,57150,24705,57150,28575c57150,32345,56425,35917,54975,39489c53525,42962,51460,46038,48781,48716c46101,51395,43011,53380,39510,54868c36009,56257,32364,57051,28575,57150c24786,57051,21141,56257,17640,54868c14139,53380,11049,51395,8370,48716c5690,46038,3625,42863,2175,39390c725,35917,0,32345,0,28575c0,24705,725,21034,2175,17463c3625,13990,5690,10914,8370,8235c11049,5556,14139,3473,17640,2084c21141,695,24786,0,28575,0x">
                  <v:stroke weight="0pt" endcap="flat" joinstyle="miter" miterlimit="10" on="false" color="#000000" opacity="0"/>
                  <v:fill on="true" color="#333333"/>
                </v:shape>
              </v:group>
            </w:pict>
          </mc:Fallback>
        </mc:AlternateContent>
      </w:r>
      <w:r>
        <w:rPr>
          <w:i/>
        </w:rPr>
        <w:t>I класс (рекомендуется):</w:t>
      </w:r>
    </w:p>
    <w:p w:rsidR="008E3F15" w:rsidRDefault="005F449A">
      <w:pPr>
        <w:ind w:left="1217" w:right="1032"/>
      </w:pPr>
      <w:r>
        <w:t>СРТ рекомендуется пациентам с СН и синусовым ритм</w:t>
      </w:r>
      <w:r>
        <w:t xml:space="preserve">ом в сочетании с ФВЛЖ ≤35%, </w:t>
      </w:r>
      <w:r>
        <w:rPr>
          <w:i/>
        </w:rPr>
        <w:t>QRS</w:t>
      </w:r>
      <w:r>
        <w:t xml:space="preserve"> ≥150 мс и блокадой левой ножки пучка Гиса, несмотря на оптимальную медикаментозную терапию, для улучшения симптомов и снижения заболеваемости и смертности;</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2" name="Group 28826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62" name="Shape 11362"/>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2" style="width:4.50001pt;height:4.5pt;mso-position-horizontal-relative:char;mso-position-vertical-relative:line" coordsize="571,571">
                <v:shape id="Shape 11362" style="position:absolute;width:571;height:571;left:0;top:0;" coordsize="57150,57150" path="m28575,0c32364,0,36009,695,39510,2084c43011,3473,46101,5556,48781,8235c51460,10914,53525,13990,54975,17463c56425,21034,57150,24705,57150,28575c57150,32345,56425,35917,54975,39489c53525,42863,51460,45938,48781,48716c46101,51296,43011,53380,39510,54868c36009,56356,32364,57051,28575,57150c24786,57051,21141,56356,17640,54967c14139,53380,11049,51296,8370,48716c5690,45938,3625,42863,2175,39390c725,35917,0,32345,0,28575c0,24705,725,21034,2175,17463c3625,13990,5690,10914,8370,8235c11049,5556,14139,3473,17640,2084c21141,695,24786,0,28575,0x">
                  <v:stroke weight="0pt" endcap="flat" joinstyle="miter" miterlimit="10" on="false" color="#000000" opacity="0"/>
                  <v:fill on="true" color="#333333"/>
                </v:shape>
              </v:group>
            </w:pict>
          </mc:Fallback>
        </mc:AlternateContent>
      </w:r>
      <w:r>
        <w:t xml:space="preserve"> у пациентов с симптомной ФП и неконтролируемой частотой ритма, кот</w:t>
      </w:r>
      <w:r>
        <w:t>орые являются кандидатами для абляции атриовентрикулярного соединения</w:t>
      </w:r>
    </w:p>
    <w:p w:rsidR="008E3F15" w:rsidRDefault="005F449A">
      <w:pPr>
        <w:spacing w:after="31"/>
        <w:ind w:left="1217" w:right="15"/>
      </w:pPr>
      <w:r>
        <w:t xml:space="preserve">(независимо от длительности </w:t>
      </w:r>
      <w:r>
        <w:rPr>
          <w:i/>
        </w:rPr>
        <w:t>QRS</w:t>
      </w:r>
      <w:r>
        <w:t>), СРТ рекомендуется при СНнФВ;</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3" name="Group 28826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68" name="Shape 11368"/>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606"/>
                                  <a:pt x="725" y="21034"/>
                                  <a:pt x="2175" y="17463"/>
                                </a:cubicBezTo>
                                <a:cubicBezTo>
                                  <a:pt x="3625" y="13990"/>
                                  <a:pt x="5690" y="10914"/>
                                  <a:pt x="8370"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3" style="width:4.50001pt;height:4.5pt;mso-position-horizontal-relative:char;mso-position-vertical-relative:line" coordsize="571,571">
                <v:shape id="Shape 11368" style="position:absolute;width:571;height:571;left:0;top:0;" coordsize="57150,57150" path="m28575,0c32364,0,36009,794,39510,2183c43011,3572,46101,5655,48781,8334c51460,10914,53525,13990,54975,17463c56425,21034,57150,24606,57150,28575c57150,32345,56425,35917,54975,39489c53525,42863,51460,45938,48781,48716c46101,51296,43011,53380,39510,54868c36009,56356,32364,57051,28575,57150c24786,57051,21141,56356,17640,54967c14139,53380,11049,51296,8370,48716c5690,45938,3625,42863,2175,39390c725,35917,0,32345,0,28575c0,24606,725,21034,2175,17463c3625,13990,5690,10914,8370,8334c11049,5655,14139,3572,17640,2183c21141,794,24786,0,28575,0x">
                  <v:stroke weight="0pt" endcap="flat" joinstyle="miter" miterlimit="10" on="false" color="#000000" opacity="0"/>
                  <v:fill on="true" color="#333333"/>
                </v:shape>
              </v:group>
            </w:pict>
          </mc:Fallback>
        </mc:AlternateContent>
      </w:r>
      <w:r>
        <w:t xml:space="preserve"> СРТ предпочтительнее правожелудочковой стимуляции у пациентов с СНнФВ, независимо от класса NYHA и ФП, при наличии показа</w:t>
      </w:r>
      <w:r>
        <w:t>ния для желудочковой стимуляции и атриовентрикулярной блокады высокой степени для снижения заболеваемости;</w:t>
      </w:r>
    </w:p>
    <w:p w:rsidR="008E3F15" w:rsidRDefault="005F449A">
      <w:pPr>
        <w:ind w:left="607" w:right="15" w:firstLine="600"/>
      </w:pPr>
      <w:r>
        <w:rPr>
          <w:rFonts w:ascii="Calibri" w:eastAsia="Calibri" w:hAnsi="Calibri" w:cs="Calibri"/>
          <w:noProof/>
          <w:color w:val="000000"/>
          <w:sz w:val="22"/>
        </w:rPr>
        <mc:AlternateContent>
          <mc:Choice Requires="wpg">
            <w:drawing>
              <wp:anchor distT="0" distB="0" distL="114300" distR="114300" simplePos="0" relativeHeight="251802624" behindDoc="1" locked="0" layoutInCell="1" allowOverlap="1">
                <wp:simplePos x="0" y="0"/>
                <wp:positionH relativeFrom="column">
                  <wp:posOffset>214164</wp:posOffset>
                </wp:positionH>
                <wp:positionV relativeFrom="paragraph">
                  <wp:posOffset>34925</wp:posOffset>
                </wp:positionV>
                <wp:extent cx="438150" cy="361950"/>
                <wp:effectExtent l="0" t="0" r="0" b="0"/>
                <wp:wrapNone/>
                <wp:docPr id="288264" name="Group 288264"/>
                <wp:cNvGraphicFramePr/>
                <a:graphic xmlns:a="http://schemas.openxmlformats.org/drawingml/2006/main">
                  <a:graphicData uri="http://schemas.microsoft.com/office/word/2010/wordprocessingGroup">
                    <wpg:wgp>
                      <wpg:cNvGrpSpPr/>
                      <wpg:grpSpPr>
                        <a:xfrm>
                          <a:off x="0" y="0"/>
                          <a:ext cx="438150" cy="361950"/>
                          <a:chOff x="0" y="0"/>
                          <a:chExt cx="438150" cy="361950"/>
                        </a:xfrm>
                      </wpg:grpSpPr>
                      <wps:wsp>
                        <wps:cNvPr id="11373" name="Shape 11373"/>
                        <wps:cNvSpPr/>
                        <wps:spPr>
                          <a:xfrm>
                            <a:off x="381000" y="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763"/>
                                  <a:pt x="2175" y="39390"/>
                                </a:cubicBezTo>
                                <a:cubicBezTo>
                                  <a:pt x="725" y="35917"/>
                                  <a:pt x="0" y="32345"/>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375" name="Shape 11375"/>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7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377" name="Shape 11377"/>
                        <wps:cNvSpPr/>
                        <wps:spPr>
                          <a:xfrm>
                            <a:off x="381000" y="3048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805"/>
                                  <a:pt x="725" y="21034"/>
                                  <a:pt x="2175" y="17562"/>
                                </a:cubicBezTo>
                                <a:cubicBezTo>
                                  <a:pt x="3625" y="14089"/>
                                  <a:pt x="5690" y="11013"/>
                                  <a:pt x="8370" y="8334"/>
                                </a:cubicBezTo>
                                <a:cubicBezTo>
                                  <a:pt x="11049" y="56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8264" style="width:34.5pt;height:28.5pt;position:absolute;z-index:-2147483597;mso-position-horizontal-relative:text;mso-position-horizontal:absolute;margin-left:16.8633pt;mso-position-vertical-relative:text;margin-top:2.75pt;" coordsize="4381,3619">
                <v:shape id="Shape 11373" style="position:absolute;width:571;height:571;left:3810;top:0;" coordsize="57150,57150" path="m28575,0c32364,0,36009,794,39510,2183c43011,3572,46101,5556,48781,8235c51460,10914,53525,13990,54975,17562c56425,21034,57150,24705,57150,28575c57150,32345,56425,35917,54975,39489c53525,42763,51460,45938,48781,48716c46101,51296,43011,53280,39510,54868c36009,56356,32364,57051,28575,57150c24786,57051,21141,56356,17640,54967c14139,53380,11049,51296,8370,48716c5690,45938,3625,42763,2175,39390c725,35917,0,32345,0,28575c0,24705,725,21034,2175,17562c3625,13990,5690,10914,8370,8235c11049,5556,14139,3473,17640,2084c21141,695,24786,0,28575,0x">
                  <v:stroke weight="0pt" endcap="flat" joinstyle="miter" miterlimit="10" on="false" color="#000000" opacity="0"/>
                  <v:fill on="true" color="#333333"/>
                </v:shape>
                <v:shape id="Shape 11375" style="position:absolute;width:571;height:571;left:0;top:1524;" coordsize="57150,57150" path="m28575,0c32364,0,36009,794,39510,2183c43011,3572,46101,5556,48781,8235c51460,10914,53525,13990,54975,17463c56425,21034,57150,24705,57150,28575c57150,32345,56425,35917,54975,39489c53525,42763,51460,45938,48781,48716c46101,51296,43011,53280,39510,54868c36009,56356,32364,57051,28575,57150c24786,57051,21141,56356,17640,54967c14139,53380,11049,51296,8369,48716c5690,45938,3625,42763,2175,39390c725,35917,0,32345,0,28575c0,24705,725,21034,2175,17463c3625,13990,5690,10914,8369,8235c11049,5556,14139,3473,17640,2084c21141,695,24786,0,28575,0x">
                  <v:stroke weight="0pt" endcap="flat" joinstyle="miter" miterlimit="10" on="false" color="#000000" opacity="0"/>
                  <v:fill on="true" color="#333333"/>
                </v:shape>
                <v:shape id="Shape 11377" style="position:absolute;width:571;height:571;left:3810;top:3048;" coordsize="57150,57150" path="m28575,0c32364,0,36009,794,39510,2183c43011,3572,46101,5655,48781,8334c51460,11013,53525,14089,54975,17562c56425,21034,57150,24805,57150,28575c57150,32345,56425,35917,54975,39489c53525,42962,51460,46038,48781,48716c46101,51395,43011,53479,39510,54967c36009,56356,32364,57051,28575,57150c24786,57051,21141,56356,17640,54967c14139,53479,11049,51395,8370,48716c5690,46038,3625,42962,2175,39489c725,35917,0,32345,0,28575c0,24805,725,21034,2175,17562c3625,14089,5690,11013,8370,8334c11049,5655,14139,3572,17640,2183c21141,794,24786,0,28575,0x">
                  <v:stroke weight="0pt" endcap="flat" joinstyle="miter" miterlimit="10" on="false" color="#000000" opacity="0"/>
                  <v:fill on="true" color="#333333"/>
                </v:shape>
              </v:group>
            </w:pict>
          </mc:Fallback>
        </mc:AlternateContent>
      </w:r>
      <w:r>
        <w:t xml:space="preserve">у кандидатов для ИКД с показаниями для СРТ рекомендуется имплантация СРТ-Д; </w:t>
      </w:r>
      <w:r>
        <w:rPr>
          <w:i/>
        </w:rPr>
        <w:t>IIа класс (целесообразно):</w:t>
      </w:r>
    </w:p>
    <w:p w:rsidR="008E3F15" w:rsidRDefault="005F449A">
      <w:pPr>
        <w:ind w:left="1217" w:right="107"/>
      </w:pPr>
      <w:r>
        <w:t xml:space="preserve">СРТ целесообразна для пациентов с СН и синусовым ритмом в сочетании с ФВЛЖ ≤35%, </w:t>
      </w:r>
      <w:r>
        <w:rPr>
          <w:i/>
        </w:rPr>
        <w:t>QRS</w:t>
      </w:r>
      <w:r>
        <w:t xml:space="preserve"> 130–149 мс, блокадой левой ножки пучка Гиса, несмотря на оптимальную медикаментозную терапию, для улучшения симптомов, снижения заболеваемости и смертности;</w:t>
      </w:r>
    </w:p>
    <w:p w:rsidR="008E3F15" w:rsidRDefault="005F449A">
      <w:pPr>
        <w:ind w:left="1207" w:right="174"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5" name="Group 28826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84" name="Shape 1138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1013"/>
                                  <a:pt x="53525" y="14089"/>
                                  <a:pt x="54975" y="17562"/>
                                </a:cubicBezTo>
                                <a:cubicBezTo>
                                  <a:pt x="56425" y="21034"/>
                                  <a:pt x="57150" y="248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5938"/>
                                  <a:pt x="3625" y="42863"/>
                                  <a:pt x="2175" y="39390"/>
                                </a:cubicBezTo>
                                <a:cubicBezTo>
                                  <a:pt x="725" y="35917"/>
                                  <a:pt x="0" y="32345"/>
                                  <a:pt x="0" y="28575"/>
                                </a:cubicBezTo>
                                <a:cubicBezTo>
                                  <a:pt x="0" y="24805"/>
                                  <a:pt x="725" y="21034"/>
                                  <a:pt x="2175" y="17562"/>
                                </a:cubicBezTo>
                                <a:cubicBezTo>
                                  <a:pt x="3625" y="14089"/>
                                  <a:pt x="5690" y="11013"/>
                                  <a:pt x="8370"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5" style="width:4.50001pt;height:4.5pt;mso-position-horizontal-relative:char;mso-position-vertical-relative:line" coordsize="571,571">
                <v:shape id="Shape 11384" style="position:absolute;width:571;height:571;left:0;top:0;" coordsize="57150,57150" path="m28575,0c32364,0,36009,695,39510,2084c43011,3473,46101,5556,48781,8334c51460,11013,53525,14089,54975,17562c56425,21034,57150,24805,57150,28575c57150,32345,56425,35917,54975,39390c53525,42863,51460,45938,48781,48716c46101,51296,43011,53380,39510,54868c36009,56257,32364,57051,28575,57150c24786,57051,21141,56257,17640,54868c14139,53380,11049,51296,8370,48716c5690,45938,3625,42863,2175,39390c725,35917,0,32345,0,28575c0,24805,725,21034,2175,17562c3625,14089,5690,11013,8370,8334c11049,5556,14139,3473,17640,2084c21141,695,24786,0,28575,0x">
                  <v:stroke weight="0pt" endcap="flat" joinstyle="miter" miterlimit="10" on="false" color="#000000" opacity="0"/>
                  <v:fill on="true" color="#333333"/>
                </v:shape>
              </v:group>
            </w:pict>
          </mc:Fallback>
        </mc:AlternateContent>
      </w:r>
      <w:r>
        <w:t xml:space="preserve"> СРТ целесооб</w:t>
      </w:r>
      <w:r>
        <w:t xml:space="preserve">разна для пациентов с СН и синусовым ритмом в сочетании с ФВЛЖ ≤35%, </w:t>
      </w:r>
      <w:r>
        <w:rPr>
          <w:i/>
        </w:rPr>
        <w:t>QRS</w:t>
      </w:r>
      <w:r>
        <w:t xml:space="preserve"> ≥150 мс, морфологией QRS отличной от блокады левой ножки пучка Гиса, несмотря на оптимальную медикаментозную терапию, для улучшения симптомов и снижения заболеваемости;</w:t>
      </w:r>
    </w:p>
    <w:p w:rsidR="008E3F15" w:rsidRDefault="005F449A">
      <w:pPr>
        <w:ind w:left="1207" w:right="778"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6" name="Group 28826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391" name="Shape 11391"/>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6" style="width:4.50001pt;height:4.5pt;mso-position-horizontal-relative:char;mso-position-vertical-relative:line" coordsize="571,571">
                <v:shape id="Shape 11391" style="position:absolute;width:571;height:571;left:0;top:0;" coordsize="57150,57150" path="m28575,0c32364,0,36009,695,39510,2084c43011,3473,46101,5556,48781,8334c51460,10914,53525,14089,54975,17562c56425,21034,57150,24805,57150,28575c57150,32345,56425,35917,54975,39489c53525,42962,51460,46038,48781,48716c46101,51395,43011,53479,39510,54967c36009,56356,32364,57051,28575,57150c24786,57051,21141,56356,17640,54967c14139,53479,11049,51395,8370,48716c5690,46038,3625,42962,2175,39489c725,35917,0,32345,0,28575c0,24805,725,21034,2175,17562c3625,14089,5690,10914,8370,8334c11049,5556,14139,3473,17640,2084c21141,695,24786,0,28575,0x">
                  <v:stroke weight="0pt" endcap="flat" joinstyle="miter" miterlimit="10" on="false" color="#000000" opacity="0"/>
                  <v:fill on="true" color="#333333"/>
                </v:shape>
              </v:group>
            </w:pict>
          </mc:Fallback>
        </mc:AlternateContent>
      </w:r>
      <w:r>
        <w:t xml:space="preserve"> СРТ целесооб</w:t>
      </w:r>
      <w:r>
        <w:t xml:space="preserve">разна для пациентов с СН, ФВЛЖ ≤35%, NYHA III–IV, несмотря на оптимальную медикаментозную терапию, если имеется постоянная ФП и </w:t>
      </w:r>
      <w:r>
        <w:rPr>
          <w:i/>
        </w:rPr>
        <w:t>QRS</w:t>
      </w:r>
      <w:r>
        <w:t xml:space="preserve"> ≥130 мс, при обеспечении бивентрикулярного захвата, для улучшения симптомов, снижения заболеваемости и смертности;</w:t>
      </w:r>
    </w:p>
    <w:p w:rsidR="008E3F15" w:rsidRDefault="005F449A">
      <w:pPr>
        <w:ind w:left="947" w:right="15"/>
      </w:pPr>
      <w:r>
        <w:rPr>
          <w:rFonts w:ascii="Calibri" w:eastAsia="Calibri" w:hAnsi="Calibri" w:cs="Calibri"/>
          <w:noProof/>
          <w:color w:val="000000"/>
          <w:sz w:val="22"/>
        </w:rPr>
        <mc:AlternateContent>
          <mc:Choice Requires="wpg">
            <w:drawing>
              <wp:anchor distT="0" distB="0" distL="114300" distR="114300" simplePos="0" relativeHeight="251803648" behindDoc="0" locked="0" layoutInCell="1" allowOverlap="1">
                <wp:simplePos x="0" y="0"/>
                <wp:positionH relativeFrom="column">
                  <wp:posOffset>595164</wp:posOffset>
                </wp:positionH>
                <wp:positionV relativeFrom="paragraph">
                  <wp:posOffset>34925</wp:posOffset>
                </wp:positionV>
                <wp:extent cx="57150" cy="361950"/>
                <wp:effectExtent l="0" t="0" r="0" b="0"/>
                <wp:wrapSquare wrapText="bothSides"/>
                <wp:docPr id="288267" name="Group 28826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1398" name="Shape 11398"/>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8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1401" name="Shape 11401"/>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705"/>
                                  <a:pt x="725" y="21034"/>
                                  <a:pt x="2175" y="17562"/>
                                </a:cubicBezTo>
                                <a:cubicBezTo>
                                  <a:pt x="3625" y="14089"/>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88267" style="width:4.50001pt;height:28.5pt;position:absolute;mso-position-horizontal-relative:text;mso-position-horizontal:absolute;margin-left:46.8633pt;mso-position-vertical-relative:text;margin-top:2.75pt;" coordsize="571,3619">
                <v:shape id="Shape 11398" style="position:absolute;width:571;height:571;left:0;top:0;" coordsize="57150,57150" path="m28575,0c32364,0,36009,695,39510,2084c43011,3473,46101,5556,48781,8235c51460,10914,53525,13990,54975,17463c56425,21034,57150,24805,57150,28575c57150,32246,56425,35917,54975,39390c53525,42863,51460,46038,48781,48716c46101,51395,43011,53479,39510,54868c36009,56257,32364,57051,28575,57150c24786,57051,21141,56257,17640,54868c14139,53479,11049,51395,8370,48716c5690,46038,3625,42863,2175,39390c725,35917,0,32246,0,28575c0,24805,725,21034,2175,17562c3625,13990,5690,10914,8370,8235c11049,5556,14139,3473,17640,2084c21141,695,24786,0,28575,0x">
                  <v:stroke weight="0pt" endcap="flat" joinstyle="miter" miterlimit="10" on="false" color="#000000" opacity="0"/>
                  <v:fill on="true" color="#333333"/>
                </v:shape>
                <v:shape id="Shape 11401" style="position:absolute;width:571;height:571;left:0;top:3048;" coordsize="57150,57150" path="m28575,0c32364,0,36009,695,39510,2084c43011,3473,46101,5556,48781,8235c51460,10914,53525,14089,54975,17562c56425,21034,57150,24705,57150,28575c57150,32246,56425,35917,54975,39390c53525,42863,51460,46038,48781,48716c46101,51395,43011,53479,39510,54868c36009,56257,32364,57051,28575,57150c24786,57051,21141,56257,17640,54868c14139,53479,11049,51395,8370,48716c5690,46038,3625,42863,2175,39390c725,35917,0,32246,0,28575c0,24705,725,21034,2175,17562c3625,14089,5690,10914,8370,8235c11049,5556,14139,3473,17640,2084c21141,695,24786,0,28575,0x">
                  <v:stroke weight="0pt" endcap="flat" joinstyle="miter" miterlimit="10" on="false" color="#000000" opacity="0"/>
                  <v:fill on="true" color="#333333"/>
                </v:shape>
                <w10:wrap type="square"/>
              </v:group>
            </w:pict>
          </mc:Fallback>
        </mc:AlternateContent>
      </w:r>
      <w:r>
        <w:t xml:space="preserve">абляция </w:t>
      </w:r>
      <w:r>
        <w:t>атриовентрикулярного соединения целесообразна в случае неполной бивентрикулярной стимуляции (&lt;90–95%) вследствие проведения постоянной ФП; у пациентов с симптомной ФП и неконтролируемой частотой ритма, которые являются кандидатами для абляции атриовентрику</w:t>
      </w:r>
      <w:r>
        <w:t xml:space="preserve">лярного соединения (независимо от длительности </w:t>
      </w:r>
      <w:r>
        <w:rPr>
          <w:i/>
        </w:rPr>
        <w:t>QRS</w:t>
      </w:r>
      <w:r>
        <w:t>), СРТ предпочтительнее стандартной</w:t>
      </w:r>
    </w:p>
    <w:p w:rsidR="008E3F15" w:rsidRDefault="005F449A">
      <w:pPr>
        <w:spacing w:after="31"/>
        <w:ind w:left="1217" w:right="15"/>
      </w:pPr>
      <w:r>
        <w:t>правожелудочковой стимуляции при СНпФВ;</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8" name="Group 28826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408" name="Shape 11408"/>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868"/>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8" style="width:4.50001pt;height:4.5pt;mso-position-horizontal-relative:char;mso-position-vertical-relative:line" coordsize="571,571">
                <v:shape id="Shape 11408" style="position:absolute;width:571;height:571;left:0;top:0;" coordsize="57150,57150" path="m28575,0c32364,0,36009,695,39510,2084c43011,3473,46101,5556,48781,8235c51460,10914,53525,13891,54975,17463c56425,21034,57150,24705,57150,28575c57150,32345,56425,35917,54975,39390c53525,42863,51460,45938,48781,48716c46101,51296,43011,53380,39510,54868c36009,56356,32364,57051,28575,57150c24786,57051,21141,56356,17640,54868c14139,53380,11049,51296,8370,48716c5690,45938,3625,42863,2175,39390c725,35917,0,32345,0,28575c0,24705,725,21034,2175,17463c3625,13990,5690,10914,8370,8235c11049,5556,14139,3473,17640,2084c21141,695,24786,0,28575,0x">
                  <v:stroke weight="0pt" endcap="flat" joinstyle="miter" miterlimit="10" on="false" color="#000000" opacity="0"/>
                  <v:fill on="true" color="#333333"/>
                </v:shape>
              </v:group>
            </w:pict>
          </mc:Fallback>
        </mc:AlternateContent>
      </w:r>
      <w:r>
        <w:t xml:space="preserve"> у пациентов с симптомной ФП и неконтролируемой частотой ритма, которые являются кандидатами для абляции атриовентрикулярного сое</w:t>
      </w:r>
      <w:r>
        <w:t>динения</w:t>
      </w:r>
    </w:p>
    <w:p w:rsidR="008E3F15" w:rsidRDefault="005F449A">
      <w:pPr>
        <w:ind w:left="1217" w:right="15"/>
      </w:pPr>
      <w:r>
        <w:t xml:space="preserve">(независимо от длительности </w:t>
      </w:r>
      <w:r>
        <w:rPr>
          <w:i/>
        </w:rPr>
        <w:t>QRS</w:t>
      </w:r>
      <w:r>
        <w:t>), правожелудочковая стимуляция целесообразна при СНсФВ;</w:t>
      </w:r>
    </w:p>
    <w:p w:rsidR="008E3F15" w:rsidRDefault="005F449A">
      <w:pPr>
        <w:ind w:left="1207" w:right="791"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88269" name="Group 28826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415" name="Shape 11415"/>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70"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70"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88269" style="width:4.50001pt;height:4.5pt;mso-position-horizontal-relative:char;mso-position-vertical-relative:line" coordsize="571,571">
                <v:shape id="Shape 11415" style="position:absolute;width:571;height:571;left:0;top:0;" coordsize="57150,57150" path="m28575,0c32364,0,36009,695,39510,1984c43011,3473,46101,5556,48781,8334c51460,10914,53525,13990,54975,17463c56425,21034,57150,24705,57150,28575c57150,32345,56425,35917,54975,39291c53525,42763,51460,45938,48781,48716c46101,51296,43011,53380,39510,54769c36009,56158,32364,57051,28575,57150c24786,57051,21141,56158,17640,54769c14139,53380,11049,51296,8370,48716c5690,45938,3625,42763,2175,39291c725,35917,0,32345,0,28575c0,24705,725,21034,2175,17463c3625,13990,5690,10914,8370,8334c11049,5556,14139,3473,17640,1984c21141,695,24786,0,28575,0x">
                  <v:stroke weight="0pt" endcap="flat" joinstyle="miter" miterlimit="10" on="false" color="#000000" opacity="0"/>
                  <v:fill on="true" color="#333333"/>
                </v:shape>
              </v:group>
            </w:pict>
          </mc:Fallback>
        </mc:AlternateContent>
      </w:r>
      <w:r>
        <w:t xml:space="preserve"> у пациентов с обычным кардиостимулятором или ИКД в случае развития СН с ФВЛЖ ≤35%, несмотря на оптимальную медикаментозную терапию, и значительной (&gt;20%) доле</w:t>
      </w:r>
      <w:r>
        <w:t>й правожелудочковой стимуляции может быть целесообразной имплантация СРТ;</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0737" name="Group 29073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449" name="Shape 11449"/>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0737" style="width:4.50001pt;height:4.5pt;mso-position-horizontal-relative:char;mso-position-vertical-relative:line" coordsize="571,571">
                <v:shape id="Shape 11449" style="position:absolute;width:571;height:571;left:0;top:0;"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70,48716c5690,46038,3625,42863,2175,39390c725,35917,0,32246,0,28575c0,24805,725,21034,2175,17562c3625,14089,5690,10914,8370,8334c11049,5556,14139,3473,17640,2084c21141,695,24786,0,28575,0x">
                  <v:stroke weight="0pt" endcap="flat" joinstyle="miter" miterlimit="4" on="false" color="#000000" opacity="0"/>
                  <v:fill on="true" color="#333333"/>
                </v:shape>
              </v:group>
            </w:pict>
          </mc:Fallback>
        </mc:AlternateContent>
      </w:r>
      <w:r>
        <w:t xml:space="preserve"> кандидатам на СРТ имплантация СРТ-Д может быть целесообразна на основании индивидуальной оценки риска и командного принятия решения.</w:t>
      </w:r>
    </w:p>
    <w:p w:rsidR="008E3F15" w:rsidRDefault="005F449A">
      <w:pPr>
        <w:ind w:left="2" w:right="331"/>
      </w:pPr>
      <w:r>
        <w:t>В исследовании EchoCRT у пациентов с СНнФВ (NYH</w:t>
      </w:r>
      <w:r>
        <w:t xml:space="preserve">A III–IV, ФВЛЖ ≤30%), длительностью </w:t>
      </w:r>
      <w:r>
        <w:rPr>
          <w:i/>
        </w:rPr>
        <w:t>QRS</w:t>
      </w:r>
      <w:r>
        <w:t xml:space="preserve"> ≤130 мс, эхокардиографическими признаками диссинхронии желудочков в группе СРТ не снизилась частота госпитализаций с СН, а смертность (преимущественно сердечнососудистая) повысилась на 81%, что послужило причиной пре</w:t>
      </w:r>
      <w:r>
        <w:t xml:space="preserve">кращения исследования и отказа от СРТ при узких комплексах </w:t>
      </w:r>
      <w:r>
        <w:rPr>
          <w:i/>
        </w:rPr>
        <w:t>QRS</w:t>
      </w:r>
      <w:r>
        <w:t>.</w:t>
      </w:r>
    </w:p>
    <w:p w:rsidR="008E3F15" w:rsidRDefault="005F449A">
      <w:pPr>
        <w:ind w:left="2" w:right="550"/>
      </w:pPr>
      <w:r>
        <w:t xml:space="preserve">Согласно метаанализу I. Sipahi и соавт. (2011) СРТ эффективна лишь при длительности </w:t>
      </w:r>
      <w:r>
        <w:rPr>
          <w:i/>
        </w:rPr>
        <w:t>QRS</w:t>
      </w:r>
      <w:r>
        <w:t xml:space="preserve"> ≥150 мс. Поэтому в американских рекомендациях СРТ показана в первую очередь пациентам с длительностью </w:t>
      </w:r>
      <w:r>
        <w:rPr>
          <w:i/>
        </w:rPr>
        <w:t>QRS</w:t>
      </w:r>
      <w:r>
        <w:t xml:space="preserve"> ≥150 мс, ФВЛЖ ≤30%, СН NYHA II–III (IV) на фоне оптимального медикаментозного лечения (ACCF/AHA/HRS). Имплантация</w:t>
      </w:r>
    </w:p>
    <w:p w:rsidR="008E3F15" w:rsidRDefault="005F449A">
      <w:pPr>
        <w:ind w:left="2" w:right="15"/>
      </w:pPr>
      <w:r>
        <w:t>ресинхронизирующего кардиостимулятора не приносит эффекта 20% пациентам, особенно старшего возраста, с коморбидностью, ишемической кардиом</w:t>
      </w:r>
      <w:r>
        <w:t>иопатией, морфологией QRS отличной от блокады от левой ножки пучка Гиса, низкой долей стимуляции (Varma N. et al., 2019).</w:t>
      </w:r>
    </w:p>
    <w:p w:rsidR="008E3F15" w:rsidRDefault="005F449A">
      <w:pPr>
        <w:ind w:left="2" w:right="179"/>
      </w:pPr>
      <w:r>
        <w:t xml:space="preserve">Кардиостимуляция зоны левой ножки пучка Гиса может улучшить клинические исходы по сравнению с бивентиркулярной стимуляцией (LBBP-RESYNC; Parlavecchio A. et al., 2023; Vijayaraman P. et al., 2023). Улучшить состояние пациентов с СН, в том числе выраженной, </w:t>
      </w:r>
      <w:r>
        <w:t xml:space="preserve">и симптомной ФП может катетерная изоляция легочных вен (Casula M. et al., 2023; CASTLE HTx). </w:t>
      </w:r>
      <w:r>
        <w:rPr>
          <w:b/>
        </w:rPr>
        <w:t>Хирургическое лечение.</w:t>
      </w:r>
      <w:r>
        <w:t xml:space="preserve"> По данным наблюдательных исследований, у пациентов с ишемической кардиомиопатией предпочтительнее КШ, особенно при выраженной систолической </w:t>
      </w:r>
      <w:r>
        <w:t>дисфункции левого желудочка (ФВЛЖ ≤35%) или поражении ствола, нескольких сосудов (Cui K. et al., 2018).</w:t>
      </w:r>
    </w:p>
    <w:p w:rsidR="008E3F15" w:rsidRDefault="005F449A">
      <w:pPr>
        <w:spacing w:after="359"/>
        <w:ind w:left="2" w:right="80"/>
      </w:pPr>
      <w:r>
        <w:t>КШ может уменьшить вторичную митральную регургитацию, связанную с расширением левого желудочка при отсутствии структурного повреждения митрального аппар</w:t>
      </w:r>
      <w:r>
        <w:t xml:space="preserve">ата. У пациентов с выраженной СН может быть полезной хирургия тяжелой митральной регургитации с сохранением хорд, при проведении КШ или замене аортального клапана. Транскатетерная коррекция вторичной митральной регургитации с умеренной/выраженной СН может </w:t>
      </w:r>
      <w:r>
        <w:t xml:space="preserve">снизить частоту госпитализаций и смертность, улучшить качество жизни (COAPT). Терминальная СН, неблагоприятный прогноз и отсутствие альтернативного лечения являются показаниями для трансплантации сердца у мотивированных, эмоционально стабильных пациентов, </w:t>
      </w:r>
      <w:r>
        <w:t>настроенных на интенсивное послеоперационное лечение. Возможности трансплантации сердца в нашей стране пока ограничены — до 300 трансплантаций сердца в последние годы, что в 3 раза меньше потребности.</w:t>
      </w:r>
    </w:p>
    <w:p w:rsidR="008E3F15" w:rsidRDefault="005F449A">
      <w:pPr>
        <w:pStyle w:val="Heading1"/>
        <w:ind w:left="2"/>
      </w:pPr>
      <w:r>
        <w:t>Часть I. Сердечно-сосудистые болезни</w:t>
      </w:r>
    </w:p>
    <w:p w:rsidR="008E3F15" w:rsidRDefault="005F449A">
      <w:pPr>
        <w:ind w:left="2" w:right="15"/>
      </w:pPr>
      <w:r>
        <w:t>Для усиления функц</w:t>
      </w:r>
      <w:r>
        <w:t>ии мио карда в период ожидания трансплантации сердца используют механические помощники левого желудочка. Современные центрифужные насосы (HeartWare, HeartMate 3) могут реже вызывать осложнения (тромбоз насоса, инсульты, кровотечения), чем роторные (Heartma</w:t>
      </w:r>
      <w:r>
        <w:t>te II). Среди последних отметим отечественный насос АВК-Н Спутник.</w:t>
      </w:r>
    </w:p>
    <w:p w:rsidR="008E3F15" w:rsidRDefault="005F449A">
      <w:pPr>
        <w:ind w:left="2" w:right="91"/>
      </w:pPr>
      <w:r>
        <w:t>После трансплантации сердца возможно развитие бессимптомной коронарной васкулопатии денервированного сердца. Для диагностики коронарной васкулопатии рекомендуют коронарную ангиографию 1–2 р</w:t>
      </w:r>
      <w:r>
        <w:t>аза в год в течение первых 5 лет, при стабильной ситуации в дальнейшем реже.</w:t>
      </w:r>
    </w:p>
    <w:p w:rsidR="008E3F15" w:rsidRDefault="005F449A">
      <w:pPr>
        <w:ind w:left="2" w:right="15"/>
      </w:pPr>
      <w:r>
        <w:t>Для профилактики васкулопатии назначают статины (симвастатин, правастатин), которые могут повлиять на выживаемость и отторжение трансплантата (Vallakati A. et al., 2016).</w:t>
      </w:r>
    </w:p>
    <w:p w:rsidR="008E3F15" w:rsidRDefault="005F449A">
      <w:pPr>
        <w:spacing w:after="359"/>
        <w:ind w:left="2" w:right="15"/>
      </w:pPr>
      <w:r>
        <w:t>Показано</w:t>
      </w:r>
      <w:r>
        <w:t xml:space="preserve"> улучшение прогноза у принимавших рамиприл в небольших рандомизированных исследованиях (Fearon W. et al., 2017; Arashi H. et al., 2020).</w:t>
      </w:r>
    </w:p>
    <w:p w:rsidR="008E3F15" w:rsidRDefault="005F449A">
      <w:pPr>
        <w:pStyle w:val="Heading1"/>
        <w:ind w:left="2"/>
      </w:pPr>
      <w:r>
        <w:t>Часть I. Сердечно-сосудистые болезни</w:t>
      </w:r>
    </w:p>
    <w:p w:rsidR="008E3F15" w:rsidRDefault="005F449A">
      <w:pPr>
        <w:spacing w:after="31"/>
        <w:ind w:left="2" w:right="15"/>
      </w:pPr>
      <w:r>
        <w:t>Коморбидность</w:t>
      </w:r>
    </w:p>
    <w:p w:rsidR="008E3F15" w:rsidRDefault="005F449A">
      <w:pPr>
        <w:ind w:left="2" w:right="15"/>
      </w:pPr>
      <w:r>
        <w:t>Выбор лекарственных препаратов у пациентов с ХСН и частыми коморбидн</w:t>
      </w:r>
      <w:r>
        <w:t xml:space="preserve">ыми заболеваниями и состояниями представлен в </w:t>
      </w:r>
      <w:r>
        <w:rPr>
          <w:b/>
        </w:rPr>
        <w:t xml:space="preserve">табл. 8.5 </w:t>
      </w:r>
      <w:r>
        <w:t>(Белялов Ф.И., 2022).</w:t>
      </w:r>
    </w:p>
    <w:p w:rsidR="008E3F15" w:rsidRDefault="005F449A">
      <w:pPr>
        <w:spacing w:after="31"/>
        <w:ind w:left="2" w:right="15"/>
      </w:pPr>
      <w:r>
        <w:rPr>
          <w:b/>
        </w:rPr>
        <w:t xml:space="preserve">Таблица 8.5. </w:t>
      </w:r>
      <w:r>
        <w:t>Выбор препаратов у пациентов с сердечной недостаточностью в условиях коморбидности</w:t>
      </w:r>
    </w:p>
    <w:tbl>
      <w:tblPr>
        <w:tblStyle w:val="TableGrid"/>
        <w:tblW w:w="10485" w:type="dxa"/>
        <w:tblInd w:w="37" w:type="dxa"/>
        <w:tblCellMar>
          <w:top w:w="58" w:type="dxa"/>
          <w:left w:w="42" w:type="dxa"/>
          <w:bottom w:w="0" w:type="dxa"/>
          <w:right w:w="54" w:type="dxa"/>
        </w:tblCellMar>
        <w:tblLook w:val="04A0" w:firstRow="1" w:lastRow="0" w:firstColumn="1" w:lastColumn="0" w:noHBand="0" w:noVBand="1"/>
      </w:tblPr>
      <w:tblGrid>
        <w:gridCol w:w="2310"/>
        <w:gridCol w:w="4155"/>
        <w:gridCol w:w="4020"/>
      </w:tblGrid>
      <w:tr w:rsidR="008E3F15">
        <w:trPr>
          <w:trHeight w:val="330"/>
        </w:trPr>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Коморбидность</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Предпочтительные препараты</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rPr>
                <w:b/>
              </w:rPr>
              <w:t>Нежелательные препараты</w:t>
            </w:r>
          </w:p>
        </w:tc>
      </w:tr>
      <w:tr w:rsidR="008E3F15">
        <w:trPr>
          <w:trHeight w:val="788"/>
        </w:trPr>
        <w:tc>
          <w:tcPr>
            <w:tcW w:w="231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3" w:right="0" w:firstLine="0"/>
            </w:pPr>
            <w:r>
              <w:t>Артериальная гипертензия</w:t>
            </w:r>
          </w:p>
        </w:tc>
        <w:tc>
          <w:tcPr>
            <w:tcW w:w="415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иАПФ, БРА, сакубитрил + валсартан, иНГЛТ-2, β-адреноблокаторы, аМКР, диуретики</w:t>
            </w:r>
          </w:p>
        </w:tc>
        <w:tc>
          <w:tcPr>
            <w:tcW w:w="402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9" w:right="0" w:firstLine="0"/>
            </w:pPr>
            <w:r>
              <w:t>—</w:t>
            </w:r>
          </w:p>
        </w:tc>
      </w:tr>
      <w:tr w:rsidR="008E3F15">
        <w:trPr>
          <w:trHeight w:val="158"/>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788"/>
        </w:trPr>
        <w:tc>
          <w:tcPr>
            <w:tcW w:w="231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Артериальная гипотензия</w:t>
            </w:r>
          </w:p>
        </w:tc>
        <w:tc>
          <w:tcPr>
            <w:tcW w:w="4155" w:type="dxa"/>
            <w:tcBorders>
              <w:top w:val="sing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Дигоксин, ивабрадин, омекамтив</w:t>
            </w:r>
            <w:r>
              <w:rPr>
                <w:rFonts w:ascii="Times New Roman" w:eastAsia="Times New Roman" w:hAnsi="Times New Roman" w:cs="Times New Roman"/>
                <w:sz w:val="31"/>
                <w:vertAlign w:val="superscript"/>
              </w:rPr>
              <w:t>℘</w:t>
            </w:r>
          </w:p>
        </w:tc>
        <w:tc>
          <w:tcPr>
            <w:tcW w:w="40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β-Адреноблокаторы, иАПФ, БРА, сакубитрил + валсартан, иНГЛТ-2, аМКР, диуретики</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Беременность</w:t>
            </w:r>
          </w:p>
        </w:tc>
        <w:tc>
          <w:tcPr>
            <w:tcW w:w="41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Метопролол, дигоксин, тиазиды</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иАПФ, БРА, сакубитрил + валсартан, ивабрадин</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23" w:firstLine="0"/>
            </w:pPr>
            <w:r>
              <w:t>Бронхиальная астма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БРА, сакубитрил + валсартан, иНГЛТ-2, аМКР, диуретики</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β-Адреноблокаторы, карведилол, иАПФ</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Дисфункция синусового узла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иАПФ, БРА, сакубитрил + валсартан, аМКР, диуретики</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β-Адреноблокаторы, дигоксин, ивабрадин</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Коронарная болезнь</w:t>
            </w:r>
          </w:p>
        </w:tc>
        <w:tc>
          <w:tcPr>
            <w:tcW w:w="41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 карведилол</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Подагра</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иНГЛТ-2, лозартан, сакубитрил + валсартан</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Диуретики</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СД</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иНГЛТ-2, иАПФ, БРА, сакубитрил + валсартан, финеренон</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jc w:val="both"/>
            </w:pPr>
            <w:r>
              <w:t>Тиазиды, олмесартана медоксомил</w:t>
            </w:r>
          </w:p>
        </w:tc>
      </w:tr>
      <w:tr w:rsidR="008E3F15">
        <w:trPr>
          <w:trHeight w:val="330"/>
        </w:trPr>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ФП</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β-Адреноблокаторы, иАПФ, аМКР</w:t>
            </w:r>
          </w:p>
        </w:tc>
        <w:tc>
          <w:tcPr>
            <w:tcW w:w="40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Диуретики, дигоксин, ивабрадин</w:t>
            </w:r>
          </w:p>
        </w:tc>
      </w:tr>
      <w:tr w:rsidR="008E3F15">
        <w:trPr>
          <w:trHeight w:val="570"/>
        </w:trPr>
        <w:tc>
          <w:tcPr>
            <w:tcW w:w="2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ХБП</w:t>
            </w:r>
          </w:p>
        </w:tc>
        <w:tc>
          <w:tcPr>
            <w:tcW w:w="4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иАПФ, БРА, сакубитрил + валсартан, иНГЛТ-2, аМКР</w:t>
            </w:r>
          </w:p>
        </w:tc>
        <w:tc>
          <w:tcPr>
            <w:tcW w:w="40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Тиазиды</w:t>
            </w:r>
          </w:p>
        </w:tc>
      </w:tr>
    </w:tbl>
    <w:p w:rsidR="008E3F15" w:rsidRDefault="005F449A">
      <w:pPr>
        <w:pStyle w:val="Heading1"/>
        <w:ind w:left="2"/>
      </w:pPr>
      <w:r>
        <w:t>Часть I. Сердечно-сосудистые болезни</w:t>
      </w:r>
    </w:p>
    <w:p w:rsidR="008E3F15" w:rsidRDefault="005F449A">
      <w:pPr>
        <w:spacing w:after="31"/>
        <w:ind w:left="2" w:right="15"/>
      </w:pPr>
      <w:r>
        <w:t>Глава 9. Болезни клапанов сердца</w:t>
      </w:r>
    </w:p>
    <w:p w:rsidR="008E3F15" w:rsidRDefault="005F449A">
      <w:pPr>
        <w:pStyle w:val="Heading2"/>
        <w:ind w:left="2"/>
      </w:pPr>
      <w: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04672" behindDoc="0" locked="0" layoutInCell="1" allowOverlap="1">
                <wp:simplePos x="0" y="0"/>
                <wp:positionH relativeFrom="column">
                  <wp:posOffset>214164</wp:posOffset>
                </wp:positionH>
                <wp:positionV relativeFrom="paragraph">
                  <wp:posOffset>34925</wp:posOffset>
                </wp:positionV>
                <wp:extent cx="57150" cy="1276350"/>
                <wp:effectExtent l="0" t="0" r="0" b="0"/>
                <wp:wrapSquare wrapText="bothSides"/>
                <wp:docPr id="291148" name="Group 291148"/>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1611" name="Shape 11611"/>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13" name="Shape 11613"/>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15" name="Shape 1161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17" name="Shape 11617"/>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19" name="Shape 11619"/>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21" name="Shape 11621"/>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23" name="Shape 11623"/>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25" name="Shape 11625"/>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27" name="Shape 11627"/>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1148" style="width:4.5pt;height:100.5pt;position:absolute;mso-position-horizontal-relative:text;mso-position-horizontal:absolute;margin-left:16.8633pt;mso-position-vertical-relative:text;margin-top:2.75pt;" coordsize="571,12763">
                <v:shape id="Shape 11611" style="position:absolute;width:571;height:571;left:0;top:0;"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4" on="false" color="#000000" opacity="0"/>
                  <v:fill on="true" color="#333333"/>
                </v:shape>
                <v:shape id="Shape 11613" style="position:absolute;width:571;height:571;left:0;top:1524;"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4" on="false" color="#000000" opacity="0"/>
                  <v:fill on="true" color="#333333"/>
                </v:shape>
                <v:shape id="Shape 11615" style="position:absolute;width:571;height:571;left:0;top:3048;"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4" on="false" color="#000000" opacity="0"/>
                  <v:fill on="true" color="#333333"/>
                </v:shape>
                <v:shape id="Shape 11617" style="position:absolute;width:571;height:571;left:0;top:4572;"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4" on="false" color="#000000" opacity="0"/>
                  <v:fill on="true" color="#333333"/>
                </v:shape>
                <v:shape id="Shape 11619" style="position:absolute;width:571;height:571;left:0;top:6096;"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4" on="false" color="#000000" opacity="0"/>
                  <v:fill on="true" color="#333333"/>
                </v:shape>
                <v:shape id="Shape 11621" style="position:absolute;width:571;height:571;left:0;top:7620;" coordsize="57150,57150" path="m28575,0c32364,0,36009,695,39510,2084c43011,3473,46101,5556,48781,8334c51460,10914,53525,14089,54975,17562c56425,21034,57150,24805,57150,28575c57150,32345,56425,35917,54975,39489c53525,42962,51460,46038,48781,48716c46101,51395,43011,53479,39510,54967c36009,56356,32364,57051,28575,57150c24786,57051,21141,56356,17640,54967c14139,53479,11049,51395,8369,48716c5690,46038,3625,42962,2175,39489c725,35917,0,32345,0,28575c0,24805,725,21034,2175,17562c3625,14089,5690,10914,8369,8334c11049,5556,14139,3473,17640,2084c21141,695,24786,0,28575,0x">
                  <v:stroke weight="0pt" endcap="flat" joinstyle="miter" miterlimit="4" on="false" color="#000000" opacity="0"/>
                  <v:fill on="true" color="#333333"/>
                </v:shape>
                <v:shape id="Shape 11623" style="position:absolute;width:571;height:571;left:0;top:9144;" coordsize="57150,57150" path="m28575,0c32364,0,36009,695,39510,2084c43011,3473,46101,5556,48781,8334c51460,10914,53525,14089,54975,17562c56425,21034,57150,24805,57150,28575c57150,32345,56425,35917,54975,39489c53525,42962,51460,46038,48781,48716c46101,51395,43011,53479,39510,54967c36009,56356,32364,57051,28575,57150c24786,57051,21141,56356,17640,54967c14139,53479,11049,51395,8369,48716c5690,46038,3625,42962,2175,39489c725,35917,0,32345,0,28575c0,24805,725,21034,2175,17562c3625,14089,5690,10914,8369,8334c11049,5556,14139,3473,17640,2084c21141,695,24786,0,28575,0x">
                  <v:stroke weight="0pt" endcap="flat" joinstyle="miter" miterlimit="4" on="false" color="#000000" opacity="0"/>
                  <v:fill on="true" color="#333333"/>
                </v:shape>
                <v:shape id="Shape 11625" style="position:absolute;width:571;height:571;left:0;top:10668;" coordsize="57150,57150" path="m28575,0c32364,0,36009,695,39510,2084c43011,3473,46101,5556,48781,8334c51460,10914,53525,14089,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4089,5690,10914,8369,8334c11049,5556,14139,3473,17640,2084c21141,695,24786,0,28575,0x">
                  <v:stroke weight="0pt" endcap="flat" joinstyle="miter" miterlimit="4" on="false" color="#000000" opacity="0"/>
                  <v:fill on="true" color="#333333"/>
                </v:shape>
                <v:shape id="Shape 11627" style="position:absolute;width:571;height:571;left:0;top:12192;" coordsize="57150,57150" path="m28575,0c32364,0,36009,695,39510,2084c43011,3473,46101,5556,48781,8235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3990,5690,10914,8369,8235c11049,5556,14139,3473,17640,2084c21141,695,24786,0,28575,0x">
                  <v:stroke weight="0pt" endcap="flat" joinstyle="miter" miterlimit="4" on="false" color="#000000" opacity="0"/>
                  <v:fill on="true" color="#333333"/>
                </v:shape>
                <w10:wrap type="square"/>
              </v:group>
            </w:pict>
          </mc:Fallback>
        </mc:AlternateContent>
      </w:r>
      <w:r>
        <w:t>Эхокардиография трансторакальная (мониторинг), чреспищеводная.</w:t>
      </w:r>
    </w:p>
    <w:p w:rsidR="008E3F15" w:rsidRDefault="005F449A">
      <w:pPr>
        <w:spacing w:after="31"/>
        <w:ind w:left="347" w:right="15"/>
      </w:pPr>
      <w:r>
        <w:t>Коронарная ангиография или КТ-ангиография.</w:t>
      </w:r>
    </w:p>
    <w:p w:rsidR="008E3F15" w:rsidRDefault="005F449A">
      <w:pPr>
        <w:spacing w:after="31"/>
        <w:ind w:left="347" w:right="15"/>
      </w:pPr>
      <w:r>
        <w:t>ЭКГ, мониторирование ЭКГ.</w:t>
      </w:r>
    </w:p>
    <w:p w:rsidR="008E3F15" w:rsidRDefault="005F449A">
      <w:pPr>
        <w:spacing w:after="31"/>
        <w:ind w:left="347" w:right="15"/>
      </w:pPr>
      <w:r>
        <w:t>Стресс-тест (для стенозов).</w:t>
      </w:r>
    </w:p>
    <w:p w:rsidR="008E3F15" w:rsidRDefault="005F449A">
      <w:pPr>
        <w:spacing w:after="31"/>
        <w:ind w:left="347" w:right="15"/>
      </w:pPr>
      <w:r>
        <w:t>Рентгенография грудной клетки.</w:t>
      </w:r>
    </w:p>
    <w:p w:rsidR="008E3F15" w:rsidRDefault="005F449A">
      <w:pPr>
        <w:spacing w:after="31"/>
        <w:ind w:left="347" w:right="15"/>
      </w:pPr>
      <w:r>
        <w:t>Натрийуретический п</w:t>
      </w:r>
      <w:r>
        <w:t>ептид (BNP, NT-proBNP).</w:t>
      </w:r>
    </w:p>
    <w:p w:rsidR="008E3F15" w:rsidRDefault="005F449A">
      <w:pPr>
        <w:spacing w:after="31"/>
        <w:ind w:left="347" w:right="15"/>
      </w:pPr>
      <w:r>
        <w:t>Консультация отоларинголога, стоматолога.</w:t>
      </w:r>
    </w:p>
    <w:p w:rsidR="008E3F15" w:rsidRDefault="005F449A">
      <w:pPr>
        <w:spacing w:after="179"/>
        <w:ind w:left="347" w:right="1780"/>
      </w:pPr>
      <w:r>
        <w:t>Антистрептолизин-О, креатинин, рСКФ, билирубин, трансаминазы. Шкалы EuroScore II, STS, ACS NSQIP.</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05696" behindDoc="0" locked="0" layoutInCell="1" allowOverlap="1">
                <wp:simplePos x="0" y="0"/>
                <wp:positionH relativeFrom="column">
                  <wp:posOffset>214164</wp:posOffset>
                </wp:positionH>
                <wp:positionV relativeFrom="paragraph">
                  <wp:posOffset>34925</wp:posOffset>
                </wp:positionV>
                <wp:extent cx="57150" cy="971550"/>
                <wp:effectExtent l="0" t="0" r="0" b="0"/>
                <wp:wrapSquare wrapText="bothSides"/>
                <wp:docPr id="291150" name="Group 291150"/>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1630" name="Shape 11630"/>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562"/>
                                </a:cubicBezTo>
                                <a:cubicBezTo>
                                  <a:pt x="3625" y="14089"/>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32" name="Shape 11632"/>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34" name="Shape 11634"/>
                        <wps:cNvSpPr/>
                        <wps:spPr>
                          <a:xfrm>
                            <a:off x="0" y="3048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36" name="Shape 11636"/>
                        <wps:cNvSpPr/>
                        <wps:spPr>
                          <a:xfrm>
                            <a:off x="0" y="4572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390"/>
                                </a:cubicBezTo>
                                <a:cubicBezTo>
                                  <a:pt x="53525" y="42863"/>
                                  <a:pt x="51460" y="45938"/>
                                  <a:pt x="48781" y="48716"/>
                                </a:cubicBezTo>
                                <a:cubicBezTo>
                                  <a:pt x="46101" y="51296"/>
                                  <a:pt x="43011" y="53380"/>
                                  <a:pt x="39510" y="54769"/>
                                </a:cubicBezTo>
                                <a:cubicBezTo>
                                  <a:pt x="36009" y="56356"/>
                                  <a:pt x="32364" y="57051"/>
                                  <a:pt x="28575" y="57150"/>
                                </a:cubicBezTo>
                                <a:cubicBezTo>
                                  <a:pt x="24786" y="57051"/>
                                  <a:pt x="21141" y="56356"/>
                                  <a:pt x="17640" y="54769"/>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38" name="Shape 11638"/>
                        <wps:cNvSpPr/>
                        <wps:spPr>
                          <a:xfrm>
                            <a:off x="0" y="6096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356"/>
                                  <a:pt x="32364" y="57051"/>
                                  <a:pt x="28575" y="57150"/>
                                </a:cubicBezTo>
                                <a:cubicBezTo>
                                  <a:pt x="24786" y="57051"/>
                                  <a:pt x="21141" y="56356"/>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40" name="Shape 11640"/>
                        <wps:cNvSpPr/>
                        <wps:spPr>
                          <a:xfrm>
                            <a:off x="0" y="7620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642" name="Shape 11642"/>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1150" style="width:4.5pt;height:76.5pt;position:absolute;mso-position-horizontal-relative:text;mso-position-horizontal:absolute;margin-left:16.8633pt;mso-position-vertical-relative:text;margin-top:2.75pt;" coordsize="571,9715">
                <v:shape id="Shape 11630" style="position:absolute;width:571;height:571;left:0;top:0;" coordsize="57150,57150" path="m28575,0c32364,0,36009,695,39510,2084c43011,3473,46101,5556,48781,8235c51460,10914,53525,14089,54975,17562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562c3625,14089,5690,10914,8369,8235c11049,5556,14139,3473,17640,2084c21141,695,24786,0,28575,0x">
                  <v:stroke weight="0pt" endcap="flat" joinstyle="miter" miterlimit="4" on="false" color="#000000" opacity="0"/>
                  <v:fill on="true" color="#333333"/>
                </v:shape>
                <v:shape id="Shape 11632" style="position:absolute;width:571;height:571;left:0;top:1524;" coordsize="57150,57150" path="m28575,0c32364,0,36009,695,39510,2084c43011,3473,46101,5556,48781,8235c51460,10914,53525,13990,54975,17463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463c3625,13990,5690,10914,8369,8235c11049,5556,14139,3473,17640,2084c21141,695,24786,0,28575,0x">
                  <v:stroke weight="0pt" endcap="flat" joinstyle="miter" miterlimit="4" on="false" color="#000000" opacity="0"/>
                  <v:fill on="true" color="#333333"/>
                </v:shape>
                <v:shape id="Shape 11634" style="position:absolute;width:571;height:571;left:0;top:3048;" coordsize="57150,57150" path="m28575,0c32364,0,36009,695,39510,1984c43011,3473,46101,5556,48781,8235c51460,10914,53525,13891,54975,17463c56425,21034,57150,24705,57150,28575c57150,32345,56425,35917,54975,39489c53525,42863,51460,46038,48781,48716c46101,51395,43011,53380,39510,54967c36009,56356,32364,57051,28575,57150c24786,57051,21141,56356,17640,54967c14139,53380,11049,51395,8369,48716c5690,46038,3625,42863,2175,39489c725,35917,0,32345,0,28575c0,24705,725,21034,2175,17463c3625,13990,5690,10914,8369,8235c11049,5556,14139,3473,17640,1984c21141,695,24786,0,28575,0x">
                  <v:stroke weight="0pt" endcap="flat" joinstyle="miter" miterlimit="4" on="false" color="#000000" opacity="0"/>
                  <v:fill on="true" color="#333333"/>
                </v:shape>
                <v:shape id="Shape 11636" style="position:absolute;width:571;height:571;left:0;top:4572;" coordsize="57150,57150" path="m28575,0c32364,0,36009,695,39510,1984c43011,3473,46101,5556,48781,8235c51460,10914,53525,13891,54975,17463c56425,21034,57150,24705,57150,28575c57150,32345,56425,35917,54975,39390c53525,42863,51460,45938,48781,48716c46101,51296,43011,53380,39510,54769c36009,56356,32364,57051,28575,57150c24786,57051,21141,56356,17640,54769c14139,53380,11049,51296,8369,48716c5690,45938,3625,42863,2175,39390c725,35917,0,32345,0,28575c0,24705,725,21034,2175,17463c3625,13990,5690,10914,8369,8235c11049,5556,14139,3473,17640,1984c21141,695,24786,0,28575,0x">
                  <v:stroke weight="0pt" endcap="flat" joinstyle="miter" miterlimit="4" on="false" color="#000000" opacity="0"/>
                  <v:fill on="true" color="#333333"/>
                </v:shape>
                <v:shape id="Shape 11638" style="position:absolute;width:571;height:571;left:0;top:6096;" coordsize="57150,57150" path="m28575,0c32364,0,36009,695,39510,1984c43011,3473,46101,5556,48781,8235c51460,10914,53525,13891,54975,17463c56425,21034,57150,24705,57150,28575c57150,32345,56425,35917,54975,39291c53525,42763,51460,45938,48781,48716c46101,51296,43011,53380,39510,54769c36009,56356,32364,57051,28575,57150c24786,57051,21141,56356,17640,54769c14139,53380,11049,51296,8369,48716c5690,45938,3625,42763,2175,39291c725,35917,0,32345,0,28575c0,24705,725,21034,2175,17463c3625,13990,5690,10914,8369,8235c11049,5556,14139,3473,17640,1984c21141,695,24786,0,28575,0x">
                  <v:stroke weight="0pt" endcap="flat" joinstyle="miter" miterlimit="4" on="false" color="#000000" opacity="0"/>
                  <v:fill on="true" color="#333333"/>
                </v:shape>
                <v:shape id="Shape 11640" style="position:absolute;width:571;height:571;left:0;top:7620;" coordsize="57150,57150" path="m28575,0c32364,0,36009,695,39510,1984c43011,3473,46101,5556,48781,8235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235c11049,5556,14139,3473,17640,1984c21141,695,24786,0,28575,0x">
                  <v:stroke weight="0pt" endcap="flat" joinstyle="miter" miterlimit="4" on="false" color="#000000" opacity="0"/>
                  <v:fill on="true" color="#333333"/>
                </v:shape>
                <v:shape id="Shape 11642" style="position:absolute;width:571;height:571;left:0;top:9144;" coordsize="57150,57150" path="m28575,0c32364,0,36009,695,39510,20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2084c21141,695,24786,0,28575,0x">
                  <v:stroke weight="0pt" endcap="flat" joinstyle="miter" miterlimit="4" on="false" color="#000000" opacity="0"/>
                  <v:fill on="true" color="#333333"/>
                </v:shape>
                <w10:wrap type="square"/>
              </v:group>
            </w:pict>
          </mc:Fallback>
        </mc:AlternateContent>
      </w:r>
      <w:r>
        <w:t>Диуретики.</w:t>
      </w:r>
    </w:p>
    <w:p w:rsidR="008E3F15" w:rsidRDefault="005F449A">
      <w:pPr>
        <w:spacing w:after="31"/>
        <w:ind w:left="347" w:right="15"/>
      </w:pPr>
      <w:r>
        <w:t>β-Адреноблокаторы, иАПФ/БРА.</w:t>
      </w:r>
    </w:p>
    <w:p w:rsidR="008E3F15" w:rsidRDefault="005F449A">
      <w:pPr>
        <w:spacing w:after="31"/>
        <w:ind w:left="347" w:right="15"/>
      </w:pPr>
      <w:r>
        <w:t>Варфарин, АСК.</w:t>
      </w:r>
    </w:p>
    <w:p w:rsidR="008E3F15" w:rsidRDefault="005F449A">
      <w:pPr>
        <w:spacing w:after="31"/>
        <w:ind w:left="347" w:right="15"/>
      </w:pPr>
      <w:r>
        <w:t>Антибиотики для профилактики ревматической лихорадки, инфекционного эндокардита.</w:t>
      </w:r>
    </w:p>
    <w:p w:rsidR="008E3F15" w:rsidRDefault="005F449A">
      <w:pPr>
        <w:spacing w:after="31"/>
        <w:ind w:left="347" w:right="15"/>
      </w:pPr>
      <w:r>
        <w:t>Транскатетерная/хирургическая замена клапана.</w:t>
      </w:r>
    </w:p>
    <w:p w:rsidR="008E3F15" w:rsidRDefault="005F449A">
      <w:pPr>
        <w:spacing w:after="179"/>
        <w:ind w:left="347" w:right="597"/>
      </w:pPr>
      <w:r>
        <w:t>Транскатетерная/хирургическая реконструкция клапана. Чрескожная/хирургическая комиссуротомия.</w:t>
      </w:r>
    </w:p>
    <w:p w:rsidR="008E3F15" w:rsidRDefault="005F449A">
      <w:pPr>
        <w:ind w:left="2" w:right="343"/>
      </w:pPr>
      <w:r>
        <w:t>Частота болезней клапанов сердца во</w:t>
      </w:r>
      <w:r>
        <w:t>зрастает с увеличением возраста пациентов: от 0,7% в 18–44 года до 13% после 75 лет (Nkomo V. et al., 2006). Среди болезней клапанов преобладают митральная регургитация и аортальный стеноз (</w:t>
      </w:r>
      <w:r>
        <w:rPr>
          <w:b/>
        </w:rPr>
        <w:t>рис. 9.1</w:t>
      </w:r>
      <w:r>
        <w:t>,</w:t>
      </w:r>
      <w:r>
        <w:rPr>
          <w:b/>
        </w:rPr>
        <w:t xml:space="preserve"> 9.2</w:t>
      </w:r>
      <w:r>
        <w:t>). Доля</w:t>
      </w:r>
    </w:p>
    <w:p w:rsidR="008E3F15" w:rsidRDefault="005F449A">
      <w:pPr>
        <w:ind w:left="2" w:right="15"/>
      </w:pPr>
      <w:r>
        <w:t>дегенеративных болезней в индустриально разви</w:t>
      </w:r>
      <w:r>
        <w:t>тых странах постоянно возрастает, особенно в преклонном возрасте и при выраженной коморбидности.</w:t>
      </w:r>
    </w:p>
    <w:p w:rsidR="008E3F15" w:rsidRDefault="005F449A">
      <w:pPr>
        <w:spacing w:after="65" w:line="259" w:lineRule="auto"/>
        <w:ind w:left="7" w:right="0" w:firstLine="0"/>
      </w:pPr>
      <w:r>
        <w:rPr>
          <w:noProof/>
        </w:rPr>
        <w:drawing>
          <wp:inline distT="0" distB="0" distL="0" distR="0">
            <wp:extent cx="5057775" cy="3219450"/>
            <wp:effectExtent l="0" t="0" r="0" b="0"/>
            <wp:docPr id="11685" name="Picture 11685"/>
            <wp:cNvGraphicFramePr/>
            <a:graphic xmlns:a="http://schemas.openxmlformats.org/drawingml/2006/main">
              <a:graphicData uri="http://schemas.openxmlformats.org/drawingml/2006/picture">
                <pic:pic xmlns:pic="http://schemas.openxmlformats.org/drawingml/2006/picture">
                  <pic:nvPicPr>
                    <pic:cNvPr id="11685" name="Picture 11685"/>
                    <pic:cNvPicPr/>
                  </pic:nvPicPr>
                  <pic:blipFill>
                    <a:blip r:embed="rId110"/>
                    <a:stretch>
                      <a:fillRect/>
                    </a:stretch>
                  </pic:blipFill>
                  <pic:spPr>
                    <a:xfrm>
                      <a:off x="0" y="0"/>
                      <a:ext cx="5057775" cy="3219450"/>
                    </a:xfrm>
                    <a:prstGeom prst="rect">
                      <a:avLst/>
                    </a:prstGeom>
                  </pic:spPr>
                </pic:pic>
              </a:graphicData>
            </a:graphic>
          </wp:inline>
        </w:drawing>
      </w:r>
    </w:p>
    <w:p w:rsidR="008E3F15" w:rsidRDefault="005F449A">
      <w:pPr>
        <w:spacing w:after="31"/>
        <w:ind w:left="2" w:right="15"/>
      </w:pPr>
      <w:r>
        <w:rPr>
          <w:b/>
        </w:rPr>
        <w:t xml:space="preserve">Рис. 9.1. </w:t>
      </w:r>
      <w:r>
        <w:t>Распространенность болезней клапанов сердца (VHD II)</w:t>
      </w:r>
    </w:p>
    <w:p w:rsidR="008E3F15" w:rsidRDefault="005F449A">
      <w:pPr>
        <w:spacing w:after="65" w:line="259" w:lineRule="auto"/>
        <w:ind w:left="7" w:right="0" w:firstLine="0"/>
      </w:pPr>
      <w:r>
        <w:rPr>
          <w:noProof/>
        </w:rPr>
        <w:drawing>
          <wp:inline distT="0" distB="0" distL="0" distR="0">
            <wp:extent cx="5057775" cy="4076700"/>
            <wp:effectExtent l="0" t="0" r="0" b="0"/>
            <wp:docPr id="11689" name="Picture 11689"/>
            <wp:cNvGraphicFramePr/>
            <a:graphic xmlns:a="http://schemas.openxmlformats.org/drawingml/2006/main">
              <a:graphicData uri="http://schemas.openxmlformats.org/drawingml/2006/picture">
                <pic:pic xmlns:pic="http://schemas.openxmlformats.org/drawingml/2006/picture">
                  <pic:nvPicPr>
                    <pic:cNvPr id="11689" name="Picture 11689"/>
                    <pic:cNvPicPr/>
                  </pic:nvPicPr>
                  <pic:blipFill>
                    <a:blip r:embed="rId111"/>
                    <a:stretch>
                      <a:fillRect/>
                    </a:stretch>
                  </pic:blipFill>
                  <pic:spPr>
                    <a:xfrm>
                      <a:off x="0" y="0"/>
                      <a:ext cx="5057775" cy="4076700"/>
                    </a:xfrm>
                    <a:prstGeom prst="rect">
                      <a:avLst/>
                    </a:prstGeom>
                  </pic:spPr>
                </pic:pic>
              </a:graphicData>
            </a:graphic>
          </wp:inline>
        </w:drawing>
      </w:r>
    </w:p>
    <w:p w:rsidR="008E3F15" w:rsidRDefault="005F449A">
      <w:pPr>
        <w:spacing w:after="31"/>
        <w:ind w:left="2" w:right="15"/>
      </w:pPr>
      <w:r>
        <w:rPr>
          <w:b/>
        </w:rPr>
        <w:t xml:space="preserve">Рис. 9.2. </w:t>
      </w:r>
      <w:r>
        <w:t>Этиология болезней клапанов сердца (VHD II)</w:t>
      </w:r>
    </w:p>
    <w:p w:rsidR="008E3F15" w:rsidRDefault="005F449A">
      <w:pPr>
        <w:ind w:left="2" w:right="15"/>
      </w:pPr>
      <w:r>
        <w:rPr>
          <w:b/>
        </w:rPr>
        <w:t xml:space="preserve">Диагностика. </w:t>
      </w:r>
      <w:r>
        <w:t xml:space="preserve">Эхокардиография является </w:t>
      </w:r>
      <w:r>
        <w:t>основным методом диагностики болезней клапанов сердца, определения тяжести и прогноза. Оценка должна проводиться подготовленными специалистами.</w:t>
      </w:r>
    </w:p>
    <w:p w:rsidR="008E3F15" w:rsidRDefault="005F449A">
      <w:pPr>
        <w:ind w:left="2" w:right="97"/>
      </w:pPr>
      <w:r>
        <w:t>Для своевременного направления пациентов на коррекцию клапанной аномалии целесообразно проводить регулярную инте</w:t>
      </w:r>
      <w:r>
        <w:t>гральную оценку состояния пациента с мониторированием основных эхокардиографических и клинических показателей (</w:t>
      </w:r>
      <w:r>
        <w:rPr>
          <w:b/>
        </w:rPr>
        <w:t>табл. 9.1</w:t>
      </w:r>
      <w:r>
        <w:t xml:space="preserve">, </w:t>
      </w:r>
      <w:r>
        <w:rPr>
          <w:b/>
        </w:rPr>
        <w:t>рис. 9.3</w:t>
      </w:r>
      <w:r>
        <w:t>).</w:t>
      </w:r>
    </w:p>
    <w:p w:rsidR="008E3F15" w:rsidRDefault="005F449A">
      <w:pPr>
        <w:spacing w:after="31"/>
        <w:ind w:left="2" w:right="15"/>
      </w:pPr>
      <w:r>
        <w:rPr>
          <w:b/>
        </w:rPr>
        <w:t xml:space="preserve">Таблица 9.1. </w:t>
      </w:r>
      <w:r>
        <w:t>Частота эхокардиографии у пациентов с заболеваниями клапанов сердца</w:t>
      </w:r>
    </w:p>
    <w:p w:rsidR="008E3F15" w:rsidRDefault="005F449A">
      <w:pPr>
        <w:spacing w:after="31"/>
        <w:ind w:left="2" w:right="15"/>
      </w:pPr>
      <w:r>
        <w:t>(AHA/ACC; ESC)</w:t>
      </w:r>
    </w:p>
    <w:tbl>
      <w:tblPr>
        <w:tblStyle w:val="TableGrid"/>
        <w:tblW w:w="10485" w:type="dxa"/>
        <w:tblInd w:w="37" w:type="dxa"/>
        <w:tblCellMar>
          <w:top w:w="58" w:type="dxa"/>
          <w:left w:w="41" w:type="dxa"/>
          <w:bottom w:w="0" w:type="dxa"/>
          <w:right w:w="115" w:type="dxa"/>
        </w:tblCellMar>
        <w:tblLook w:val="04A0" w:firstRow="1" w:lastRow="0" w:firstColumn="1" w:lastColumn="0" w:noHBand="0" w:noVBand="1"/>
      </w:tblPr>
      <w:tblGrid>
        <w:gridCol w:w="8250"/>
        <w:gridCol w:w="2235"/>
      </w:tblGrid>
      <w:tr w:rsidR="008E3F15">
        <w:trPr>
          <w:trHeight w:val="570"/>
        </w:trPr>
        <w:tc>
          <w:tcPr>
            <w:tcW w:w="82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rPr>
                <w:b/>
              </w:rPr>
              <w:t>Болезнь клапана</w:t>
            </w:r>
          </w:p>
        </w:tc>
        <w:tc>
          <w:tcPr>
            <w:tcW w:w="2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Интервал наблюдения</w:t>
            </w:r>
          </w:p>
        </w:tc>
      </w:tr>
      <w:tr w:rsidR="008E3F15">
        <w:trPr>
          <w:trHeight w:val="330"/>
        </w:trPr>
        <w:tc>
          <w:tcPr>
            <w:tcW w:w="8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Легкая</w:t>
            </w:r>
          </w:p>
        </w:tc>
        <w:tc>
          <w:tcPr>
            <w:tcW w:w="2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3–5 лет</w:t>
            </w:r>
          </w:p>
        </w:tc>
      </w:tr>
      <w:tr w:rsidR="008E3F15">
        <w:trPr>
          <w:trHeight w:val="308"/>
        </w:trPr>
        <w:tc>
          <w:tcPr>
            <w:tcW w:w="82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Умеренная</w:t>
            </w:r>
          </w:p>
        </w:tc>
        <w:tc>
          <w:tcPr>
            <w:tcW w:w="223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1–2 года</w:t>
            </w:r>
          </w:p>
        </w:tc>
      </w:tr>
      <w:tr w:rsidR="008E3F15">
        <w:trPr>
          <w:trHeight w:val="27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08"/>
        </w:trPr>
        <w:tc>
          <w:tcPr>
            <w:tcW w:w="82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Тяжелая асимптомная</w:t>
            </w:r>
          </w:p>
        </w:tc>
        <w:tc>
          <w:tcPr>
            <w:tcW w:w="22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6–12 мес</w:t>
            </w:r>
          </w:p>
        </w:tc>
      </w:tr>
      <w:tr w:rsidR="008E3F15">
        <w:trPr>
          <w:trHeight w:val="570"/>
        </w:trPr>
        <w:tc>
          <w:tcPr>
            <w:tcW w:w="8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Тяжелая, дилатация левого желудочка, значительное изменение размеров, близость критериев хирургического лечения</w:t>
            </w:r>
          </w:p>
        </w:tc>
        <w:tc>
          <w:tcPr>
            <w:tcW w:w="22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2–6 мес</w:t>
            </w:r>
          </w:p>
        </w:tc>
      </w:tr>
    </w:tbl>
    <w:p w:rsidR="008E3F15" w:rsidRDefault="005F449A">
      <w:pPr>
        <w:spacing w:after="65" w:line="259" w:lineRule="auto"/>
        <w:ind w:left="7" w:right="0" w:firstLine="0"/>
      </w:pPr>
      <w:r>
        <w:rPr>
          <w:noProof/>
        </w:rPr>
        <w:drawing>
          <wp:inline distT="0" distB="0" distL="0" distR="0">
            <wp:extent cx="5057775" cy="2962275"/>
            <wp:effectExtent l="0" t="0" r="0" b="0"/>
            <wp:docPr id="11756" name="Picture 11756"/>
            <wp:cNvGraphicFramePr/>
            <a:graphic xmlns:a="http://schemas.openxmlformats.org/drawingml/2006/main">
              <a:graphicData uri="http://schemas.openxmlformats.org/drawingml/2006/picture">
                <pic:pic xmlns:pic="http://schemas.openxmlformats.org/drawingml/2006/picture">
                  <pic:nvPicPr>
                    <pic:cNvPr id="11756" name="Picture 11756"/>
                    <pic:cNvPicPr/>
                  </pic:nvPicPr>
                  <pic:blipFill>
                    <a:blip r:embed="rId112"/>
                    <a:stretch>
                      <a:fillRect/>
                    </a:stretch>
                  </pic:blipFill>
                  <pic:spPr>
                    <a:xfrm>
                      <a:off x="0" y="0"/>
                      <a:ext cx="5057775" cy="2962275"/>
                    </a:xfrm>
                    <a:prstGeom prst="rect">
                      <a:avLst/>
                    </a:prstGeom>
                  </pic:spPr>
                </pic:pic>
              </a:graphicData>
            </a:graphic>
          </wp:inline>
        </w:drawing>
      </w:r>
    </w:p>
    <w:p w:rsidR="008E3F15" w:rsidRDefault="005F449A">
      <w:pPr>
        <w:ind w:left="2" w:right="15"/>
      </w:pPr>
      <w:r>
        <w:rPr>
          <w:b/>
        </w:rPr>
        <w:t xml:space="preserve">Рис. 9.3. </w:t>
      </w:r>
      <w:r>
        <w:t>Динамика размеров левых камер у пациента с аортальной регургитацией у пациента Р., 82 лет</w:t>
      </w:r>
    </w:p>
    <w:p w:rsidR="008E3F15" w:rsidRDefault="005F449A">
      <w:pPr>
        <w:ind w:left="2" w:right="76"/>
      </w:pPr>
      <w:r>
        <w:t xml:space="preserve">Эхокардиографическое исследование должно включать оценку рекомендованных критериев тяжелого стеноза (площадь и градиент) и регургитации (объем, </w:t>
      </w:r>
      <w:r>
        <w:rPr>
          <w:i/>
        </w:rPr>
        <w:t>vena contracta</w:t>
      </w:r>
      <w:r>
        <w:t xml:space="preserve">), ФВЛЖ </w:t>
      </w:r>
      <w:r>
        <w:t>по методу Simpson, кальцификацию аортального клапана, индексы увеличения камер сердца, давление легочной артерии и функцию правого желудочка.</w:t>
      </w:r>
    </w:p>
    <w:p w:rsidR="008E3F15" w:rsidRDefault="005F449A">
      <w:pPr>
        <w:ind w:left="2" w:right="78"/>
      </w:pPr>
      <w:r>
        <w:t>Чреспищеводная эхокардиография показана, если трансторакальное исследование не обеспечивает должного качества, при</w:t>
      </w:r>
      <w:r>
        <w:t xml:space="preserve"> подозрении на инфекционный эндокардит, тромбоз или дисфункцию искусственного клапана.</w:t>
      </w:r>
    </w:p>
    <w:p w:rsidR="008E3F15" w:rsidRDefault="005F449A">
      <w:pPr>
        <w:ind w:left="2" w:right="15"/>
      </w:pPr>
      <w:r>
        <w:t>Стресс-тест может оценить способность выполнять физическую нагрузку у асимптомных пациентов, природу неясных симптомов, уточнить прогноз и показания для оперативного леч</w:t>
      </w:r>
      <w:r>
        <w:t>ения при тяжелых стенозах аортального или митрального клапанов.</w:t>
      </w:r>
    </w:p>
    <w:p w:rsidR="008E3F15" w:rsidRDefault="005F449A">
      <w:pPr>
        <w:spacing w:after="31"/>
        <w:ind w:left="2" w:right="15"/>
      </w:pPr>
      <w:r>
        <w:t xml:space="preserve">Примеры оформления диагноза при болезнях клапанов сердца приведены в </w:t>
      </w:r>
      <w:r>
        <w:rPr>
          <w:b/>
        </w:rPr>
        <w:t>табл. 9.2</w:t>
      </w:r>
      <w:r>
        <w:t>.</w:t>
      </w:r>
    </w:p>
    <w:p w:rsidR="008E3F15" w:rsidRDefault="005F449A">
      <w:pPr>
        <w:spacing w:after="31"/>
        <w:ind w:left="2" w:right="15"/>
      </w:pPr>
      <w:r>
        <w:rPr>
          <w:b/>
        </w:rPr>
        <w:t xml:space="preserve">Таблица 9.2. </w:t>
      </w:r>
      <w:r>
        <w:t>Примеры оформления диагноза</w:t>
      </w:r>
    </w:p>
    <w:tbl>
      <w:tblPr>
        <w:tblStyle w:val="TableGrid"/>
        <w:tblW w:w="10485" w:type="dxa"/>
        <w:tblInd w:w="37" w:type="dxa"/>
        <w:tblCellMar>
          <w:top w:w="80" w:type="dxa"/>
          <w:left w:w="44" w:type="dxa"/>
          <w:bottom w:w="15" w:type="dxa"/>
          <w:right w:w="79" w:type="dxa"/>
        </w:tblCellMar>
        <w:tblLook w:val="04A0" w:firstRow="1" w:lastRow="0" w:firstColumn="1" w:lastColumn="0" w:noHBand="0" w:noVBand="1"/>
      </w:tblPr>
      <w:tblGrid>
        <w:gridCol w:w="9285"/>
        <w:gridCol w:w="1200"/>
      </w:tblGrid>
      <w:tr w:rsidR="008E3F15">
        <w:trPr>
          <w:trHeight w:val="570"/>
        </w:trPr>
        <w:tc>
          <w:tcPr>
            <w:tcW w:w="92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rPr>
                <w:b/>
              </w:rPr>
              <w:t>Диагноз</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630"/>
        </w:trPr>
        <w:tc>
          <w:tcPr>
            <w:tcW w:w="928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1" w:right="0" w:firstLine="0"/>
            </w:pPr>
            <w:r>
              <w:t>Ревматический митральный стеноз (S 1,8 см</w:t>
            </w:r>
            <w:r>
              <w:rPr>
                <w:sz w:val="31"/>
                <w:vertAlign w:val="superscript"/>
              </w:rPr>
              <w:t>2</w:t>
            </w:r>
            <w:r>
              <w:t>), аортальный стеноз и регургитация. ХСН NYHA III, IIБ ст.</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І05.0</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 xml:space="preserve">Дегенеративный митральный стеноз и регургитация. Имплантация механического митрального клапана (2019). Хроническая сердечная недостаточность NYHA II </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І34.9</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 xml:space="preserve">Инфаркт миокарда с подъемом </w:t>
            </w:r>
            <w:r>
              <w:rPr>
                <w:i/>
              </w:rPr>
              <w:t>ST</w:t>
            </w:r>
            <w:r>
              <w:t xml:space="preserve"> передней стенки (11.05.2023, 12:45). Дисфункция папиллярных мышц, митральная регургитация (35 мл). Острая сердечная недостаточность.</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I21.0</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Пролапс митрального клапана, выраженная регургитация (66 мл). Хроническая сердечная недостаточность NYHA III</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I34.1</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Кальцифицирующий стеноз аортального клапана (ÄP 95 мм рт.ст.), обмороки, стенокардия II ФК). Хроническая сердечная недостаточность NYHA II</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I35.0</w:t>
            </w:r>
          </w:p>
        </w:tc>
      </w:tr>
      <w:tr w:rsidR="008E3F15">
        <w:trPr>
          <w:trHeight w:val="885"/>
        </w:trPr>
        <w:tc>
          <w:tcPr>
            <w:tcW w:w="928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1" w:right="0" w:firstLine="0"/>
            </w:pPr>
            <w:r>
              <w:t>Аортальный стеноз тяжелый (S 0,4 см</w:t>
            </w:r>
            <w:r>
              <w:rPr>
                <w:sz w:val="31"/>
                <w:vertAlign w:val="superscript"/>
              </w:rPr>
              <w:t>2</w:t>
            </w:r>
            <w:r>
              <w:t>) с низким градиентом. Транскатетерная имплантация клапана Edwards SAPIEN</w:t>
            </w:r>
            <w:r>
              <w:t xml:space="preserve"> 3 (11.02.2019). Хроническая сердечная недостаточность NYHA II</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I35.0</w:t>
            </w:r>
          </w:p>
        </w:tc>
      </w:tr>
    </w:tbl>
    <w:p w:rsidR="008E3F15" w:rsidRDefault="005F449A">
      <w:pPr>
        <w:ind w:left="2" w:right="15"/>
      </w:pPr>
      <w:r>
        <w:rPr>
          <w:b/>
        </w:rPr>
        <w:t xml:space="preserve">Лечение. </w:t>
      </w:r>
      <w:r>
        <w:t>Кардиолог поликлиники играет ключевую роль в ведении пациентов, контролирует мониторинг клинических и эхокардиографических параметров, проводит лечение СН и аритмий, своевременно направляет на хирургическое/транскатетерное лечение, обеспечивает предопераци</w:t>
      </w:r>
      <w:r>
        <w:t>онную подготовку и послеоперационное ведение. Возрастание хирургического опыта и безопасности поддерживает более ранние вмешательства у асимптомных пациентов с низким риском в случаях аортального стеноза, аортальной и митральной регургитации.</w:t>
      </w:r>
    </w:p>
    <w:p w:rsidR="008E3F15" w:rsidRDefault="005F449A">
      <w:pPr>
        <w:spacing w:after="359"/>
        <w:ind w:left="2" w:right="15"/>
      </w:pPr>
      <w:r>
        <w:t>Важное значен</w:t>
      </w:r>
      <w:r>
        <w:t>ие у пациентов с имплантированными механическими клапанами имеет поддержание адекватной антикоагуляции на варфарине, который состоит из более активного S-варфарина и менее активного R-варфарина (</w:t>
      </w:r>
      <w:r>
        <w:rPr>
          <w:b/>
        </w:rPr>
        <w:t>рис. 9.4</w:t>
      </w:r>
      <w:r>
        <w:t>). В случаях ФП у пациентов с аортальным стенозом, ао</w:t>
      </w:r>
      <w:r>
        <w:t>ртальной и митральной регургитацией, биопротезами можно использовать прямые антикоагулянты.</w:t>
      </w:r>
    </w:p>
    <w:p w:rsidR="008E3F15" w:rsidRDefault="005F449A">
      <w:pPr>
        <w:pStyle w:val="Heading1"/>
        <w:ind w:left="2"/>
      </w:pPr>
      <w:r>
        <w:t>Часть I. Сердечно-сосудистые болезни</w:t>
      </w:r>
    </w:p>
    <w:p w:rsidR="008E3F15" w:rsidRDefault="005F449A">
      <w:pPr>
        <w:spacing w:after="65" w:line="259" w:lineRule="auto"/>
        <w:ind w:left="7" w:right="0" w:firstLine="0"/>
      </w:pPr>
      <w:r>
        <w:rPr>
          <w:noProof/>
        </w:rPr>
        <w:drawing>
          <wp:inline distT="0" distB="0" distL="0" distR="0">
            <wp:extent cx="5057775" cy="3257550"/>
            <wp:effectExtent l="0" t="0" r="0" b="0"/>
            <wp:docPr id="11841" name="Picture 11841"/>
            <wp:cNvGraphicFramePr/>
            <a:graphic xmlns:a="http://schemas.openxmlformats.org/drawingml/2006/main">
              <a:graphicData uri="http://schemas.openxmlformats.org/drawingml/2006/picture">
                <pic:pic xmlns:pic="http://schemas.openxmlformats.org/drawingml/2006/picture">
                  <pic:nvPicPr>
                    <pic:cNvPr id="11841" name="Picture 11841"/>
                    <pic:cNvPicPr/>
                  </pic:nvPicPr>
                  <pic:blipFill>
                    <a:blip r:embed="rId113"/>
                    <a:stretch>
                      <a:fillRect/>
                    </a:stretch>
                  </pic:blipFill>
                  <pic:spPr>
                    <a:xfrm>
                      <a:off x="0" y="0"/>
                      <a:ext cx="5057775" cy="3257550"/>
                    </a:xfrm>
                    <a:prstGeom prst="rect">
                      <a:avLst/>
                    </a:prstGeom>
                  </pic:spPr>
                </pic:pic>
              </a:graphicData>
            </a:graphic>
          </wp:inline>
        </w:drawing>
      </w:r>
    </w:p>
    <w:p w:rsidR="008E3F15" w:rsidRDefault="005F449A">
      <w:pPr>
        <w:spacing w:after="31"/>
        <w:ind w:left="2" w:right="15"/>
      </w:pPr>
      <w:r>
        <w:rPr>
          <w:b/>
        </w:rPr>
        <w:t xml:space="preserve">Рис. 9.4. </w:t>
      </w:r>
      <w:r>
        <w:t>Влияние лекарственных препаратов на активность фермента цитохрома Р450</w:t>
      </w:r>
    </w:p>
    <w:p w:rsidR="008E3F15" w:rsidRDefault="005F449A">
      <w:pPr>
        <w:spacing w:after="359"/>
        <w:ind w:left="2" w:right="214"/>
      </w:pPr>
      <w:r>
        <w:t>Решение об оперативном лечении принимает ком</w:t>
      </w:r>
      <w:r>
        <w:t xml:space="preserve">анда по клапанам сердца (Heart Valve Team), включающая кардиолога, кардиохирурга, интервенциониста, а при необходимости — специалиста по визуализации сердца и анестезиолога. Команда оценивает оптимальный вариант вмешательства (хирургия или транскатетерное </w:t>
      </w:r>
      <w:r>
        <w:t>лечение) на основе оценки возраста, хирургического риска, клинических и анатомических особенностей, опыта и исходов в данном госпитале, предпочтений пациента.</w:t>
      </w:r>
    </w:p>
    <w:p w:rsidR="008E3F15" w:rsidRDefault="005F449A">
      <w:pPr>
        <w:pStyle w:val="Heading1"/>
        <w:ind w:left="2"/>
      </w:pPr>
      <w:r>
        <w:t>Часть I. Сердечно-сосудистые болезни</w:t>
      </w:r>
    </w:p>
    <w:p w:rsidR="008E3F15" w:rsidRDefault="005F449A">
      <w:pPr>
        <w:spacing w:after="31"/>
        <w:ind w:left="2" w:right="15"/>
      </w:pPr>
      <w:r>
        <w:t>Митральный стеноз</w:t>
      </w:r>
    </w:p>
    <w:p w:rsidR="008E3F15" w:rsidRDefault="005F449A">
      <w:pPr>
        <w:ind w:left="2" w:right="15"/>
      </w:pPr>
      <w:r>
        <w:rPr>
          <w:b/>
        </w:rPr>
        <w:t xml:space="preserve">Этиология. </w:t>
      </w:r>
      <w:r>
        <w:t>Причиной митрального стеноза об</w:t>
      </w:r>
      <w:r>
        <w:t>ычно является ревматическая болезнь сердца, вызванная Streptococcus pyogenes. Реже (12,5%, по данным Euro Heart Survey, 60% у лиц старше 80 лет) встречается дегенеративный митральный стеноз с кальцификацией клапанного кольца.</w:t>
      </w:r>
    </w:p>
    <w:p w:rsidR="008E3F15" w:rsidRDefault="005F449A">
      <w:pPr>
        <w:ind w:left="2" w:right="15"/>
      </w:pPr>
      <w:r>
        <w:rPr>
          <w:b/>
        </w:rPr>
        <w:t xml:space="preserve">Диагностика. </w:t>
      </w:r>
      <w:r>
        <w:t>Митральный стеноз</w:t>
      </w:r>
      <w:r>
        <w:t xml:space="preserve"> обычно проявляется клиникой СН и ФП. При ФП с высокой ЧСС у пациентов с тяжелым асимптомным митральным стенозом может развиться отек легких.</w:t>
      </w:r>
    </w:p>
    <w:p w:rsidR="008E3F15" w:rsidRDefault="005F449A">
      <w:pPr>
        <w:spacing w:after="38"/>
        <w:ind w:left="2" w:right="15"/>
      </w:pPr>
      <w:r>
        <w:t>Аускультативная картина включает следующий за вторым тоном дополнительный тон открытия митрального клапана и последующий диастолический шум, лучше выслушиваемый на верхушке, а также усиленный первый тон.</w:t>
      </w:r>
    </w:p>
    <w:p w:rsidR="008E3F15" w:rsidRDefault="005F449A">
      <w:pPr>
        <w:ind w:left="2" w:right="15"/>
      </w:pPr>
      <w:r>
        <w:t>Площадь отверстия нормального митрального клапана со</w:t>
      </w:r>
      <w:r>
        <w:t>ставляет 4–6 см</w:t>
      </w:r>
      <w:r>
        <w:rPr>
          <w:sz w:val="31"/>
          <w:vertAlign w:val="superscript"/>
        </w:rPr>
        <w:t>2</w:t>
      </w:r>
      <w:r>
        <w:t xml:space="preserve">. Наличие и тяжесть порока сердца выявляют при эхокардиографии (см. </w:t>
      </w:r>
      <w:r>
        <w:rPr>
          <w:b/>
        </w:rPr>
        <w:t>табл. 9.3</w:t>
      </w:r>
      <w:r>
        <w:t>). Вначале увеличивается левое предсердие, появляется легочная гипертензия, а левый желудочек при отсутствии регургитации остается интактным. Допплерография позвол</w:t>
      </w:r>
      <w:r>
        <w:t>яет оценить трансклапанный градиент (средние значения 3–5 сокращений при синусовом ритме или 5–10 сокращений при ФП). На основании оценки времени снижения диастолического градиента от максимума до половины рассчитывают площадь отверстия. Планиметрическая о</w:t>
      </w:r>
      <w:r>
        <w:t>ценка площади митрального клапана в середине диастолы особенно полезна при ФП.</w:t>
      </w:r>
    </w:p>
    <w:p w:rsidR="008E3F15" w:rsidRDefault="005F449A">
      <w:pPr>
        <w:ind w:left="2" w:right="15"/>
      </w:pPr>
      <w:r>
        <w:t>Для дегенеративного митрального стеноза характерны кальцификация в основании створок клапанов, отсутствие сращения створок, сохраненная мобильность передней и задней створок мит</w:t>
      </w:r>
      <w:r>
        <w:t>рального клапана.</w:t>
      </w:r>
    </w:p>
    <w:p w:rsidR="008E3F15" w:rsidRDefault="005F449A">
      <w:pPr>
        <w:ind w:left="2" w:right="15"/>
      </w:pPr>
      <w:r>
        <w:t>Почти у 40% пациентов митральный стеноз сочетается с регургитацией крови в предсердие во время систолы левого желудочка, а у 35% — с поражением аортального клапана.</w:t>
      </w:r>
    </w:p>
    <w:p w:rsidR="008E3F15" w:rsidRDefault="005F449A">
      <w:pPr>
        <w:spacing w:after="31"/>
        <w:ind w:left="2" w:right="15"/>
      </w:pPr>
      <w:r>
        <w:rPr>
          <w:b/>
        </w:rPr>
        <w:t xml:space="preserve">Таблица 9.3. </w:t>
      </w:r>
      <w:r>
        <w:t>Классификация тяжести митрального стеноза (EACI, ASE)</w:t>
      </w:r>
    </w:p>
    <w:tbl>
      <w:tblPr>
        <w:tblStyle w:val="TableGrid"/>
        <w:tblW w:w="9570" w:type="dxa"/>
        <w:tblInd w:w="37" w:type="dxa"/>
        <w:tblCellMar>
          <w:top w:w="80" w:type="dxa"/>
          <w:left w:w="43" w:type="dxa"/>
          <w:bottom w:w="14" w:type="dxa"/>
          <w:right w:w="41" w:type="dxa"/>
        </w:tblCellMar>
        <w:tblLook w:val="04A0" w:firstRow="1" w:lastRow="0" w:firstColumn="1" w:lastColumn="0" w:noHBand="0" w:noVBand="1"/>
      </w:tblPr>
      <w:tblGrid>
        <w:gridCol w:w="6000"/>
        <w:gridCol w:w="930"/>
        <w:gridCol w:w="1470"/>
        <w:gridCol w:w="1170"/>
      </w:tblGrid>
      <w:tr w:rsidR="008E3F15">
        <w:trPr>
          <w:trHeight w:val="330"/>
        </w:trPr>
        <w:tc>
          <w:tcPr>
            <w:tcW w:w="600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2" w:right="0" w:firstLine="0"/>
            </w:pPr>
            <w:r>
              <w:rPr>
                <w:b/>
              </w:rPr>
              <w:t>Параме</w:t>
            </w:r>
            <w:r>
              <w:rPr>
                <w:b/>
              </w:rPr>
              <w:t>тр</w:t>
            </w:r>
          </w:p>
        </w:tc>
        <w:tc>
          <w:tcPr>
            <w:tcW w:w="3570" w:type="dxa"/>
            <w:gridSpan w:val="3"/>
            <w:tcBorders>
              <w:top w:val="single" w:sz="6" w:space="0" w:color="000000"/>
              <w:left w:val="nil"/>
              <w:bottom w:val="single" w:sz="6" w:space="0" w:color="000000"/>
              <w:right w:val="single" w:sz="6" w:space="0" w:color="000000"/>
            </w:tcBorders>
          </w:tcPr>
          <w:p w:rsidR="008E3F15" w:rsidRDefault="005F449A">
            <w:pPr>
              <w:spacing w:after="0" w:line="259" w:lineRule="auto"/>
              <w:ind w:left="5" w:right="0" w:firstLine="0"/>
              <w:jc w:val="both"/>
            </w:pPr>
            <w:r>
              <w:rPr>
                <w:b/>
                <w:bdr w:val="single" w:sz="12" w:space="0" w:color="000000"/>
              </w:rPr>
              <w:t>Легкий Умеренный Тяжелый</w:t>
            </w:r>
          </w:p>
        </w:tc>
      </w:tr>
      <w:tr w:rsidR="008E3F15">
        <w:trPr>
          <w:trHeight w:val="390"/>
        </w:trPr>
        <w:tc>
          <w:tcPr>
            <w:tcW w:w="60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2" w:right="0" w:firstLine="0"/>
            </w:pPr>
            <w:r>
              <w:t>Площадь отверстия, см</w:t>
            </w:r>
            <w:r>
              <w:rPr>
                <w:sz w:val="31"/>
                <w:vertAlign w:val="superscript"/>
              </w:rPr>
              <w:t>2</w:t>
            </w:r>
          </w:p>
        </w:tc>
        <w:tc>
          <w:tcPr>
            <w:tcW w:w="93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&gt;1,5</w:t>
            </w:r>
          </w:p>
        </w:tc>
        <w:tc>
          <w:tcPr>
            <w:tcW w:w="14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1,1–1,5</w:t>
            </w:r>
          </w:p>
        </w:tc>
        <w:tc>
          <w:tcPr>
            <w:tcW w:w="11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w:t>
            </w:r>
          </w:p>
        </w:tc>
      </w:tr>
      <w:tr w:rsidR="008E3F15">
        <w:trPr>
          <w:trHeight w:val="330"/>
        </w:trPr>
        <w:tc>
          <w:tcPr>
            <w:tcW w:w="60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Средний градиент, мм рт.ст.</w:t>
            </w:r>
          </w:p>
        </w:tc>
        <w:tc>
          <w:tcPr>
            <w:tcW w:w="9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&lt;5</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5–10</w:t>
            </w:r>
          </w:p>
        </w:tc>
        <w:tc>
          <w:tcPr>
            <w:tcW w:w="11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&gt;10</w:t>
            </w:r>
          </w:p>
        </w:tc>
      </w:tr>
      <w:tr w:rsidR="008E3F15">
        <w:trPr>
          <w:trHeight w:val="330"/>
        </w:trPr>
        <w:tc>
          <w:tcPr>
            <w:tcW w:w="6000" w:type="dxa"/>
            <w:tcBorders>
              <w:top w:val="single" w:sz="6" w:space="0" w:color="000000"/>
              <w:left w:val="single" w:sz="6" w:space="0" w:color="000000"/>
              <w:bottom w:val="single" w:sz="6" w:space="0" w:color="000000"/>
              <w:right w:val="nil"/>
            </w:tcBorders>
          </w:tcPr>
          <w:p w:rsidR="008E3F15" w:rsidRDefault="005F449A">
            <w:pPr>
              <w:spacing w:after="0" w:line="259" w:lineRule="auto"/>
              <w:ind w:left="2" w:right="0" w:firstLine="0"/>
              <w:jc w:val="both"/>
            </w:pPr>
            <w:r>
              <w:rPr>
                <w:bdr w:val="single" w:sz="12" w:space="0" w:color="000000"/>
              </w:rPr>
              <w:t>Систолическое давление легочной артерии, мм рт.ст.</w:t>
            </w:r>
          </w:p>
        </w:tc>
        <w:tc>
          <w:tcPr>
            <w:tcW w:w="9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5" w:right="0" w:firstLine="0"/>
            </w:pPr>
            <w:r>
              <w:t>&lt;30</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30–50</w:t>
            </w:r>
          </w:p>
        </w:tc>
        <w:tc>
          <w:tcPr>
            <w:tcW w:w="11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&gt;50</w:t>
            </w:r>
          </w:p>
        </w:tc>
      </w:tr>
    </w:tbl>
    <w:p w:rsidR="008E3F15" w:rsidRDefault="005F449A">
      <w:pPr>
        <w:ind w:left="2" w:right="15"/>
      </w:pPr>
      <w:r>
        <w:t>Для оценки возможности чрескожной баллонной комиссуротомии важно оценить морфологию клапана. Обычно используют шкалу Wilkins, которая включает оценку толщины, подвижности, кальцификации створок и подклапанных рубцов (до 16 баллов).</w:t>
      </w:r>
    </w:p>
    <w:p w:rsidR="008E3F15" w:rsidRDefault="005F449A">
      <w:pPr>
        <w:ind w:left="2" w:right="15"/>
      </w:pPr>
      <w:r>
        <w:t>Чреспищеводная эхокардио</w:t>
      </w:r>
      <w:r>
        <w:t>графия рекомендуется при низком качестве трансторакальной визуализации, для обнаружения тромба в левом предсердии перед митральной баллонной комиссуротомией, после тромбоэмболии.</w:t>
      </w:r>
    </w:p>
    <w:p w:rsidR="008E3F15" w:rsidRDefault="005F449A">
      <w:pPr>
        <w:ind w:left="2" w:right="515"/>
      </w:pPr>
      <w:r>
        <w:rPr>
          <w:b/>
        </w:rPr>
        <w:t xml:space="preserve">Медикаментозное лечение. </w:t>
      </w:r>
      <w:r>
        <w:t>При застое в легких и отеках назначаются диуретики (</w:t>
      </w:r>
      <w:r>
        <w:t xml:space="preserve">торасемид ± тиазиды). Восстановление и сохранение синусового ритма у пациентов с митральным стенозом и ФП нецелесообразно. Для контроля ЧСС при ФП обычно используют β-адреноблокаторы или блокаторы кальциевых каналов, снижающие ЧСС. Варфарин назначают всем </w:t>
      </w:r>
      <w:r>
        <w:t>пациентам с ФП (без расчета риска по шкалам), эмболиями, внутрипредсердным тромбом или механическими клапанами. Хотя имеет место связь размеров левого предсердия с риском тромбоэмболий, нет надежных данных об эффективности длительной антикоагуляции. Возмож</w:t>
      </w:r>
      <w:r>
        <w:t>но, у пациентов с объемом левого предсердия &gt;60 мл/м</w:t>
      </w:r>
      <w:r>
        <w:rPr>
          <w:sz w:val="31"/>
          <w:vertAlign w:val="superscript"/>
        </w:rPr>
        <w:t>2</w:t>
      </w:r>
      <w:r>
        <w:t>, особенно в старшей возрастной группе, целесообразно провести чреспищеводную эхокардиографию и при обнаружении предсердного тромба начать лечение варфарином (Keenan N. et al., 2010).</w:t>
      </w:r>
    </w:p>
    <w:p w:rsidR="008E3F15" w:rsidRDefault="005F449A">
      <w:pPr>
        <w:ind w:left="2" w:right="804"/>
      </w:pPr>
      <w:r>
        <w:t>Постоянную антибиот</w:t>
      </w:r>
      <w:r>
        <w:t>икотерапию для предупреждения стрептококкового фарингита и повторных атак ревматической лихорадки проводят бензатина бензилпенициллином 1,2 млн 1 раз в 3–4 нед.</w:t>
      </w:r>
    </w:p>
    <w:p w:rsidR="008E3F15" w:rsidRDefault="005F449A">
      <w:pPr>
        <w:ind w:left="2" w:right="270"/>
      </w:pPr>
      <w:r>
        <w:t>В настоящее время не проводится профилактика инфекционного эндокардита у пациентов с промежуточным риском, включая пороки естественных клапанов.</w:t>
      </w:r>
    </w:p>
    <w:p w:rsidR="008E3F15" w:rsidRDefault="005F449A">
      <w:pPr>
        <w:spacing w:after="179"/>
        <w:ind w:left="2" w:right="285"/>
      </w:pPr>
      <w:r>
        <w:rPr>
          <w:b/>
        </w:rPr>
        <w:t xml:space="preserve">Хирургическое лечение. </w:t>
      </w:r>
      <w:r>
        <w:t>Оценка периоперационного риска проводится кардиокомандой с использованием шкал периоперационного риска (EuroScore II, STS, ACS NSQIP). Для хирургического лечения ревматического митрального стеноза используют следующие показания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06720" behindDoc="1" locked="0" layoutInCell="1" allowOverlap="1">
                <wp:simplePos x="0" y="0"/>
                <wp:positionH relativeFrom="column">
                  <wp:posOffset>214164</wp:posOffset>
                </wp:positionH>
                <wp:positionV relativeFrom="paragraph">
                  <wp:posOffset>34925</wp:posOffset>
                </wp:positionV>
                <wp:extent cx="438150" cy="209550"/>
                <wp:effectExtent l="0" t="0" r="0" b="0"/>
                <wp:wrapNone/>
                <wp:docPr id="293322" name="Group 293322"/>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1959" name="Shape 11959"/>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961" name="Shape 11961"/>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3322" style="width:34.5pt;height:16.5pt;position:absolute;z-index:-2147483579;mso-position-horizontal-relative:text;mso-position-horizontal:absolute;margin-left:16.8633pt;mso-position-vertical-relative:text;margin-top:2.75pt;" coordsize="4381,2095">
                <v:shape id="Shape 11959" style="position:absolute;width:571;height:571;left:0;top:0;"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69,48716c5690,46038,3625,42863,2175,39390c725,35917,0,32345,0,28575c0,24805,725,21034,2175,17562c3625,14089,5690,10914,8369,8334c11049,5556,14139,3473,17640,2084c21141,695,24786,0,28575,0x">
                  <v:stroke weight="0pt" endcap="flat" joinstyle="miter" miterlimit="4" on="false" color="#000000" opacity="0"/>
                  <v:fill on="true" color="#333333"/>
                </v:shape>
                <v:shape id="Shape 11961" style="position:absolute;width:571;height:571;left:3810;top:1524;" coordsize="57150,57150" path="m28575,0c32364,0,36009,695,39510,2084c43011,3473,46101,5556,48781,8334c51460,10914,53525,14089,54975,17562c56425,21034,57150,24805,57150,28575c57150,32345,56425,35917,54975,39390c53525,42863,51460,46038,48781,48716c46101,51395,43011,53479,39510,54868c36009,56257,32364,57051,28575,57150c24786,57051,21141,56257,17640,54868c14139,53479,11049,51395,8370,48716c5690,46038,3625,42863,2175,39390c725,35917,0,32345,0,28575c0,24805,725,21034,2175,17562c3625,14089,5690,10914,8370,8334c11049,5556,14139,3473,17640,2084c21141,695,24786,0,28575,0x">
                  <v:stroke weight="0pt" endcap="flat" joinstyle="miter" miterlimit="4" on="false" color="#000000" opacity="0"/>
                  <v:fill on="true" color="#333333"/>
                </v:shape>
              </v:group>
            </w:pict>
          </mc:Fallback>
        </mc:AlternateContent>
      </w:r>
      <w:r>
        <w:rPr>
          <w:i/>
        </w:rPr>
        <w:t>I класс (рекомендует</w:t>
      </w:r>
      <w:r>
        <w:rPr>
          <w:i/>
        </w:rPr>
        <w:t>ся).</w:t>
      </w:r>
    </w:p>
    <w:p w:rsidR="008E3F15" w:rsidRDefault="005F449A">
      <w:pPr>
        <w:ind w:left="1217" w:right="15"/>
      </w:pPr>
      <w:r>
        <w:t>Чрескожная митральная комиссуротомия показана при симптомном значительном митральном стенозе (S &lt;1,5 см</w:t>
      </w:r>
      <w:r>
        <w:rPr>
          <w:sz w:val="31"/>
          <w:vertAlign w:val="superscript"/>
        </w:rPr>
        <w:t>2</w:t>
      </w:r>
      <w:r>
        <w:t>) с отсутствием признаков неблагоприятного прогноза после комиссуротомии (старческий возраст, анамнез комиссуротомии, NYHA IV, персистирующая ФП, т</w:t>
      </w:r>
      <w:r>
        <w:t>яжелая легочная гипертензия, эхокардиографическая шкала &gt;8, шкала Cormier 3, очень малая площадь митрального клапана, тяжелая трикуспидальная регургитация).</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3323" name="Group 29332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970" name="Shape 11970"/>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334"/>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3323" style="width:4.50001pt;height:4.5pt;mso-position-horizontal-relative:char;mso-position-vertical-relative:line" coordsize="571,571">
                <v:shape id="Shape 11970" style="position:absolute;width:571;height:571;left:0;top:0;" coordsize="57150,57150" path="m28575,0c32364,0,36009,695,39510,1984c43011,3473,46101,5556,48781,8334c51460,10914,53525,13990,54975,17463c56425,21034,57150,24705,57150,28575c57150,32345,56425,35917,54975,39390c53525,42863,51460,46038,48781,48716c46101,51395,43011,53380,39510,54868c36009,56257,32364,57051,28575,57150c24786,57051,21141,56257,17640,54868c14139,53380,11049,51395,8370,48716c5690,46038,3625,42863,2175,39390c725,35917,0,32345,0,28575c0,24705,725,21034,2175,17463c3625,13990,5690,10914,8370,8334c11049,5556,14139,3473,17640,1984c21141,695,24786,0,28575,0x">
                  <v:stroke weight="0pt" endcap="flat" joinstyle="miter" miterlimit="4" on="false" color="#000000" opacity="0"/>
                  <v:fill on="true" color="#333333"/>
                </v:shape>
              </v:group>
            </w:pict>
          </mc:Fallback>
        </mc:AlternateContent>
      </w:r>
      <w:r>
        <w:t xml:space="preserve"> Чрескожная митральная комиссуротомия показана при симптомном значительном митральном стенозе и пр</w:t>
      </w:r>
      <w:r>
        <w:t>отивопоказаниях к хирургии или высоком хирургическом риске.</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3324" name="Group 29332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974" name="Shape 1197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70"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3324" style="width:4.50001pt;height:4.5pt;mso-position-horizontal-relative:char;mso-position-vertical-relative:line" coordsize="571,571">
                <v:shape id="Shape 11974" style="position:absolute;width:571;height:571;left:0;top:0;" coordsize="57150,57150" path="m28575,0c32364,0,36009,695,39510,2084c43011,3473,46101,5556,48781,8334c51460,10914,53525,13990,54975,17463c56425,21034,57150,24705,57150,28575c57150,32345,56425,35917,54975,39291c53525,42763,51460,45938,48781,48716c46101,51296,43011,53380,39510,54769c36009,56257,32364,57051,28575,57150c24786,57051,21141,56257,17640,54769c14139,53380,11049,51296,8370,48716c5690,45938,3625,42763,2175,39291c725,35917,0,32345,0,28575c0,24705,725,21034,2175,17463c3625,13990,5690,10914,8370,8334c11049,5556,14139,3473,17640,2084c21141,695,24786,0,28575,0x">
                  <v:stroke weight="0pt" endcap="flat" joinstyle="miter" miterlimit="4" on="false" color="#000000" opacity="0"/>
                  <v:fill on="true" color="#333333"/>
                </v:shape>
              </v:group>
            </w:pict>
          </mc:Fallback>
        </mc:AlternateContent>
      </w:r>
      <w:r>
        <w:t xml:space="preserve"> Хирургия митрального клапана показана при симптомном значительном митральном стенозе, не подходящем для комиссуротомии, при отсутствии критериев неэффективности хирургии.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07744" behindDoc="1" locked="0" layoutInCell="1" allowOverlap="1">
                <wp:simplePos x="0" y="0"/>
                <wp:positionH relativeFrom="column">
                  <wp:posOffset>214164</wp:posOffset>
                </wp:positionH>
                <wp:positionV relativeFrom="paragraph">
                  <wp:posOffset>34925</wp:posOffset>
                </wp:positionV>
                <wp:extent cx="438150" cy="209550"/>
                <wp:effectExtent l="0" t="0" r="0" b="0"/>
                <wp:wrapNone/>
                <wp:docPr id="293325" name="Group 293325"/>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1978" name="Shape 11978"/>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1980" name="Shape 11980"/>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3325" style="width:34.5pt;height:16.5pt;position:absolute;z-index:-2147483560;mso-position-horizontal-relative:text;mso-position-horizontal:absolute;margin-left:16.8633pt;mso-position-vertical-relative:text;margin-top:2.75pt;" coordsize="4381,2095">
                <v:shape id="Shape 11978" style="position:absolute;width:571;height:571;left:0;top:0;" coordsize="57150,57150" path="m28575,0c32364,0,36009,695,39510,2084c43011,3473,46101,5556,48781,8334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463c3625,13990,5690,10914,8369,8334c11049,5556,14139,3473,17640,2084c21141,695,24786,0,28575,0x">
                  <v:stroke weight="0pt" endcap="flat" joinstyle="miter" miterlimit="4" on="false" color="#000000" opacity="0"/>
                  <v:fill on="true" color="#333333"/>
                </v:shape>
                <v:shape id="Shape 11980" style="position:absolute;width:571;height:571;left:3810;top:1524;" coordsize="57150,57150" path="m28575,0c32364,0,36009,695,39510,2084c43011,3473,46101,5556,48781,8334c51460,10914,53525,13990,54975,17463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463c3625,13990,5690,10914,8370,8334c11049,5556,14139,3473,17640,2084c21141,695,24786,0,28575,0x">
                  <v:stroke weight="0pt" endcap="flat" joinstyle="miter" miterlimit="4" on="false" color="#000000" opacity="0"/>
                  <v:fill on="true" color="#333333"/>
                </v:shape>
              </v:group>
            </w:pict>
          </mc:Fallback>
        </mc:AlternateContent>
      </w:r>
      <w:r>
        <w:rPr>
          <w:i/>
        </w:rPr>
        <w:t>IIa класс (целесообраз</w:t>
      </w:r>
      <w:r>
        <w:rPr>
          <w:i/>
        </w:rPr>
        <w:t>но).</w:t>
      </w:r>
    </w:p>
    <w:p w:rsidR="008E3F15" w:rsidRDefault="005F449A">
      <w:pPr>
        <w:spacing w:after="359"/>
        <w:ind w:left="937" w:right="15" w:firstLine="270"/>
      </w:pPr>
      <w:r>
        <w:t xml:space="preserve">Чрескожная митральная комиссуротомия может использоваться как первоначальное лечение симптомного митрального стеноза с субоптимальной анатомией, но без клинических признаков, снижающих эффективность комиссуротомии. </w:t>
      </w:r>
      <w:r>
        <w:rPr>
          <w:rFonts w:ascii="Calibri" w:eastAsia="Calibri" w:hAnsi="Calibri" w:cs="Calibri"/>
          <w:noProof/>
          <w:color w:val="000000"/>
          <w:sz w:val="22"/>
        </w:rPr>
        <mc:AlternateContent>
          <mc:Choice Requires="wpg">
            <w:drawing>
              <wp:inline distT="0" distB="0" distL="0" distR="0">
                <wp:extent cx="57150" cy="57150"/>
                <wp:effectExtent l="0" t="0" r="0" b="0"/>
                <wp:docPr id="293326" name="Group 29332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1985" name="Shape 11985"/>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863"/>
                                  <a:pt x="2175" y="39390"/>
                                </a:cubicBezTo>
                                <a:cubicBezTo>
                                  <a:pt x="725" y="35917"/>
                                  <a:pt x="0" y="32345"/>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3326" style="width:4.50001pt;height:4.5pt;mso-position-horizontal-relative:char;mso-position-vertical-relative:line" coordsize="571,571">
                <v:shape id="Shape 11985" style="position:absolute;width:571;height:571;left:0;top:0;" coordsize="57150,57150" path="m28575,0c32364,0,36009,794,39510,2183c43011,3572,46101,5556,48781,8235c51460,10914,53525,13990,54975,17562c56425,21034,57150,24705,57150,28575c57150,32345,56425,35917,54975,39489c53525,42962,51460,46038,48781,48716c46101,51395,43011,53479,39510,54868c36009,56356,32364,57051,28575,57150c24786,57051,21141,56356,17640,54967c14139,53479,11049,51395,8370,48716c5690,46038,3625,42863,2175,39390c725,35917,0,32345,0,28575c0,24705,725,21034,2175,17562c3625,13990,5690,10914,8370,8235c11049,5556,14139,3473,17640,2084c21141,695,24786,0,28575,0x">
                  <v:stroke weight="0pt" endcap="flat" joinstyle="miter" miterlimit="4" on="false" color="#000000" opacity="0"/>
                  <v:fill on="true" color="#333333"/>
                </v:shape>
              </v:group>
            </w:pict>
          </mc:Fallback>
        </mc:AlternateContent>
      </w:r>
      <w:r>
        <w:t xml:space="preserve"> чрескожная митральная комиссуротом</w:t>
      </w:r>
      <w:r>
        <w:t>ия может использоваться при асимптомном митральном стенозе без клинических и анатомических признаков, снижающих эффективность комиссуротомии в сочетании с высоким тромбоэмболическим риском (системные эмболии в анамнезе, плотное контрастирование левого пред</w:t>
      </w:r>
      <w:r>
        <w:t>сердия, новая или пароксизмальная ФП) и/или высоким риском декомпенсации (систолическое легочное давление &gt;50 мм рт.ст., планируемая несердечная хирургия или беременность).</w:t>
      </w:r>
    </w:p>
    <w:p w:rsidR="008E3F15" w:rsidRDefault="005F449A">
      <w:pPr>
        <w:pStyle w:val="Heading1"/>
        <w:ind w:left="2"/>
      </w:pPr>
      <w:r>
        <w:t>Часть I. Сердечно-сосудистые болезни</w:t>
      </w:r>
    </w:p>
    <w:p w:rsidR="008E3F15" w:rsidRDefault="005F449A">
      <w:pPr>
        <w:ind w:left="2" w:right="15"/>
      </w:pPr>
      <w:r>
        <w:t>Общая схема выбора тактики лечения представлен</w:t>
      </w:r>
      <w:r>
        <w:t xml:space="preserve">а на </w:t>
      </w:r>
      <w:r>
        <w:rPr>
          <w:b/>
        </w:rPr>
        <w:t>рис. 9.5</w:t>
      </w:r>
      <w:r>
        <w:t>. Высокий риск эмболии определяется при наличии системных эмболий в анамнезе, спонтанного эхоконтраста в левом предсердии, ФП. Наблюдение в течение 30 лет после баллонной митральной комиссуротомии показало хороший функциональный результат у 30</w:t>
      </w:r>
      <w:r>
        <w:t>% пациентов (Bouleti C. et al., 2012). При рестенозе можно провести повторную баллонную комиссуротомию.</w:t>
      </w:r>
    </w:p>
    <w:p w:rsidR="008E3F15" w:rsidRDefault="005F449A">
      <w:pPr>
        <w:spacing w:after="65" w:line="259" w:lineRule="auto"/>
        <w:ind w:left="7" w:right="0" w:firstLine="0"/>
      </w:pPr>
      <w:r>
        <w:rPr>
          <w:noProof/>
        </w:rPr>
        <w:drawing>
          <wp:inline distT="0" distB="0" distL="0" distR="0">
            <wp:extent cx="5057775" cy="4086225"/>
            <wp:effectExtent l="0" t="0" r="0" b="0"/>
            <wp:docPr id="12035" name="Picture 12035"/>
            <wp:cNvGraphicFramePr/>
            <a:graphic xmlns:a="http://schemas.openxmlformats.org/drawingml/2006/main">
              <a:graphicData uri="http://schemas.openxmlformats.org/drawingml/2006/picture">
                <pic:pic xmlns:pic="http://schemas.openxmlformats.org/drawingml/2006/picture">
                  <pic:nvPicPr>
                    <pic:cNvPr id="12035" name="Picture 12035"/>
                    <pic:cNvPicPr/>
                  </pic:nvPicPr>
                  <pic:blipFill>
                    <a:blip r:embed="rId114"/>
                    <a:stretch>
                      <a:fillRect/>
                    </a:stretch>
                  </pic:blipFill>
                  <pic:spPr>
                    <a:xfrm>
                      <a:off x="0" y="0"/>
                      <a:ext cx="5057775" cy="4086225"/>
                    </a:xfrm>
                    <a:prstGeom prst="rect">
                      <a:avLst/>
                    </a:prstGeom>
                  </pic:spPr>
                </pic:pic>
              </a:graphicData>
            </a:graphic>
          </wp:inline>
        </w:drawing>
      </w:r>
    </w:p>
    <w:p w:rsidR="008E3F15" w:rsidRDefault="005F449A">
      <w:pPr>
        <w:ind w:left="2" w:right="15"/>
      </w:pPr>
      <w:r>
        <w:rPr>
          <w:b/>
        </w:rPr>
        <w:t xml:space="preserve">Рис. 9.5. </w:t>
      </w:r>
      <w:r>
        <w:t>Лечение пациентов с митральным стенозом (ESC). ЧМК — чрескожная митральная комиссуротомия</w:t>
      </w:r>
    </w:p>
    <w:p w:rsidR="008E3F15" w:rsidRDefault="005F449A">
      <w:pPr>
        <w:spacing w:after="31"/>
        <w:ind w:left="2" w:right="15"/>
      </w:pPr>
      <w:r>
        <w:t>В случаях имплантации механического митрального кл</w:t>
      </w:r>
      <w:r>
        <w:t>апана назначается варфарин [МНО 3,0</w:t>
      </w:r>
    </w:p>
    <w:p w:rsidR="008E3F15" w:rsidRDefault="005F449A">
      <w:pPr>
        <w:ind w:left="2" w:right="15"/>
      </w:pPr>
      <w:r>
        <w:t>(2,5–3,5)]. При имплантации биологического клапана назначается варфарин [МНО 2,5 (2,0– 3,0)] в течение 3 мес. Добавление АСК в дозе 75–100 мг показано после тромбоэмболии, несмотря на адекватное МНО.</w:t>
      </w:r>
    </w:p>
    <w:p w:rsidR="008E3F15" w:rsidRDefault="005F449A">
      <w:pPr>
        <w:spacing w:after="359"/>
        <w:ind w:left="2" w:right="15"/>
      </w:pPr>
      <w:r>
        <w:t>У пациентов с дегене</w:t>
      </w:r>
      <w:r>
        <w:t>ративным митральным стенозом и сохраненной подвижностью клапанов проведение баллонной или хирургической комиссуротомии нецелесообразно. Учитывая пожилой и старческий возраст, выраженную кальцификацию митрального кольца, нужно взвешенно подходить к оценке п</w:t>
      </w:r>
      <w:r>
        <w:t>оказаний для хирургической замены клапана.</w:t>
      </w:r>
    </w:p>
    <w:p w:rsidR="008E3F15" w:rsidRDefault="005F449A">
      <w:pPr>
        <w:pStyle w:val="Heading1"/>
        <w:ind w:left="2"/>
      </w:pPr>
      <w:r>
        <w:t>Часть I. Сердечно-сосудистые болезни</w:t>
      </w:r>
    </w:p>
    <w:p w:rsidR="008E3F15" w:rsidRDefault="005F449A">
      <w:pPr>
        <w:spacing w:after="31"/>
        <w:ind w:left="2" w:right="15"/>
      </w:pPr>
      <w:r>
        <w:t>Митральная регургитация</w:t>
      </w:r>
    </w:p>
    <w:p w:rsidR="008E3F15" w:rsidRDefault="005F449A">
      <w:pPr>
        <w:ind w:left="2" w:right="15"/>
      </w:pPr>
      <w:r>
        <w:rPr>
          <w:b/>
        </w:rPr>
        <w:t xml:space="preserve">Этиология. </w:t>
      </w:r>
      <w:r>
        <w:t>Повреждение любого элемента митрального аппарата: створок, хорд, папиллярных мышц или митрального кольца — может привести к регургитации. У пожилых причиной повреждения обычно является фиброэластическая дисплазия, а у молодых — миксоматозная дегенерация ст</w:t>
      </w:r>
      <w:r>
        <w:t>ворок клапанов и хорд с формированием пролапса. Пролапс митрального клапана выявляют у 2,4% населения, при этом выраженная регургитация определяется у каждого десятого пациента с пролапсом.</w:t>
      </w:r>
    </w:p>
    <w:p w:rsidR="008E3F15" w:rsidRDefault="005F449A">
      <w:pPr>
        <w:ind w:left="2" w:right="15"/>
      </w:pPr>
      <w:r>
        <w:t>Реже встречаются инфекционный эндокардит, ревматическая болезнь се</w:t>
      </w:r>
      <w:r>
        <w:t>рдца, расщепленный клапан, радиационная болезнь.</w:t>
      </w:r>
    </w:p>
    <w:p w:rsidR="008E3F15" w:rsidRDefault="005F449A">
      <w:pPr>
        <w:ind w:left="2" w:right="529"/>
      </w:pPr>
      <w:r>
        <w:t>В случаях часто встречающейся вторичной митральной регургитации клапанный аппарат не поврежден, а имеет место дисфункция левого желудочка вследствие ишемической или неишемической кардиомиопатии.</w:t>
      </w:r>
    </w:p>
    <w:p w:rsidR="008E3F15" w:rsidRDefault="005F449A">
      <w:pPr>
        <w:ind w:left="2" w:right="15"/>
      </w:pPr>
      <w:r>
        <w:rPr>
          <w:b/>
        </w:rPr>
        <w:t>Диагностика.</w:t>
      </w:r>
      <w:r>
        <w:rPr>
          <w:b/>
        </w:rPr>
        <w:t xml:space="preserve"> </w:t>
      </w:r>
      <w:r>
        <w:t>Наряду с СН и ФП при митральной регургитации выявляют ослабление первого тона и систолический (чаще поздний) шум слева от грудины.</w:t>
      </w:r>
    </w:p>
    <w:p w:rsidR="008E3F15" w:rsidRDefault="005F449A">
      <w:pPr>
        <w:spacing w:after="31"/>
        <w:ind w:left="2" w:right="367"/>
      </w:pPr>
      <w:r>
        <w:t>При эхокардиографии определяется струя регургитации в левое предсердие и расширение последнего, позднее развивается дисфункц</w:t>
      </w:r>
      <w:r>
        <w:t>ия левого желудочка (</w:t>
      </w:r>
      <w:r>
        <w:rPr>
          <w:b/>
        </w:rPr>
        <w:t>табл. 9.4</w:t>
      </w:r>
      <w:r>
        <w:t xml:space="preserve">). Вследствие перегрузки объемом верхняя граница нормальной ФВЛЖ повышается до 60%. </w:t>
      </w:r>
      <w:r>
        <w:rPr>
          <w:b/>
        </w:rPr>
        <w:t xml:space="preserve">Таблица 9.4. </w:t>
      </w:r>
      <w:r>
        <w:t>Классификация тяжести митральной регургитации (EACI, ASE)</w:t>
      </w:r>
    </w:p>
    <w:tbl>
      <w:tblPr>
        <w:tblStyle w:val="TableGrid"/>
        <w:tblW w:w="6307" w:type="dxa"/>
        <w:tblInd w:w="37" w:type="dxa"/>
        <w:tblCellMar>
          <w:top w:w="80" w:type="dxa"/>
          <w:left w:w="45" w:type="dxa"/>
          <w:bottom w:w="0" w:type="dxa"/>
          <w:right w:w="62" w:type="dxa"/>
        </w:tblCellMar>
        <w:tblLook w:val="04A0" w:firstRow="1" w:lastRow="0" w:firstColumn="1" w:lastColumn="0" w:noHBand="0" w:noVBand="1"/>
      </w:tblPr>
      <w:tblGrid>
        <w:gridCol w:w="2902"/>
        <w:gridCol w:w="23"/>
        <w:gridCol w:w="885"/>
        <w:gridCol w:w="1395"/>
        <w:gridCol w:w="1080"/>
        <w:gridCol w:w="22"/>
      </w:tblGrid>
      <w:tr w:rsidR="008E3F15">
        <w:trPr>
          <w:trHeight w:val="308"/>
        </w:trPr>
        <w:tc>
          <w:tcPr>
            <w:tcW w:w="2902"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0" w:right="0" w:firstLine="0"/>
            </w:pPr>
            <w:r>
              <w:t xml:space="preserve"> </w:t>
            </w:r>
          </w:p>
        </w:tc>
        <w:tc>
          <w:tcPr>
            <w:tcW w:w="3405" w:type="dxa"/>
            <w:gridSpan w:val="5"/>
            <w:tcBorders>
              <w:top w:val="single" w:sz="6" w:space="0" w:color="000000"/>
              <w:left w:val="nil"/>
              <w:bottom w:val="nil"/>
              <w:right w:val="single" w:sz="6" w:space="0" w:color="000000"/>
            </w:tcBorders>
          </w:tcPr>
          <w:p w:rsidR="008E3F15" w:rsidRDefault="005F449A">
            <w:pPr>
              <w:spacing w:after="0" w:line="259" w:lineRule="auto"/>
              <w:ind w:left="19" w:right="0" w:firstLine="0"/>
              <w:jc w:val="both"/>
            </w:pPr>
            <w:r>
              <w:rPr>
                <w:b/>
                <w:bdr w:val="single" w:sz="12" w:space="0" w:color="000000"/>
              </w:rPr>
              <w:t>Легкая Умеренная Тяжелая</w:t>
            </w:r>
          </w:p>
        </w:tc>
      </w:tr>
      <w:tr w:rsidR="008E3F15">
        <w:tblPrEx>
          <w:tblCellMar>
            <w:top w:w="58" w:type="dxa"/>
            <w:left w:w="40" w:type="dxa"/>
            <w:bottom w:w="15" w:type="dxa"/>
            <w:right w:w="49" w:type="dxa"/>
          </w:tblCellMar>
        </w:tblPrEx>
        <w:trPr>
          <w:gridAfter w:val="1"/>
          <w:wAfter w:w="22" w:type="dxa"/>
          <w:trHeight w:val="308"/>
        </w:trPr>
        <w:tc>
          <w:tcPr>
            <w:tcW w:w="5205" w:type="dxa"/>
            <w:gridSpan w:val="4"/>
            <w:tcBorders>
              <w:top w:val="single" w:sz="6" w:space="0" w:color="000000"/>
              <w:left w:val="double" w:sz="6" w:space="0" w:color="000000"/>
              <w:bottom w:val="double" w:sz="6" w:space="0" w:color="000000"/>
              <w:right w:val="nil"/>
            </w:tcBorders>
          </w:tcPr>
          <w:p w:rsidR="008E3F15" w:rsidRDefault="005F449A">
            <w:pPr>
              <w:spacing w:after="0" w:line="259" w:lineRule="auto"/>
              <w:ind w:left="5" w:right="0" w:firstLine="0"/>
            </w:pPr>
            <w:r>
              <w:rPr>
                <w:b/>
                <w:i/>
              </w:rPr>
              <w:t>Первичная митральная регургитация</w:t>
            </w:r>
          </w:p>
        </w:tc>
        <w:tc>
          <w:tcPr>
            <w:tcW w:w="1080" w:type="dxa"/>
            <w:tcBorders>
              <w:top w:val="sing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blPrEx>
          <w:tblCellMar>
            <w:top w:w="58" w:type="dxa"/>
            <w:left w:w="40" w:type="dxa"/>
            <w:bottom w:w="15" w:type="dxa"/>
            <w:right w:w="49" w:type="dxa"/>
          </w:tblCellMar>
        </w:tblPrEx>
        <w:trPr>
          <w:gridAfter w:val="1"/>
          <w:wAfter w:w="22" w:type="dxa"/>
          <w:trHeight w:val="330"/>
        </w:trPr>
        <w:tc>
          <w:tcPr>
            <w:tcW w:w="292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Vena contracta</w:t>
            </w:r>
            <w:r>
              <w:t>, мм</w:t>
            </w:r>
          </w:p>
        </w:tc>
        <w:tc>
          <w:tcPr>
            <w:tcW w:w="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&lt;3</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3–6</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w:t>
            </w:r>
          </w:p>
        </w:tc>
      </w:tr>
      <w:tr w:rsidR="008E3F15">
        <w:tblPrEx>
          <w:tblCellMar>
            <w:top w:w="58" w:type="dxa"/>
            <w:left w:w="40" w:type="dxa"/>
            <w:bottom w:w="15" w:type="dxa"/>
            <w:right w:w="49" w:type="dxa"/>
          </w:tblCellMar>
        </w:tblPrEx>
        <w:trPr>
          <w:gridAfter w:val="1"/>
          <w:wAfter w:w="22" w:type="dxa"/>
          <w:trHeight w:val="390"/>
        </w:trPr>
        <w:tc>
          <w:tcPr>
            <w:tcW w:w="2925" w:type="dxa"/>
            <w:gridSpan w:val="2"/>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5" w:right="0" w:firstLine="0"/>
            </w:pPr>
            <w:r>
              <w:t>EROA, мм</w:t>
            </w:r>
            <w:r>
              <w:rPr>
                <w:sz w:val="31"/>
                <w:vertAlign w:val="superscript"/>
              </w:rPr>
              <w:t>2</w:t>
            </w:r>
          </w:p>
        </w:tc>
        <w:tc>
          <w:tcPr>
            <w:tcW w:w="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&lt;20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20–39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w:t>
            </w:r>
          </w:p>
        </w:tc>
      </w:tr>
      <w:tr w:rsidR="008E3F15">
        <w:tblPrEx>
          <w:tblCellMar>
            <w:top w:w="58" w:type="dxa"/>
            <w:left w:w="40" w:type="dxa"/>
            <w:bottom w:w="15" w:type="dxa"/>
            <w:right w:w="49" w:type="dxa"/>
          </w:tblCellMar>
        </w:tblPrEx>
        <w:trPr>
          <w:gridAfter w:val="1"/>
          <w:wAfter w:w="22" w:type="dxa"/>
          <w:trHeight w:val="330"/>
        </w:trPr>
        <w:tc>
          <w:tcPr>
            <w:tcW w:w="2925" w:type="dxa"/>
            <w:gridSpan w:val="2"/>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pPr>
            <w:r>
              <w:rPr>
                <w:bdr w:val="single" w:sz="12" w:space="0" w:color="000000"/>
              </w:rPr>
              <w:t>Объем регургитации, мл</w:t>
            </w:r>
          </w:p>
          <w:p w:rsidR="008E3F15" w:rsidRDefault="005F449A">
            <w:pPr>
              <w:spacing w:after="0" w:line="259" w:lineRule="auto"/>
              <w:ind w:left="5" w:right="0" w:firstLine="0"/>
              <w:jc w:val="both"/>
            </w:pPr>
            <w:r>
              <w:rPr>
                <w:bdr w:val="single" w:sz="12" w:space="0" w:color="000000"/>
              </w:rPr>
              <w:t>Фракция регургитации, %</w:t>
            </w:r>
          </w:p>
        </w:tc>
        <w:tc>
          <w:tcPr>
            <w:tcW w:w="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&lt;30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30–59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w:t>
            </w:r>
          </w:p>
        </w:tc>
      </w:tr>
      <w:tr w:rsidR="008E3F15">
        <w:tblPrEx>
          <w:tblCellMar>
            <w:top w:w="58" w:type="dxa"/>
            <w:left w:w="40" w:type="dxa"/>
            <w:bottom w:w="15" w:type="dxa"/>
            <w:right w:w="49" w:type="dxa"/>
          </w:tblCellMar>
        </w:tblPrEx>
        <w:trPr>
          <w:gridAfter w:val="1"/>
          <w:wAfter w:w="22" w:type="dxa"/>
          <w:trHeight w:val="330"/>
        </w:trPr>
        <w:tc>
          <w:tcPr>
            <w:tcW w:w="0" w:type="auto"/>
            <w:gridSpan w:val="2"/>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&lt;30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30–49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w:t>
            </w:r>
          </w:p>
        </w:tc>
      </w:tr>
      <w:tr w:rsidR="008E3F15">
        <w:tblPrEx>
          <w:tblCellMar>
            <w:top w:w="58" w:type="dxa"/>
            <w:left w:w="40" w:type="dxa"/>
            <w:bottom w:w="15" w:type="dxa"/>
            <w:right w:w="49" w:type="dxa"/>
          </w:tblCellMar>
        </w:tblPrEx>
        <w:trPr>
          <w:gridAfter w:val="1"/>
          <w:wAfter w:w="22" w:type="dxa"/>
          <w:trHeight w:val="330"/>
        </w:trPr>
        <w:tc>
          <w:tcPr>
            <w:tcW w:w="5205" w:type="dxa"/>
            <w:gridSpan w:val="4"/>
            <w:tcBorders>
              <w:top w:val="double" w:sz="6" w:space="0" w:color="000000"/>
              <w:left w:val="double" w:sz="6" w:space="0" w:color="000000"/>
              <w:bottom w:val="double" w:sz="6" w:space="0" w:color="000000"/>
              <w:right w:val="nil"/>
            </w:tcBorders>
          </w:tcPr>
          <w:p w:rsidR="008E3F15" w:rsidRDefault="005F449A">
            <w:pPr>
              <w:spacing w:after="0" w:line="259" w:lineRule="auto"/>
              <w:ind w:left="5" w:right="0" w:firstLine="0"/>
            </w:pPr>
            <w:r>
              <w:rPr>
                <w:b/>
                <w:i/>
              </w:rPr>
              <w:t>Вторичная митральная регургитация</w:t>
            </w:r>
          </w:p>
        </w:tc>
        <w:tc>
          <w:tcPr>
            <w:tcW w:w="108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blPrEx>
          <w:tblCellMar>
            <w:top w:w="58" w:type="dxa"/>
            <w:left w:w="40" w:type="dxa"/>
            <w:bottom w:w="15" w:type="dxa"/>
            <w:right w:w="49" w:type="dxa"/>
          </w:tblCellMar>
        </w:tblPrEx>
        <w:trPr>
          <w:gridAfter w:val="1"/>
          <w:wAfter w:w="22" w:type="dxa"/>
          <w:trHeight w:val="330"/>
        </w:trPr>
        <w:tc>
          <w:tcPr>
            <w:tcW w:w="2925" w:type="dxa"/>
            <w:gridSpan w:val="2"/>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pPr>
            <w:r>
              <w:rPr>
                <w:bdr w:val="single" w:sz="12" w:space="0" w:color="000000"/>
              </w:rPr>
              <w:t>Объем регургитации, мл</w:t>
            </w:r>
          </w:p>
        </w:tc>
        <w:tc>
          <w:tcPr>
            <w:tcW w:w="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&lt;16</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16–29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w:t>
            </w:r>
          </w:p>
        </w:tc>
      </w:tr>
      <w:tr w:rsidR="008E3F15">
        <w:tblPrEx>
          <w:tblCellMar>
            <w:top w:w="58" w:type="dxa"/>
            <w:left w:w="40" w:type="dxa"/>
            <w:bottom w:w="15" w:type="dxa"/>
            <w:right w:w="49" w:type="dxa"/>
          </w:tblCellMar>
        </w:tblPrEx>
        <w:trPr>
          <w:gridAfter w:val="1"/>
          <w:wAfter w:w="22" w:type="dxa"/>
          <w:trHeight w:val="405"/>
        </w:trPr>
        <w:tc>
          <w:tcPr>
            <w:tcW w:w="2925" w:type="dxa"/>
            <w:gridSpan w:val="2"/>
            <w:tcBorders>
              <w:top w:val="sing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5" w:right="0" w:firstLine="0"/>
            </w:pPr>
            <w:r>
              <w:t>EROA, мм</w:t>
            </w:r>
            <w:r>
              <w:rPr>
                <w:sz w:val="31"/>
                <w:vertAlign w:val="superscript"/>
              </w:rPr>
              <w:t>2</w:t>
            </w:r>
          </w:p>
        </w:tc>
        <w:tc>
          <w:tcPr>
            <w:tcW w:w="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&lt;10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10–19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w:t>
            </w:r>
          </w:p>
        </w:tc>
      </w:tr>
    </w:tbl>
    <w:p w:rsidR="008E3F15" w:rsidRDefault="005F449A">
      <w:pPr>
        <w:ind w:left="2" w:right="112"/>
      </w:pPr>
      <w:r>
        <w:rPr>
          <w:b/>
        </w:rPr>
        <w:t>Примечание.</w:t>
      </w:r>
      <w:r>
        <w:t xml:space="preserve"> </w:t>
      </w:r>
      <w:r>
        <w:rPr>
          <w:i/>
        </w:rPr>
        <w:t>v. contracta</w:t>
      </w:r>
      <w:r>
        <w:t xml:space="preserve"> — наименьший диаметр струи с максимальной скоростью (полуколичественная оценка), EROA — эффективная площадь отверстия регургитации. Для оценки тяжести регургитации рекомендуют не оценку площади цветного потока, а эффективную площадь отверстия и объем регу</w:t>
      </w:r>
      <w:r>
        <w:t>ргитации по методу PISA (Bargiggia G. et al., 1991). Различия между разными исследователями в расчете эффективной площади отверстия и тяжести регургитации составляют 12% (Biner S. et al., 2010).</w:t>
      </w:r>
    </w:p>
    <w:p w:rsidR="008E3F15" w:rsidRDefault="005F449A">
      <w:pPr>
        <w:ind w:left="2" w:right="15"/>
      </w:pPr>
      <w:r>
        <w:t>Важно оценить коронарное кровообращение при умеренной или выр</w:t>
      </w:r>
      <w:r>
        <w:t>аженной вторичной митральной регургитации.</w:t>
      </w:r>
    </w:p>
    <w:p w:rsidR="008E3F15" w:rsidRDefault="005F449A">
      <w:pPr>
        <w:ind w:left="2" w:right="223"/>
      </w:pPr>
      <w:r>
        <w:t>При дегенеративном поражении отмечается утолщение створок с избыточным движением и пролапсом, при ревматическом — утолщенные створки с ограниченной подвижностью, укорочение и кальцификация хорд.</w:t>
      </w:r>
    </w:p>
    <w:p w:rsidR="008E3F15" w:rsidRDefault="005F449A">
      <w:pPr>
        <w:ind w:left="2" w:right="1167"/>
      </w:pPr>
      <w:r>
        <w:t>Пролапс митрального клапана характеризуется систолической дислокацией (&gt;2 мм) малоизмененной створки митрального клапана в предсердие и обычно легкой или умеренной регургитацией.</w:t>
      </w:r>
    </w:p>
    <w:p w:rsidR="008E3F15" w:rsidRDefault="005F449A">
      <w:pPr>
        <w:ind w:left="2" w:right="15"/>
      </w:pPr>
      <w:r>
        <w:rPr>
          <w:b/>
        </w:rPr>
        <w:t xml:space="preserve">Медикаментозное лечение. </w:t>
      </w:r>
      <w:r>
        <w:t>У симптомных пациентов с дисфункцией левого желудочк</w:t>
      </w:r>
      <w:r>
        <w:t>а (ФВЛЖ &lt;60%) показаны β-адреноблокаторы, иАПФ или БРА. В случае застоя в легких и отеков используют диуретики.</w:t>
      </w:r>
    </w:p>
    <w:p w:rsidR="008E3F15" w:rsidRDefault="005F449A">
      <w:pPr>
        <w:spacing w:after="31"/>
        <w:ind w:left="2" w:right="15"/>
      </w:pPr>
      <w:r>
        <w:t>Варфарин назначают при эмболиях, внутрипредсердных тромбах и механических клапанах.</w:t>
      </w:r>
    </w:p>
    <w:p w:rsidR="008E3F15" w:rsidRDefault="005F449A">
      <w:pPr>
        <w:spacing w:after="179"/>
        <w:ind w:left="2" w:right="15"/>
      </w:pPr>
      <w:r>
        <w:t>Антибиотики принимаются постоянно в случае ревматической эти</w:t>
      </w:r>
      <w:r>
        <w:t xml:space="preserve">ологии, как описано выше. </w:t>
      </w:r>
      <w:r>
        <w:rPr>
          <w:b/>
        </w:rPr>
        <w:t xml:space="preserve">Хирургическое лечение. </w:t>
      </w:r>
      <w:r>
        <w:t>Для хирургического лечения первичной и вторичной митральной регургитации используют следующие показания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08768" behindDoc="0" locked="0" layoutInCell="1" allowOverlap="1">
                <wp:simplePos x="0" y="0"/>
                <wp:positionH relativeFrom="column">
                  <wp:posOffset>214164</wp:posOffset>
                </wp:positionH>
                <wp:positionV relativeFrom="paragraph">
                  <wp:posOffset>34925</wp:posOffset>
                </wp:positionV>
                <wp:extent cx="438150" cy="819150"/>
                <wp:effectExtent l="0" t="0" r="0" b="0"/>
                <wp:wrapSquare wrapText="bothSides"/>
                <wp:docPr id="294765" name="Group 294765"/>
                <wp:cNvGraphicFramePr/>
                <a:graphic xmlns:a="http://schemas.openxmlformats.org/drawingml/2006/main">
                  <a:graphicData uri="http://schemas.microsoft.com/office/word/2010/wordprocessingGroup">
                    <wpg:wgp>
                      <wpg:cNvGrpSpPr/>
                      <wpg:grpSpPr>
                        <a:xfrm>
                          <a:off x="0" y="0"/>
                          <a:ext cx="438150" cy="819150"/>
                          <a:chOff x="0" y="0"/>
                          <a:chExt cx="438150" cy="819150"/>
                        </a:xfrm>
                      </wpg:grpSpPr>
                      <wps:wsp>
                        <wps:cNvPr id="12174" name="Shape 1217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176" name="Shape 12176"/>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179" name="Shape 12179"/>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4089"/>
                                  <a:pt x="54975" y="17562"/>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705"/>
                                  <a:pt x="725" y="21034"/>
                                  <a:pt x="2175" y="17562"/>
                                </a:cubicBezTo>
                                <a:cubicBezTo>
                                  <a:pt x="3625" y="14089"/>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182" name="Shape 12182"/>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70"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4765" style="width:34.5pt;height:64.5pt;position:absolute;mso-position-horizontal-relative:text;mso-position-horizontal:absolute;margin-left:16.8633pt;mso-position-vertical-relative:text;margin-top:2.75pt;" coordsize="4381,8191">
                <v:shape id="Shape 12174" style="position:absolute;width:571;height:571;left:0;top:0;" coordsize="57150,57150" path="m28575,0c32364,0,36009,695,39510,2084c43011,3473,46101,5556,48781,8334c51460,10914,53525,14089,54975,17562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562c3625,14089,5690,10914,8369,8334c11049,5556,14139,3473,17640,2084c21141,695,24786,0,28575,0x">
                  <v:stroke weight="0pt" endcap="flat" joinstyle="miter" miterlimit="4" on="false" color="#000000" opacity="0"/>
                  <v:fill on="true" color="#333333"/>
                </v:shape>
                <v:shape id="Shape 12176" style="position:absolute;width:571;height:571;left:3810;top:1524;" coordsize="57150,57150" path="m28575,0c32364,0,36009,695,39510,2084c43011,3473,46101,5556,48781,8235c51460,10914,53525,13990,54975,17463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562c3625,13990,5690,10914,8370,8235c11049,5556,14139,3473,17640,2084c21141,695,24786,0,28575,0x">
                  <v:stroke weight="0pt" endcap="flat" joinstyle="miter" miterlimit="4" on="false" color="#000000" opacity="0"/>
                  <v:fill on="true" color="#333333"/>
                </v:shape>
                <v:shape id="Shape 12179" style="position:absolute;width:571;height:571;left:3810;top:4572;" coordsize="57150,57150" path="m28575,0c32364,0,36009,695,39510,2084c43011,3473,46101,5556,48781,8235c51460,10914,53525,14089,54975,17562c56425,21034,57150,24705,57150,28575c57150,32246,56425,35917,54975,39390c53525,42863,51460,46038,48781,48716c46101,51395,43011,53479,39510,54868c36009,56257,32364,57051,28575,57150c24786,57051,21141,56257,17640,54868c14139,53479,11049,51395,8370,48716c5690,46038,3625,42863,2175,39390c725,35917,0,32246,0,28575c0,24705,725,21034,2175,17562c3625,14089,5690,10914,8370,8235c11049,5556,14139,3473,17640,2084c21141,695,24786,0,28575,0x">
                  <v:stroke weight="0pt" endcap="flat" joinstyle="miter" miterlimit="4" on="false" color="#000000" opacity="0"/>
                  <v:fill on="true" color="#333333"/>
                </v:shape>
                <v:shape id="Shape 12182" style="position:absolute;width:571;height:571;left:3810;top:7620;" coordsize="57150,57150" path="m28575,0c32364,0,36009,695,39510,2084c43011,3473,46101,5556,48781,8235c51460,10914,53525,13990,54975,17463c56425,21034,57150,24705,57150,28575c57150,32345,56425,35917,54975,39489c53525,42863,51460,46038,48781,48716c46101,51395,43011,53380,39510,54967c36009,56356,32364,57051,28575,57150c24786,57051,21141,56356,17640,54967c14139,53380,11049,51395,8370,48716c5690,46038,3625,42863,2175,39489c725,35917,0,32345,0,28575c0,24705,725,21034,2175,17463c3625,13990,5690,10914,8370,8235c11049,5556,14139,3473,17640,2084c21141,695,24786,0,28575,0x">
                  <v:stroke weight="0pt" endcap="flat" joinstyle="miter" miterlimit="4" on="false" color="#000000" opacity="0"/>
                  <v:fill on="true" color="#333333"/>
                </v:shape>
                <w10:wrap type="square"/>
              </v:group>
            </w:pict>
          </mc:Fallback>
        </mc:AlternateContent>
      </w:r>
      <w:r>
        <w:rPr>
          <w:i/>
        </w:rPr>
        <w:t>I класс (рекомендуется).</w:t>
      </w:r>
    </w:p>
    <w:p w:rsidR="008E3F15" w:rsidRDefault="005F449A">
      <w:pPr>
        <w:ind w:left="347" w:right="15"/>
      </w:pPr>
      <w:r>
        <w:t>Пластика митрального клапана является рекомендуемой хирургической техникой, когда ожидается стойкий эффект.</w:t>
      </w:r>
    </w:p>
    <w:p w:rsidR="008E3F15" w:rsidRDefault="005F449A">
      <w:pPr>
        <w:ind w:left="347" w:right="15"/>
      </w:pPr>
      <w:r>
        <w:t>Хирургия рекомендуется при симптомной тяжелой первичной митральной регургитации у операбельных пациентов без высокого риска.</w:t>
      </w:r>
    </w:p>
    <w:p w:rsidR="008E3F15" w:rsidRDefault="005F449A">
      <w:pPr>
        <w:ind w:left="347" w:right="15"/>
      </w:pPr>
      <w:r>
        <w:t xml:space="preserve">Хирургия рекомендуется </w:t>
      </w:r>
      <w:r>
        <w:t>при бессимптомной тяжелой первичной митральной регургитации c дисфункцией левого желудочка (ФВЛЖ ≤60% и/или конечный систолический размер левого желудочка ≥40 мм).</w:t>
      </w:r>
    </w:p>
    <w:p w:rsidR="008E3F15" w:rsidRDefault="005F449A">
      <w:pPr>
        <w:ind w:left="1207" w:right="36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4767" name="Group 29476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186" name="Shape 12186"/>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356"/>
                                  <a:pt x="32364" y="57051"/>
                                  <a:pt x="28575" y="57150"/>
                                </a:cubicBezTo>
                                <a:cubicBezTo>
                                  <a:pt x="24786" y="57051"/>
                                  <a:pt x="21141" y="56356"/>
                                  <a:pt x="17640" y="54769"/>
                                </a:cubicBezTo>
                                <a:cubicBezTo>
                                  <a:pt x="14139" y="53380"/>
                                  <a:pt x="11049" y="51296"/>
                                  <a:pt x="8370"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4767" style="width:4.50001pt;height:4.5pt;mso-position-horizontal-relative:char;mso-position-vertical-relative:line" coordsize="571,571">
                <v:shape id="Shape 12186" style="position:absolute;width:571;height:571;left:0;top:0;" coordsize="57150,57150" path="m28575,0c32364,0,36009,695,39510,1984c43011,3473,46101,5556,48781,8235c51460,10914,53525,13891,54975,17463c56425,21034,57150,24705,57150,28575c57150,32345,56425,35917,54975,39291c53525,42763,51460,45938,48781,48716c46101,51296,43011,53380,39510,54769c36009,56356,32364,57051,28575,57150c24786,57051,21141,56356,17640,54769c14139,53380,11049,51296,8370,48716c5690,45938,3625,42763,2175,39291c725,35917,0,32345,0,28575c0,24705,725,21034,2175,17463c3625,13990,5690,10914,8370,8235c11049,5556,14139,3473,17640,1984c21141,695,24786,0,28575,0x">
                  <v:stroke weight="0pt" endcap="flat" joinstyle="miter" miterlimit="4" on="false" color="#000000" opacity="0"/>
                  <v:fill on="true" color="#333333"/>
                </v:shape>
              </v:group>
            </w:pict>
          </mc:Fallback>
        </mc:AlternateContent>
      </w:r>
      <w:r>
        <w:t xml:space="preserve"> Клапанная хирургия/вмешательство рекомендуется при хронической тяжелой вторичной митрально</w:t>
      </w:r>
      <w:r>
        <w:t>й регургитации, когда симптомы сохраняются, несмотря на адекватное медикаментозное лечение и СРТ.</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4768" name="Group 29476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190" name="Shape 12190"/>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70"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4768" style="width:4.50001pt;height:4.5pt;mso-position-horizontal-relative:char;mso-position-vertical-relative:line" coordsize="571,571">
                <v:shape id="Shape 12190" style="position:absolute;width:571;height:571;left:0;top:0;" coordsize="57150,57150" path="m28575,0c32364,0,36009,695,39510,2084c43011,3473,46101,5556,48781,8334c51460,10914,53525,13990,54975,17463c56425,21034,57150,24705,57150,28575c57150,32345,56425,35917,54975,39291c53525,42763,51460,45938,48781,48716c46101,51296,43011,53380,39510,54769c36009,56257,32364,57051,28575,57150c24786,57051,21141,56257,17640,54769c14139,53380,11049,51296,8370,48716c5690,45938,3625,42763,2175,39291c725,35917,0,32345,0,28575c0,24705,725,21034,2175,17463c3625,13990,5690,10914,8370,8334c11049,5556,14139,3473,17640,2084c21141,695,24786,0,28575,0x">
                  <v:stroke weight="0pt" endcap="flat" joinstyle="miter" miterlimit="4" on="false" color="#000000" opacity="0"/>
                  <v:fill on="true" color="#333333"/>
                </v:shape>
              </v:group>
            </w:pict>
          </mc:Fallback>
        </mc:AlternateContent>
      </w:r>
      <w:r>
        <w:t xml:space="preserve"> Клапанная хирургия рекомендуется при хронической тяжелой вторичной митральной регургитации в случае проведения КШ или другой сердечной хирургии.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09792" behindDoc="1" locked="0" layoutInCell="1" allowOverlap="1">
                <wp:simplePos x="0" y="0"/>
                <wp:positionH relativeFrom="column">
                  <wp:posOffset>214164</wp:posOffset>
                </wp:positionH>
                <wp:positionV relativeFrom="paragraph">
                  <wp:posOffset>34925</wp:posOffset>
                </wp:positionV>
                <wp:extent cx="438150" cy="209550"/>
                <wp:effectExtent l="0" t="0" r="0" b="0"/>
                <wp:wrapNone/>
                <wp:docPr id="294769" name="Group 294769"/>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2194" name="Shape 1219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196" name="Shape 12196"/>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70"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4769" style="width:34.5pt;height:16.5pt;position:absolute;z-index:-2147483542;mso-position-horizontal-relative:text;mso-position-horizontal:absolute;margin-left:16.8633pt;mso-position-vertical-relative:text;margin-top:2.75pt;" coordsize="4381,2095">
                <v:shape id="Shape 12194" style="position:absolute;width:571;height:571;left:0;top:0;" coordsize="57150,57150" path="m28575,0c32364,0,36009,695,39510,2084c43011,3473,46101,5556,48781,8235c51460,10914,53525,13990,54975,17463c56425,21034,57150,24705,57150,28575c57150,32246,56425,35818,54975,39291c53525,42763,51460,45938,48781,48716c46101,51296,43011,53380,39510,54769c36009,56257,32364,57051,28575,57150c24786,57051,21141,56257,17640,54769c14139,53380,11049,51296,8369,48716c5690,45938,3625,42763,2175,39291c725,35818,0,32246,0,28575c0,24705,725,21034,2175,17463c3625,13990,5690,10914,8369,8235c11049,5556,14139,3473,17640,2084c21141,695,24786,0,28575,0x">
                  <v:stroke weight="0pt" endcap="flat" joinstyle="miter" miterlimit="4" on="false" color="#000000" opacity="0"/>
                  <v:fill on="true" color="#333333"/>
                </v:shape>
                <v:shape id="Shape 12196" style="position:absolute;width:571;height:571;left:3810;top:1524;" coordsize="57150,57150" path="m28575,0c32364,0,36009,695,39510,2084c43011,3473,46101,5556,48781,8235c51460,10914,53525,13990,54975,17463c56425,21034,57150,24705,57150,28575c57150,32246,56425,35818,54975,39291c53525,42763,51460,45938,48781,48716c46101,51296,43011,53380,39510,54769c36009,56257,32364,57051,28575,57150c24786,57051,21141,56257,17640,54769c14139,53380,11049,51296,8370,48716c5690,45938,3625,42763,2175,39291c725,35818,0,32246,0,28575c0,24705,725,21034,2175,17463c3625,13990,5690,10914,8370,8235c11049,5556,14139,3473,17640,2084c21141,695,24786,0,28575,0x">
                  <v:stroke weight="0pt" endcap="flat" joinstyle="miter" miterlimit="4" on="false" color="#000000" opacity="0"/>
                  <v:fill on="true" color="#333333"/>
                </v:shape>
              </v:group>
            </w:pict>
          </mc:Fallback>
        </mc:AlternateContent>
      </w:r>
      <w:r>
        <w:rPr>
          <w:i/>
        </w:rPr>
        <w:t xml:space="preserve">IIa класс </w:t>
      </w:r>
      <w:r>
        <w:rPr>
          <w:i/>
        </w:rPr>
        <w:t>(целесообразно).</w:t>
      </w:r>
    </w:p>
    <w:p w:rsidR="008E3F15" w:rsidRDefault="005F449A">
      <w:pPr>
        <w:ind w:left="1217" w:right="15"/>
      </w:pPr>
      <w:r>
        <w:t>Хирургия возможна при бессимптомной тяжелой первичной митральной регургитации c сохраненной функцией левого желудочка (ФВЛЖ &gt;60% и конечный систолический размер левого желудочка &lt;40 мм) и ФП, обусловленной митральной регургитацией или лего</w:t>
      </w:r>
      <w:r>
        <w:t>чной гипертензией (систолическое давление &gt;50 мм рт.ст.).</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4771" name="Group 29477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202" name="Shape 12202"/>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562"/>
                                </a:cubicBezTo>
                                <a:cubicBezTo>
                                  <a:pt x="3625" y="14089"/>
                                  <a:pt x="5690" y="10914"/>
                                  <a:pt x="8370"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4771" style="width:4.50001pt;height:4.5pt;mso-position-horizontal-relative:char;mso-position-vertical-relative:line" coordsize="571,571">
                <v:shape id="Shape 12202" style="position:absolute;width:571;height:571;left:0;top:0;" coordsize="57150,57150" path="m28575,0c32364,0,36009,794,39510,2183c43011,3572,46101,5655,48781,8334c51460,10914,53525,14089,54975,17562c56425,21034,57150,24705,57150,28575c57150,32345,56425,35917,54975,39489c53525,42863,51460,45938,48781,48716c46101,51296,43011,53380,39510,54868c36009,56356,32364,57051,28575,57150c24786,57051,21141,56356,17640,54967c14139,53380,11049,51296,8370,48716c5690,45938,3625,42863,2175,39390c725,35917,0,32345,0,28575c0,24705,725,21034,2175,17562c3625,14089,5690,10914,8370,8334c11049,5655,14139,3572,17640,2183c21141,794,24786,0,28575,0x">
                  <v:stroke weight="0pt" endcap="flat" joinstyle="miter" miterlimit="4" on="false" color="#000000" opacity="0"/>
                  <v:fill on="true" color="#333333"/>
                </v:shape>
              </v:group>
            </w:pict>
          </mc:Fallback>
        </mc:AlternateContent>
      </w:r>
      <w:r>
        <w:t xml:space="preserve"> Хирургическая пластика митрального клапана возможна при бессимптомной тяжелой первичной митральной регургитации c ФВЛЖ &gt;60%, конечным систолическим размером левого желудочка &lt;40 мм и выраженным ра</w:t>
      </w:r>
      <w:r>
        <w:t>сширением левого предсердия (индекс объема &gt;60 мл/м</w:t>
      </w:r>
      <w:r>
        <w:rPr>
          <w:sz w:val="31"/>
          <w:vertAlign w:val="superscript"/>
        </w:rPr>
        <w:t>2</w:t>
      </w:r>
      <w:r>
        <w:t xml:space="preserve"> или диаметр &gt;55 мм), если выполняется в опытных центрах и ожидается стойкий эффект.</w:t>
      </w:r>
    </w:p>
    <w:p w:rsidR="008E3F15" w:rsidRDefault="005F449A">
      <w:pPr>
        <w:spacing w:after="302"/>
        <w:ind w:left="947" w:right="15"/>
      </w:pPr>
      <w:r>
        <w:rPr>
          <w:rFonts w:ascii="Calibri" w:eastAsia="Calibri" w:hAnsi="Calibri" w:cs="Calibri"/>
          <w:noProof/>
          <w:color w:val="000000"/>
          <w:sz w:val="22"/>
        </w:rPr>
        <mc:AlternateContent>
          <mc:Choice Requires="wpg">
            <w:drawing>
              <wp:inline distT="0" distB="0" distL="0" distR="0">
                <wp:extent cx="57150" cy="57150"/>
                <wp:effectExtent l="0" t="0" r="0" b="0"/>
                <wp:docPr id="294772" name="Group 29477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210" name="Shape 12210"/>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4772" style="width:4.50001pt;height:4.5pt;mso-position-horizontal-relative:char;mso-position-vertical-relative:line" coordsize="571,571">
                <v:shape id="Shape 12210" style="position:absolute;width:571;height:571;left:0;top:0;" coordsize="57150,57150" path="m28575,0c32364,0,36009,695,39510,2084c43011,3473,46101,5556,48781,8334c51460,10914,53525,14089,54975,17562c56425,21034,57150,24805,57150,28575c57150,32246,56425,35917,54975,39390c53525,42863,51460,46038,48781,48716c46101,51296,43011,53380,39510,54868c36009,56257,32364,57051,28575,57150c24786,57051,21141,56257,17640,54868c14139,53380,11049,51296,8370,48716c5690,46038,3625,42863,2175,39390c725,35917,0,32246,0,28575c0,24805,725,21034,2175,17562c3625,14089,5690,10914,8370,8334c11049,5556,14139,3473,17640,2084c21141,695,24786,0,28575,0x">
                  <v:stroke weight="0pt" endcap="flat" joinstyle="miter" miterlimit="4" on="false" color="#000000" opacity="0"/>
                  <v:fill on="true" color="#333333"/>
                </v:shape>
              </v:group>
            </w:pict>
          </mc:Fallback>
        </mc:AlternateContent>
      </w:r>
      <w:r>
        <w:t xml:space="preserve"> ЧКВ и/или транскатетерная имплантация аортального клапана возможны с последующей транскатетерной пластикой, при симпт</w:t>
      </w:r>
      <w:r>
        <w:t xml:space="preserve">омной хронической тяжелой вторичной митральной регургитации по решению «сердечной команды» с учетом индивидуальных особенностей, если пациенты не подходят для хирургии. </w:t>
      </w:r>
      <w:r>
        <w:rPr>
          <w:rFonts w:ascii="Calibri" w:eastAsia="Calibri" w:hAnsi="Calibri" w:cs="Calibri"/>
          <w:noProof/>
          <w:color w:val="000000"/>
          <w:sz w:val="22"/>
        </w:rPr>
        <mc:AlternateContent>
          <mc:Choice Requires="wpg">
            <w:drawing>
              <wp:inline distT="0" distB="0" distL="0" distR="0">
                <wp:extent cx="57150" cy="57150"/>
                <wp:effectExtent l="0" t="0" r="0" b="0"/>
                <wp:docPr id="294773" name="Group 29477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215" name="Shape 12215"/>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5938"/>
                                  <a:pt x="3625" y="42863"/>
                                  <a:pt x="2175" y="39390"/>
                                </a:cubicBezTo>
                                <a:cubicBezTo>
                                  <a:pt x="725" y="35917"/>
                                  <a:pt x="0" y="32246"/>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4773" style="width:4.50001pt;height:4.5pt;mso-position-horizontal-relative:char;mso-position-vertical-relative:line" coordsize="571,571">
                <v:shape id="Shape 12215" style="position:absolute;width:571;height:571;left:0;top:0;" coordsize="57150,57150" path="m28575,0c32364,0,36009,695,39510,2084c43011,3473,46101,5556,48781,8235c51460,10914,53525,13990,54975,17463c56425,21034,57150,24705,57150,28575c57150,32246,56425,35917,54975,39390c53525,42863,51460,45938,48781,48716c46101,51296,43011,53380,39510,54868c36009,56257,32364,57051,28575,57150c24786,57051,21141,56257,17640,54868c14139,53380,11049,51296,8370,48716c5690,45938,3625,42863,2175,39390c725,35917,0,32246,0,28575c0,24705,725,21034,2175,17562c3625,13990,5690,10914,8370,8235c11049,5556,14139,3473,17640,2084c21141,695,24786,0,28575,0x">
                  <v:stroke weight="0pt" endcap="flat" joinstyle="miter" miterlimit="4" on="false" color="#000000" opacity="0"/>
                  <v:fill on="true" color="#333333"/>
                </v:shape>
              </v:group>
            </w:pict>
          </mc:Fallback>
        </mc:AlternateContent>
      </w:r>
      <w:r>
        <w:t xml:space="preserve"> Транскатетерная пластика возможна у выбранных пациентов с симптомной хронической тяже</w:t>
      </w:r>
      <w:r>
        <w:t>лой вторичной митральной регургитацией, не подходящих для хирургии, при наличии критериев возможного ответа на лечение.</w:t>
      </w:r>
    </w:p>
    <w:p w:rsidR="008E3F15" w:rsidRDefault="005F449A">
      <w:pPr>
        <w:pStyle w:val="Heading1"/>
        <w:ind w:left="2"/>
      </w:pPr>
      <w:r>
        <w:t>Часть I. Сердечно-сосудистые болезни</w:t>
      </w:r>
    </w:p>
    <w:p w:rsidR="008E3F15" w:rsidRDefault="005F449A">
      <w:pPr>
        <w:ind w:left="2" w:right="125"/>
      </w:pPr>
      <w:r>
        <w:t>Общая схема выбора тактики лечения тяжелой первичной митральной регургитации представлена на</w:t>
      </w:r>
      <w:r>
        <w:rPr>
          <w:b/>
        </w:rPr>
        <w:t xml:space="preserve"> рис. 9.6</w:t>
      </w:r>
      <w:r>
        <w:t>. Хотя вторичная митральная регургитация у пациентов с выраженной систолической дисфункцией левого желудочка может негативно влиять на прогноз, эффективность/безопасность хирургической замены или реконструкции клапана, в том числе у пациентов, нап</w:t>
      </w:r>
      <w:r>
        <w:t>равленных на КШ, не установлены (CTSN).</w:t>
      </w:r>
    </w:p>
    <w:p w:rsidR="008E3F15" w:rsidRDefault="005F449A">
      <w:pPr>
        <w:spacing w:after="65" w:line="259" w:lineRule="auto"/>
        <w:ind w:left="7" w:right="0" w:firstLine="0"/>
      </w:pPr>
      <w:r>
        <w:rPr>
          <w:noProof/>
        </w:rPr>
        <w:drawing>
          <wp:inline distT="0" distB="0" distL="0" distR="0">
            <wp:extent cx="5057775" cy="3933825"/>
            <wp:effectExtent l="0" t="0" r="0" b="0"/>
            <wp:docPr id="12260" name="Picture 12260"/>
            <wp:cNvGraphicFramePr/>
            <a:graphic xmlns:a="http://schemas.openxmlformats.org/drawingml/2006/main">
              <a:graphicData uri="http://schemas.openxmlformats.org/drawingml/2006/picture">
                <pic:pic xmlns:pic="http://schemas.openxmlformats.org/drawingml/2006/picture">
                  <pic:nvPicPr>
                    <pic:cNvPr id="12260" name="Picture 12260"/>
                    <pic:cNvPicPr/>
                  </pic:nvPicPr>
                  <pic:blipFill>
                    <a:blip r:embed="rId115"/>
                    <a:stretch>
                      <a:fillRect/>
                    </a:stretch>
                  </pic:blipFill>
                  <pic:spPr>
                    <a:xfrm>
                      <a:off x="0" y="0"/>
                      <a:ext cx="5057775" cy="3933825"/>
                    </a:xfrm>
                    <a:prstGeom prst="rect">
                      <a:avLst/>
                    </a:prstGeom>
                  </pic:spPr>
                </pic:pic>
              </a:graphicData>
            </a:graphic>
          </wp:inline>
        </w:drawing>
      </w:r>
    </w:p>
    <w:p w:rsidR="008E3F15" w:rsidRDefault="005F449A">
      <w:pPr>
        <w:ind w:left="2" w:right="282"/>
      </w:pPr>
      <w:r>
        <w:rPr>
          <w:b/>
        </w:rPr>
        <w:t xml:space="preserve">Рис. 9.6. </w:t>
      </w:r>
      <w:r>
        <w:t>Лечение пациентов с тяжелой хронической первичной митральной регургитацией (ESC). ЛЖ — левый желудочек, ЛП — левое предсердие, САДла — систолическое давление в легочной артерии, КСРЛЖ — конечный систоличе</w:t>
      </w:r>
      <w:r>
        <w:t>ский размер левого желудочка Смертность после имплантации механического или биологического клапана существенно возрастает при дисфункции левого желудочка и тяжелых симптомах (NYHA III–IV). Реконструкция клапана характеризуется более низкой частотой операци</w:t>
      </w:r>
      <w:r>
        <w:t>онной смерти, инфекционного эндокардита, потребности в оральных антикоагулянтах, но повышением частоты митральной регургитации и необходимости в повторных вмешательствах. Транскатетерная реконструкция клапана с помощью системы MitraClip у пациентов с симпт</w:t>
      </w:r>
      <w:r>
        <w:t>омной СН, несмотря на рекомендованное медикаментозное лечение, и умеренной (3+) или выраженной (4+) вторичной митральной регургитацией позволяет снизить частоту госпитализаций с декомпенсацией СН и общую смертность (COAPT).</w:t>
      </w:r>
    </w:p>
    <w:p w:rsidR="008E3F15" w:rsidRDefault="005F449A">
      <w:pPr>
        <w:ind w:left="2" w:right="15"/>
      </w:pPr>
      <w:r>
        <w:t>При повреждении имплантированног</w:t>
      </w:r>
      <w:r>
        <w:t>о биологического клапана возможна транскатетерная имплантация «клапан-в-клапан» (Whisenant B. et al., 2020).</w:t>
      </w:r>
    </w:p>
    <w:p w:rsidR="008E3F15" w:rsidRDefault="005F449A">
      <w:pPr>
        <w:spacing w:after="359"/>
        <w:ind w:left="2" w:right="15"/>
      </w:pPr>
      <w:r>
        <w:t>Для профилактики тромбоза механического митрального клапана применяют варфарин [МНО 3,0 (2,5–3,5)]. В случаях хирургической имплантации биологическ</w:t>
      </w:r>
      <w:r>
        <w:t>ого митрального клапана назначается варфарин [МНО 2,5 (2,0–3,0)] в течение 3 мес. После тромбоэмболии, несмотря на адекватное МНО, показано добавление АСК в дозе 75–100 мг.</w:t>
      </w:r>
    </w:p>
    <w:p w:rsidR="008E3F15" w:rsidRDefault="005F449A">
      <w:pPr>
        <w:pStyle w:val="Heading1"/>
        <w:ind w:left="2"/>
      </w:pPr>
      <w:r>
        <w:t>Часть I. Сердечно-сосудистые болезни</w:t>
      </w:r>
    </w:p>
    <w:p w:rsidR="008E3F15" w:rsidRDefault="005F449A">
      <w:pPr>
        <w:spacing w:after="31"/>
        <w:ind w:left="2" w:right="15"/>
      </w:pPr>
      <w:r>
        <w:t>Аортальный стеноз</w:t>
      </w:r>
    </w:p>
    <w:p w:rsidR="008E3F15" w:rsidRDefault="005F449A">
      <w:pPr>
        <w:ind w:left="2" w:right="15"/>
      </w:pPr>
      <w:r>
        <w:rPr>
          <w:b/>
        </w:rPr>
        <w:t xml:space="preserve">Этиология. </w:t>
      </w:r>
      <w:r>
        <w:t>У пожилых доминир</w:t>
      </w:r>
      <w:r>
        <w:t>ует кальцифицирующий аортальный стеноз, который может также развиться на врожденном двустворчатом аортальном клапане. Последний является самым частым врожденным дефектом сердца и, наряду со стенозом, может осложняться регургитацией, инфекционным эндокардит</w:t>
      </w:r>
      <w:r>
        <w:t>ом, аневризмой и расслоением аорты.</w:t>
      </w:r>
    </w:p>
    <w:p w:rsidR="008E3F15" w:rsidRDefault="005F449A">
      <w:pPr>
        <w:spacing w:after="31"/>
        <w:ind w:left="2" w:right="15"/>
      </w:pPr>
      <w:r>
        <w:t>Значительно реже встречается ревматический аортальный стеноз.</w:t>
      </w:r>
    </w:p>
    <w:p w:rsidR="008E3F15" w:rsidRDefault="005F449A">
      <w:pPr>
        <w:ind w:left="2" w:right="15"/>
      </w:pPr>
      <w:r>
        <w:rPr>
          <w:b/>
        </w:rPr>
        <w:t xml:space="preserve">Диагностика. </w:t>
      </w:r>
      <w:r>
        <w:t>Чаще всего вначале выявляют систолический шум во втором межреберье справа от грудины, проводящийся на сосуды шеи. Длительное время клинические си</w:t>
      </w:r>
      <w:r>
        <w:t>мптомы заболевания отсутствуют, а появление симптомов характеризуется значительным снижением выживаемости пациентов, особенно при тяжелом стенозе. Позднее присоединяется СН (одышка при нагрузке), обусловленная гипертрофией мио карда и диастолической дисфун</w:t>
      </w:r>
      <w:r>
        <w:t>кцией левого желудочка. При недостаточной гипертрофии возможно развитие систолической дисфункции со снижением сократимости и эффективности хирургического лечения.</w:t>
      </w:r>
    </w:p>
    <w:p w:rsidR="008E3F15" w:rsidRDefault="005F449A">
      <w:pPr>
        <w:ind w:left="2" w:right="167"/>
      </w:pPr>
      <w:r>
        <w:t>В тяжелых случаях наблюдаются головокружение и обмороки, связанные со снижением АД и кровосна</w:t>
      </w:r>
      <w:r>
        <w:t>бжения головного мозга во время нагрузки. СК в половине случаев аортального стеноза развивается без коронарной болезни вследствие несоответствия потребности гипертрофированной сердечной мышцы и ограниченного кровоснабжения.</w:t>
      </w:r>
    </w:p>
    <w:p w:rsidR="008E3F15" w:rsidRDefault="005F449A">
      <w:pPr>
        <w:spacing w:after="38"/>
        <w:ind w:left="2" w:right="15"/>
      </w:pPr>
      <w:r>
        <w:t>Чем выше тяжесть стеноза, тем ху</w:t>
      </w:r>
      <w:r>
        <w:t>же прогноз: по сравнению с легкими стенозами у пациентов с умеренным и тяжелым аортальным стенозом смертельные исходы наблюдались в 1,5 и 3,7 раза чаще, преимущественно от СН и ВСС (VALVENOR).</w:t>
      </w:r>
    </w:p>
    <w:p w:rsidR="008E3F15" w:rsidRDefault="005F449A">
      <w:pPr>
        <w:ind w:left="2" w:right="15"/>
      </w:pPr>
      <w:r>
        <w:t>В норме площадь отверстия аортального клапана составляет 3–4 см</w:t>
      </w:r>
      <w:r>
        <w:rPr>
          <w:sz w:val="31"/>
          <w:vertAlign w:val="superscript"/>
        </w:rPr>
        <w:t>2</w:t>
      </w:r>
      <w:r>
        <w:t>. Диагноз верифицируют при эхокардиографии с выявлением повышения скорости кровотока в области аортального клапана (≥4 м/с при тяжелом стенозе), градиента давления в области клапана (</w:t>
      </w:r>
      <w:r>
        <w:rPr>
          <w:b/>
        </w:rPr>
        <w:t>табл. 9.5</w:t>
      </w:r>
      <w:r>
        <w:t>). Чем выше скорость кровотока в области стеноза и ниже ФВЛЖ, т</w:t>
      </w:r>
      <w:r>
        <w:t>ем хуже прогноз (Lancellotti P. et al., 2018).</w:t>
      </w:r>
    </w:p>
    <w:p w:rsidR="008E3F15" w:rsidRDefault="005F449A">
      <w:pPr>
        <w:spacing w:after="31"/>
        <w:ind w:left="2" w:right="15"/>
      </w:pPr>
      <w:r>
        <w:rPr>
          <w:b/>
        </w:rPr>
        <w:t xml:space="preserve">Таблица 9.5. </w:t>
      </w:r>
      <w:r>
        <w:t>Классификация тяжести аортального стеноза (EACI, ASE)</w:t>
      </w:r>
    </w:p>
    <w:tbl>
      <w:tblPr>
        <w:tblStyle w:val="TableGrid"/>
        <w:tblW w:w="6750" w:type="dxa"/>
        <w:tblInd w:w="37" w:type="dxa"/>
        <w:tblCellMar>
          <w:top w:w="80" w:type="dxa"/>
          <w:left w:w="41" w:type="dxa"/>
          <w:bottom w:w="15" w:type="dxa"/>
          <w:right w:w="44" w:type="dxa"/>
        </w:tblCellMar>
        <w:tblLook w:val="04A0" w:firstRow="1" w:lastRow="0" w:firstColumn="1" w:lastColumn="0" w:noHBand="0" w:noVBand="1"/>
      </w:tblPr>
      <w:tblGrid>
        <w:gridCol w:w="3180"/>
        <w:gridCol w:w="930"/>
        <w:gridCol w:w="1470"/>
        <w:gridCol w:w="1170"/>
      </w:tblGrid>
      <w:tr w:rsidR="008E3F15">
        <w:trPr>
          <w:trHeight w:val="330"/>
        </w:trPr>
        <w:tc>
          <w:tcPr>
            <w:tcW w:w="31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 xml:space="preserve"> </w:t>
            </w:r>
          </w:p>
        </w:tc>
        <w:tc>
          <w:tcPr>
            <w:tcW w:w="3570" w:type="dxa"/>
            <w:gridSpan w:val="3"/>
            <w:tcBorders>
              <w:top w:val="single" w:sz="6" w:space="0" w:color="000000"/>
              <w:left w:val="nil"/>
              <w:bottom w:val="single" w:sz="6" w:space="0" w:color="000000"/>
              <w:right w:val="single" w:sz="6" w:space="0" w:color="000000"/>
            </w:tcBorders>
          </w:tcPr>
          <w:p w:rsidR="008E3F15" w:rsidRDefault="005F449A">
            <w:pPr>
              <w:spacing w:after="0" w:line="259" w:lineRule="auto"/>
              <w:ind w:left="5" w:right="0" w:firstLine="0"/>
              <w:jc w:val="both"/>
            </w:pPr>
            <w:r>
              <w:rPr>
                <w:b/>
                <w:bdr w:val="single" w:sz="12" w:space="0" w:color="000000"/>
              </w:rPr>
              <w:t>Легкий Умеренный Тяжелый</w:t>
            </w:r>
          </w:p>
        </w:tc>
      </w:tr>
      <w:tr w:rsidR="008E3F15">
        <w:trPr>
          <w:trHeight w:val="405"/>
        </w:trPr>
        <w:tc>
          <w:tcPr>
            <w:tcW w:w="31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4" w:right="0" w:firstLine="0"/>
            </w:pPr>
            <w:r>
              <w:t>Площадь отверстия, см</w:t>
            </w:r>
            <w:r>
              <w:rPr>
                <w:sz w:val="31"/>
                <w:vertAlign w:val="superscript"/>
              </w:rPr>
              <w:t>2</w:t>
            </w:r>
          </w:p>
        </w:tc>
        <w:tc>
          <w:tcPr>
            <w:tcW w:w="93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&gt;1,5</w:t>
            </w:r>
          </w:p>
        </w:tc>
        <w:tc>
          <w:tcPr>
            <w:tcW w:w="14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1,1–1,5</w:t>
            </w:r>
          </w:p>
        </w:tc>
        <w:tc>
          <w:tcPr>
            <w:tcW w:w="11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w:t>
            </w:r>
          </w:p>
        </w:tc>
      </w:tr>
      <w:tr w:rsidR="008E3F15">
        <w:trPr>
          <w:trHeight w:val="330"/>
        </w:trPr>
        <w:tc>
          <w:tcPr>
            <w:tcW w:w="31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Пиковая скорость, м/с</w:t>
            </w:r>
          </w:p>
        </w:tc>
        <w:tc>
          <w:tcPr>
            <w:tcW w:w="9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&lt;3,0</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3,0–4,0</w:t>
            </w:r>
          </w:p>
        </w:tc>
        <w:tc>
          <w:tcPr>
            <w:tcW w:w="11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&gt;4,0</w:t>
            </w:r>
          </w:p>
        </w:tc>
      </w:tr>
      <w:tr w:rsidR="008E3F15">
        <w:trPr>
          <w:trHeight w:val="330"/>
        </w:trPr>
        <w:tc>
          <w:tcPr>
            <w:tcW w:w="3180" w:type="dxa"/>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jc w:val="both"/>
            </w:pPr>
            <w:r>
              <w:rPr>
                <w:bdr w:val="single" w:sz="12" w:space="0" w:color="000000"/>
              </w:rPr>
              <w:t>Средний градиент, мм рт.ст.</w:t>
            </w:r>
          </w:p>
        </w:tc>
        <w:tc>
          <w:tcPr>
            <w:tcW w:w="9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5" w:right="0" w:firstLine="0"/>
            </w:pPr>
            <w:r>
              <w:t>&lt;20</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20–39</w:t>
            </w:r>
          </w:p>
        </w:tc>
        <w:tc>
          <w:tcPr>
            <w:tcW w:w="11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w:t>
            </w:r>
          </w:p>
        </w:tc>
      </w:tr>
    </w:tbl>
    <w:p w:rsidR="008E3F15" w:rsidRDefault="005F449A">
      <w:pPr>
        <w:ind w:left="2" w:right="184"/>
      </w:pPr>
      <w:r>
        <w:t>Состояния с малой площадью отверстия (&lt;1,0 см</w:t>
      </w:r>
      <w:r>
        <w:rPr>
          <w:sz w:val="31"/>
          <w:vertAlign w:val="superscript"/>
        </w:rPr>
        <w:t>2</w:t>
      </w:r>
      <w:r>
        <w:t xml:space="preserve">) и относительно низким трансаортальным градиентом давления и потоком, обычно при систолической дисфункции или малом объеме гипертрофированного жесткого левого желудочка, характеризуются высокой смертностью и худшими исходами хирургии. Для отличия данного </w:t>
      </w:r>
      <w:r>
        <w:t>состояния от псевдостеноза может потребоваться тест с добутамином, который увеличивает трансаортальный кровоток и градиент без изменения расчетной площади отверстия.</w:t>
      </w:r>
    </w:p>
    <w:p w:rsidR="008E3F15" w:rsidRDefault="005F449A">
      <w:pPr>
        <w:ind w:left="2" w:right="15"/>
      </w:pPr>
      <w:r>
        <w:t>У каждого пятого пациента с умеренно выраженным аортальным стенозом выявляют асимметричную</w:t>
      </w:r>
      <w:r>
        <w:t xml:space="preserve"> гипертрофию левого желудочка с утолщением межжелудочковой перегородки ≥13 мм и отношением толщины перегородки и задней стенки &gt;1,5 (PROGRESSA). В 75% случаев аортальный стеноз сочетается с регургитацией, которую выявляют при допплеровском исследовании.</w:t>
      </w:r>
    </w:p>
    <w:p w:rsidR="008E3F15" w:rsidRDefault="005F449A">
      <w:pPr>
        <w:ind w:left="2" w:right="227"/>
      </w:pPr>
      <w:r>
        <w:rPr>
          <w:b/>
        </w:rPr>
        <w:t>Ме</w:t>
      </w:r>
      <w:r>
        <w:rPr>
          <w:b/>
        </w:rPr>
        <w:t xml:space="preserve">дикаментозное лечение. </w:t>
      </w:r>
      <w:r>
        <w:t>Пациентам с умеренным и тяжелым аортальным стенозом ограничивают интенсивные физические нагрузки. Диуретики применяют осторожно в связи с риском ортостатической гипотензии, особенно при малом объеме левого желудочка. При СК использую</w:t>
      </w:r>
      <w:r>
        <w:t>т β-адреноблокаторы, которые, однако, могут снизить сократимость мио карда. В случае отсутствия тяжелого стеноза и большого градиента давления показано осторожное титрование иАПФ или БРА.</w:t>
      </w:r>
    </w:p>
    <w:p w:rsidR="008E3F15" w:rsidRDefault="005F449A">
      <w:pPr>
        <w:ind w:left="2" w:right="15"/>
      </w:pPr>
      <w:r>
        <w:t>Постоянное лечение бензатина бензилпенициллином показано при ревмати</w:t>
      </w:r>
      <w:r>
        <w:t>ческой этиологии порока.</w:t>
      </w:r>
    </w:p>
    <w:p w:rsidR="008E3F15" w:rsidRDefault="005F449A">
      <w:pPr>
        <w:spacing w:after="179"/>
        <w:ind w:left="2" w:right="15"/>
      </w:pPr>
      <w:r>
        <w:rPr>
          <w:b/>
        </w:rPr>
        <w:t xml:space="preserve">Хирургическое лечение. </w:t>
      </w:r>
      <w:r>
        <w:t>Для хирургического лечения аортального стеноза используют следующие показания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10816" behindDoc="0" locked="0" layoutInCell="1" allowOverlap="1">
                <wp:simplePos x="0" y="0"/>
                <wp:positionH relativeFrom="column">
                  <wp:posOffset>214164</wp:posOffset>
                </wp:positionH>
                <wp:positionV relativeFrom="paragraph">
                  <wp:posOffset>34925</wp:posOffset>
                </wp:positionV>
                <wp:extent cx="438150" cy="552450"/>
                <wp:effectExtent l="0" t="0" r="0" b="0"/>
                <wp:wrapSquare wrapText="bothSides"/>
                <wp:docPr id="294939" name="Group 294939"/>
                <wp:cNvGraphicFramePr/>
                <a:graphic xmlns:a="http://schemas.openxmlformats.org/drawingml/2006/main">
                  <a:graphicData uri="http://schemas.microsoft.com/office/word/2010/wordprocessingGroup">
                    <wpg:wgp>
                      <wpg:cNvGrpSpPr/>
                      <wpg:grpSpPr>
                        <a:xfrm>
                          <a:off x="0" y="0"/>
                          <a:ext cx="438150" cy="552450"/>
                          <a:chOff x="0" y="0"/>
                          <a:chExt cx="438150" cy="552450"/>
                        </a:xfrm>
                      </wpg:grpSpPr>
                      <wps:wsp>
                        <wps:cNvPr id="12389" name="Shape 12389"/>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391" name="Shape 12391"/>
                        <wps:cNvSpPr/>
                        <wps:spPr>
                          <a:xfrm>
                            <a:off x="381000" y="1905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763"/>
                                  <a:pt x="51460" y="45938"/>
                                  <a:pt x="48781" y="48716"/>
                                </a:cubicBezTo>
                                <a:cubicBezTo>
                                  <a:pt x="46101" y="51296"/>
                                  <a:pt x="43011" y="53280"/>
                                  <a:pt x="39510" y="54769"/>
                                </a:cubicBezTo>
                                <a:cubicBezTo>
                                  <a:pt x="36009" y="56257"/>
                                  <a:pt x="32364" y="57051"/>
                                  <a:pt x="28575" y="57150"/>
                                </a:cubicBezTo>
                                <a:cubicBezTo>
                                  <a:pt x="24786" y="57051"/>
                                  <a:pt x="21141" y="56257"/>
                                  <a:pt x="17640" y="54769"/>
                                </a:cubicBezTo>
                                <a:cubicBezTo>
                                  <a:pt x="14139" y="53280"/>
                                  <a:pt x="11049" y="51296"/>
                                  <a:pt x="8370" y="48716"/>
                                </a:cubicBezTo>
                                <a:cubicBezTo>
                                  <a:pt x="5690" y="45938"/>
                                  <a:pt x="3625" y="42763"/>
                                  <a:pt x="2175" y="39390"/>
                                </a:cubicBezTo>
                                <a:cubicBezTo>
                                  <a:pt x="725" y="35917"/>
                                  <a:pt x="0" y="32345"/>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400" name="Shape 12400"/>
                        <wps:cNvSpPr/>
                        <wps:spPr>
                          <a:xfrm>
                            <a:off x="381000" y="49530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1013"/>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805"/>
                                  <a:pt x="725" y="21034"/>
                                  <a:pt x="2175" y="17562"/>
                                </a:cubicBezTo>
                                <a:cubicBezTo>
                                  <a:pt x="3625" y="14089"/>
                                  <a:pt x="5690" y="11013"/>
                                  <a:pt x="8370"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4939" style="width:34.5pt;height:43.5pt;position:absolute;mso-position-horizontal-relative:text;mso-position-horizontal:absolute;margin-left:16.8633pt;mso-position-vertical-relative:text;margin-top:2.75pt;" coordsize="4381,5524">
                <v:shape id="Shape 12389" style="position:absolute;width:571;height:571;left:0;top:0;" coordsize="57150,57150" path="m28575,0c32364,0,36009,695,39510,2084c43011,3473,46101,5556,48781,8235c51460,10914,53525,13990,54975,17463c56425,21034,57150,24705,57150,28575c57150,32345,56425,35917,54975,39489c53525,42962,51460,46038,48781,48716c46101,51395,43011,53380,39510,54868c36009,56257,32364,57051,28575,57150c24786,57051,21141,56257,17640,54868c14139,53380,11049,51395,8369,48716c5690,46038,3625,42863,2175,39390c725,35917,0,32345,0,28575c0,24705,725,21034,2175,17463c3625,13990,5690,10914,8369,8235c11049,5556,14139,3473,17640,2084c21141,695,24786,0,28575,0x">
                  <v:stroke weight="0pt" endcap="flat" joinstyle="miter" miterlimit="4" on="false" color="#000000" opacity="0"/>
                  <v:fill on="true" color="#333333"/>
                </v:shape>
                <v:shape id="Shape 12391" style="position:absolute;width:571;height:571;left:3810;top:1905;" coordsize="57150,57150" path="m28575,0c32364,0,36009,794,39510,2183c43011,3572,46101,5556,48781,8235c51460,10914,53525,13990,54975,17562c56425,21034,57150,24705,57150,28575c57150,32345,56425,35917,54975,39489c53525,42763,51460,45938,48781,48716c46101,51296,43011,53280,39510,54769c36009,56257,32364,57051,28575,57150c24786,57051,21141,56257,17640,54769c14139,53280,11049,51296,8370,48716c5690,45938,3625,42763,2175,39390c725,35917,0,32345,0,28575c0,24705,725,21034,2175,17562c3625,13990,5690,10914,8370,8235c11049,5556,14139,3473,17640,2084c21141,695,24786,0,28575,0x">
                  <v:stroke weight="0pt" endcap="flat" joinstyle="miter" miterlimit="4" on="false" color="#000000" opacity="0"/>
                  <v:fill on="true" color="#333333"/>
                </v:shape>
                <v:shape id="Shape 12400" style="position:absolute;width:571;height:571;left:3810;top:4953;" coordsize="57150,57150" path="m28575,0c32364,0,36009,794,39510,2183c43011,3572,46101,5655,48781,8334c51460,11013,53525,14089,54975,17562c56425,21034,57150,24805,57150,28575c57150,32345,56425,35917,54975,39489c53525,42962,51460,46038,48781,48716c46101,51395,43011,53479,39510,54967c36009,56356,32364,57051,28575,57150c24786,57051,21141,56356,17640,54967c14139,53479,11049,51395,8370,48716c5690,46038,3625,42962,2175,39489c725,35917,0,32345,0,28575c0,24805,725,21034,2175,17562c3625,14089,5690,11013,8370,8334c11049,5655,14139,3572,17640,2183c21141,794,24786,0,28575,0x">
                  <v:stroke weight="0pt" endcap="flat" joinstyle="miter" miterlimit="4" on="false" color="#000000" opacity="0"/>
                  <v:fill on="true" color="#333333"/>
                </v:shape>
                <w10:wrap type="square"/>
              </v:group>
            </w:pict>
          </mc:Fallback>
        </mc:AlternateContent>
      </w:r>
      <w:r>
        <w:rPr>
          <w:i/>
        </w:rPr>
        <w:t>I класс (рекомендуется).</w:t>
      </w:r>
    </w:p>
    <w:p w:rsidR="008E3F15" w:rsidRDefault="005F449A">
      <w:pPr>
        <w:ind w:left="347" w:right="15"/>
      </w:pPr>
      <w:r>
        <w:t>Симптомный тяжелый аортальный стеноз (S &lt;1 см</w:t>
      </w:r>
      <w:r>
        <w:rPr>
          <w:sz w:val="31"/>
          <w:vertAlign w:val="superscript"/>
        </w:rPr>
        <w:t>2</w:t>
      </w:r>
      <w:r>
        <w:t xml:space="preserve"> или 0,6 см</w:t>
      </w:r>
      <w:r>
        <w:rPr>
          <w:sz w:val="31"/>
          <w:vertAlign w:val="superscript"/>
        </w:rPr>
        <w:t>2</w:t>
      </w:r>
      <w:r>
        <w:t>/м</w:t>
      </w:r>
      <w:r>
        <w:rPr>
          <w:sz w:val="31"/>
          <w:vertAlign w:val="superscript"/>
        </w:rPr>
        <w:t>2</w:t>
      </w:r>
      <w:r>
        <w:t>) с высоким градиентом (средний ≥40 мм рт.ст., Vmax ≥4 м/с).</w:t>
      </w:r>
    </w:p>
    <w:p w:rsidR="008E3F15" w:rsidRDefault="005F449A">
      <w:pPr>
        <w:ind w:left="347" w:right="437"/>
      </w:pPr>
      <w:r>
        <w:t>Симптомный тяжелый аортальный стеноз с низким градиентом (</w:t>
      </w:r>
      <w:r>
        <w:rPr>
          <w:b/>
        </w:rPr>
        <w:t>&lt;</w:t>
      </w:r>
      <w:r>
        <w:t>40 мм рт.ст.) и потоком (индекс ударного объема левого желудочка &lt;35 мл/м</w:t>
      </w:r>
      <w:r>
        <w:rPr>
          <w:sz w:val="31"/>
          <w:vertAlign w:val="superscript"/>
        </w:rPr>
        <w:t>2</w:t>
      </w:r>
      <w:r>
        <w:t xml:space="preserve">), ФВЛЖ </w:t>
      </w:r>
      <w:r>
        <w:rPr>
          <w:b/>
        </w:rPr>
        <w:t>&lt;</w:t>
      </w:r>
      <w:r>
        <w:t>50% и признаками резерва потока (сократимости).</w:t>
      </w:r>
    </w:p>
    <w:p w:rsidR="008E3F15" w:rsidRDefault="005F449A">
      <w:pPr>
        <w:ind w:left="347" w:right="345"/>
      </w:pPr>
      <w:r>
        <w:t>Бесси</w:t>
      </w:r>
      <w:r>
        <w:t xml:space="preserve">мптомный тяжелый аортальный стеноз и систолическая дисфункция (ФВЛЖ </w:t>
      </w:r>
      <w:r>
        <w:rPr>
          <w:b/>
        </w:rPr>
        <w:t>&lt;</w:t>
      </w:r>
      <w:r>
        <w:t>50%), не связанная с другими причинами.</w:t>
      </w:r>
    </w:p>
    <w:p w:rsidR="008E3F15" w:rsidRDefault="005F449A">
      <w:pPr>
        <w:spacing w:after="31"/>
        <w:ind w:left="347" w:right="15"/>
      </w:pPr>
      <w:r>
        <w:t>Бессимптомный тяжелый аортальный стеноз и симптомы при стресс-тесте.</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11840" behindDoc="0" locked="0" layoutInCell="1" allowOverlap="1">
                <wp:simplePos x="0" y="0"/>
                <wp:positionH relativeFrom="column">
                  <wp:posOffset>214164</wp:posOffset>
                </wp:positionH>
                <wp:positionV relativeFrom="paragraph">
                  <wp:posOffset>-422274</wp:posOffset>
                </wp:positionV>
                <wp:extent cx="438150" cy="971550"/>
                <wp:effectExtent l="0" t="0" r="0" b="0"/>
                <wp:wrapSquare wrapText="bothSides"/>
                <wp:docPr id="294940" name="Group 294940"/>
                <wp:cNvGraphicFramePr/>
                <a:graphic xmlns:a="http://schemas.openxmlformats.org/drawingml/2006/main">
                  <a:graphicData uri="http://schemas.microsoft.com/office/word/2010/wordprocessingGroup">
                    <wpg:wgp>
                      <wpg:cNvGrpSpPr/>
                      <wpg:grpSpPr>
                        <a:xfrm>
                          <a:off x="0" y="0"/>
                          <a:ext cx="438150" cy="971550"/>
                          <a:chOff x="0" y="0"/>
                          <a:chExt cx="438150" cy="971550"/>
                        </a:xfrm>
                      </wpg:grpSpPr>
                      <wps:wsp>
                        <wps:cNvPr id="12410" name="Shape 12410"/>
                        <wps:cNvSpPr/>
                        <wps:spPr>
                          <a:xfrm>
                            <a:off x="381000" y="0"/>
                            <a:ext cx="57150" cy="57150"/>
                          </a:xfrm>
                          <a:custGeom>
                            <a:avLst/>
                            <a:gdLst/>
                            <a:ahLst/>
                            <a:cxnLst/>
                            <a:rect l="0" t="0" r="0" b="0"/>
                            <a:pathLst>
                              <a:path w="57150" h="57150">
                                <a:moveTo>
                                  <a:pt x="28575" y="0"/>
                                </a:moveTo>
                                <a:cubicBezTo>
                                  <a:pt x="32364" y="0"/>
                                  <a:pt x="36009" y="794"/>
                                  <a:pt x="39510" y="2183"/>
                                </a:cubicBezTo>
                                <a:cubicBezTo>
                                  <a:pt x="43011" y="3572"/>
                                  <a:pt x="46101" y="5655"/>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562"/>
                                </a:cubicBezTo>
                                <a:cubicBezTo>
                                  <a:pt x="3625" y="14089"/>
                                  <a:pt x="5690" y="10914"/>
                                  <a:pt x="8370" y="8334"/>
                                </a:cubicBezTo>
                                <a:cubicBezTo>
                                  <a:pt x="11049" y="56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415" name="Shape 12415"/>
                        <wps:cNvSpPr/>
                        <wps:spPr>
                          <a:xfrm>
                            <a:off x="38100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562"/>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417" name="Shape 1241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419" name="Shape 12419"/>
                        <wps:cNvSpPr/>
                        <wps:spPr>
                          <a:xfrm>
                            <a:off x="38100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2422" name="Shape 12422"/>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868"/>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4940" style="width:34.5pt;height:76.5pt;position:absolute;mso-position-horizontal-relative:text;mso-position-horizontal:absolute;margin-left:16.8633pt;mso-position-vertical-relative:text;margin-top:-33.25pt;" coordsize="4381,9715">
                <v:shape id="Shape 12410" style="position:absolute;width:571;height:571;left:3810;top:0;" coordsize="57150,57150" path="m28575,0c32364,0,36009,794,39510,2183c43011,3572,46101,5655,48781,8334c51460,10914,53525,14089,54975,17562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562c3625,14089,5690,10914,8370,8334c11049,5655,14139,3572,17640,2183c21141,794,24786,0,28575,0x">
                  <v:stroke weight="0pt" endcap="flat" joinstyle="miter" miterlimit="4" on="false" color="#000000" opacity="0"/>
                  <v:fill on="true" color="#333333"/>
                </v:shape>
                <v:shape id="Shape 12415" style="position:absolute;width:571;height:571;left:3810;top:3048;" coordsize="57150,57150" path="m28575,0c32364,0,36009,794,39510,2183c43011,3572,46101,5556,48781,8235c51460,10914,53525,13990,54975,17562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562c3625,13990,5690,10914,8370,8235c11049,5556,14139,3473,17640,2084c21141,695,24786,0,28575,0x">
                  <v:stroke weight="0pt" endcap="flat" joinstyle="miter" miterlimit="4" on="false" color="#000000" opacity="0"/>
                  <v:fill on="true" color="#333333"/>
                </v:shape>
                <v:shape id="Shape 12417" style="position:absolute;width:571;height:571;left:0;top:4572;" coordsize="57150,57150" path="m28575,0c32364,0,36009,794,39510,2183c43011,3572,46101,5556,48781,8235c51460,10914,53525,13990,54975,17463c56425,21034,57150,24705,57150,28575c57150,32345,56425,35917,54975,39489c53525,42962,51460,46038,48781,48716c46101,51395,43011,53479,39510,54967c36009,56356,32364,57051,28575,57150c24786,57051,21141,56356,17640,54967c14139,53479,11049,51395,8369,48716c5690,46038,3625,42962,2175,39489c725,35917,0,32345,0,28575c0,24705,725,21034,2175,17463c3625,13990,5690,10914,8369,8235c11049,5556,14139,3473,17640,2084c21141,695,24786,0,28575,0x">
                  <v:stroke weight="0pt" endcap="flat" joinstyle="miter" miterlimit="4" on="false" color="#000000" opacity="0"/>
                  <v:fill on="true" color="#333333"/>
                </v:shape>
                <v:shape id="Shape 12419" style="position:absolute;width:571;height:571;left:3810;top:6096;" coordsize="57150,57150" path="m28575,0c32364,0,36009,794,39510,2183c43011,3572,46101,5556,48781,8235c51460,10914,53525,13990,54975,17463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463c3625,13990,5690,10914,8370,8235c11049,5556,14139,3473,17640,2084c21141,695,24786,0,28575,0x">
                  <v:stroke weight="0pt" endcap="flat" joinstyle="miter" miterlimit="4" on="false" color="#000000" opacity="0"/>
                  <v:fill on="true" color="#333333"/>
                </v:shape>
                <v:shape id="Shape 12422" style="position:absolute;width:571;height:571;left:3810;top:9144;" coordsize="57150,57150" path="m28575,0c32364,0,36009,695,39510,2084c43011,3473,46101,5556,48781,8235c51460,10914,53525,13990,54975,17463c56425,21034,57150,24705,57150,28575c57150,32345,56425,35917,54975,39489c53525,42962,51460,46038,48781,48716c46101,51395,43011,53479,39510,54868c36009,56356,32364,57051,28575,57150c24786,57051,21141,56356,17640,54868c14139,53479,11049,51395,8370,48716c5690,46038,3625,42962,2175,39489c725,35917,0,32345,0,28575c0,24705,725,21034,2175,17463c3625,13990,5690,10914,8370,8235c11049,5556,14139,3473,17640,1984c21141,695,24786,0,28575,0x">
                  <v:stroke weight="0pt" endcap="flat" joinstyle="miter" miterlimit="4" on="false" color="#000000" opacity="0"/>
                  <v:fill on="true" color="#333333"/>
                </v:shape>
                <w10:wrap type="square"/>
              </v:group>
            </w:pict>
          </mc:Fallback>
        </mc:AlternateContent>
      </w:r>
      <w:r>
        <w:rPr>
          <w:i/>
        </w:rPr>
        <w:t>IIa класс (целесообразно).</w:t>
      </w:r>
    </w:p>
    <w:p w:rsidR="008E3F15" w:rsidRDefault="005F449A">
      <w:pPr>
        <w:ind w:left="347" w:right="15"/>
      </w:pPr>
      <w:r>
        <w:t>Симптомный аортальный стеноз с низким градиентом и</w:t>
      </w:r>
      <w:r>
        <w:t xml:space="preserve"> потоком, нормальной ФВЛЖ, после надежного подтверждения тяжелого аортального стеноза.</w:t>
      </w:r>
    </w:p>
    <w:p w:rsidR="008E3F15" w:rsidRDefault="005F449A">
      <w:pPr>
        <w:ind w:left="347" w:right="15"/>
      </w:pPr>
      <w:r>
        <w:t xml:space="preserve">Симптомный тяжелый аортальный стеноз с низким градиентом и потоком, низкой ФВЛЖ, без резерва потока, особенно когда тяжелый стеноз подтверждается оценкой кальциноза при </w:t>
      </w:r>
      <w:r>
        <w:t>КТ.</w:t>
      </w:r>
    </w:p>
    <w:p w:rsidR="008E3F15" w:rsidRDefault="005F449A">
      <w:pPr>
        <w:ind w:left="947" w:right="345"/>
      </w:pPr>
      <w:r>
        <w:rPr>
          <w:rFonts w:ascii="Calibri" w:eastAsia="Calibri" w:hAnsi="Calibri" w:cs="Calibri"/>
          <w:noProof/>
          <w:color w:val="000000"/>
          <w:sz w:val="22"/>
        </w:rPr>
        <mc:AlternateContent>
          <mc:Choice Requires="wpg">
            <w:drawing>
              <wp:anchor distT="0" distB="0" distL="114300" distR="114300" simplePos="0" relativeHeight="251812864" behindDoc="0" locked="0" layoutInCell="1" allowOverlap="1">
                <wp:simplePos x="0" y="0"/>
                <wp:positionH relativeFrom="column">
                  <wp:posOffset>595164</wp:posOffset>
                </wp:positionH>
                <wp:positionV relativeFrom="paragraph">
                  <wp:posOffset>34925</wp:posOffset>
                </wp:positionV>
                <wp:extent cx="57150" cy="666750"/>
                <wp:effectExtent l="0" t="0" r="0" b="0"/>
                <wp:wrapSquare wrapText="bothSides"/>
                <wp:docPr id="292763" name="Group 292763"/>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2471" name="Shape 12471"/>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380"/>
                                  <a:pt x="39510" y="54868"/>
                                </a:cubicBezTo>
                                <a:cubicBezTo>
                                  <a:pt x="36009" y="56356"/>
                                  <a:pt x="32364" y="57051"/>
                                  <a:pt x="28575" y="57150"/>
                                </a:cubicBezTo>
                                <a:cubicBezTo>
                                  <a:pt x="24786" y="57051"/>
                                  <a:pt x="21141" y="56356"/>
                                  <a:pt x="17640" y="54868"/>
                                </a:cubicBezTo>
                                <a:cubicBezTo>
                                  <a:pt x="14139" y="53380"/>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476" name="Shape 12476"/>
                        <wps:cNvSpPr/>
                        <wps:spPr>
                          <a:xfrm>
                            <a:off x="0" y="3048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479" name="Shape 12479"/>
                        <wps:cNvSpPr/>
                        <wps:spPr>
                          <a:xfrm>
                            <a:off x="0" y="6096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2763" style="width:4.50001pt;height:52.5pt;position:absolute;mso-position-horizontal-relative:text;mso-position-horizontal:absolute;margin-left:46.8633pt;mso-position-vertical-relative:text;margin-top:2.75pt;" coordsize="571,6667">
                <v:shape id="Shape 12471" style="position:absolute;width:571;height:571;left:0;top:0;" coordsize="57150,57150" path="m28575,0c32364,0,36009,695,39510,1984c43011,3473,46101,5556,48781,8235c51460,10914,53525,13990,54975,17463c56425,21034,57150,24705,57150,28575c57150,32345,56425,36016,54975,39489c53525,42962,51460,46038,48781,48716c46101,51395,43011,53380,39510,54868c36009,56356,32364,57051,28575,57150c24786,57051,21141,56356,17640,54868c14139,53380,11049,51395,8370,48716c5690,46038,3625,42962,2175,39489c725,35917,0,32345,0,28575c0,24705,725,21034,2175,17463c3625,13990,5690,10914,8370,8235c11049,5556,14139,3473,17640,1984c21141,695,24786,0,28575,0x">
                  <v:stroke weight="0pt" endcap="flat" joinstyle="miter" miterlimit="10" on="false" color="#000000" opacity="0"/>
                  <v:fill on="true" color="#333333"/>
                </v:shape>
                <v:shape id="Shape 12476" style="position:absolute;width:571;height:571;left:0;top:3048;"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70,48716c5690,46038,3625,42863,2175,39390c725,35917,0,32345,0,28575c0,24705,725,21034,2175,17463c3625,13990,5690,10914,8370,8235c11049,5556,14139,3473,17640,1984c21141,695,24786,0,28575,0x">
                  <v:stroke weight="0pt" endcap="flat" joinstyle="miter" miterlimit="10" on="false" color="#000000" opacity="0"/>
                  <v:fill on="true" color="#333333"/>
                </v:shape>
                <v:shape id="Shape 12479" style="position:absolute;width:571;height:571;left:0;top:6096;"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70,48716c5690,46038,3625,42863,2175,39390c725,35917,0,32345,0,28575c0,24705,725,21034,2175,17463c3625,13990,5690,10914,8370,8235c11049,5556,14139,3473,17640,1984c21141,695,24786,0,28575,0x">
                  <v:stroke weight="0pt" endcap="flat" joinstyle="miter" miterlimit="10" on="false" color="#000000" opacity="0"/>
                  <v:fill on="true" color="#333333"/>
                </v:shape>
                <w10:wrap type="square"/>
              </v:group>
            </w:pict>
          </mc:Fallback>
        </mc:AlternateContent>
      </w:r>
      <w:r>
        <w:t xml:space="preserve">Бессимптомный тяжелый аортальный стеноз и систолическая дисфункция (ФВЛЖ </w:t>
      </w:r>
      <w:r>
        <w:rPr>
          <w:b/>
        </w:rPr>
        <w:t>&lt;</w:t>
      </w:r>
      <w:r>
        <w:t>55%), не связанная с другими причинами.</w:t>
      </w:r>
    </w:p>
    <w:p w:rsidR="008E3F15" w:rsidRDefault="005F449A">
      <w:pPr>
        <w:ind w:left="947" w:right="15"/>
      </w:pPr>
      <w:r>
        <w:t>Бессимптомный тяжелый аортальный стеноз и устойчивое снижение АД (&gt;20 мм рт.ст.) при стресс-тесте.</w:t>
      </w:r>
    </w:p>
    <w:p w:rsidR="008E3F15" w:rsidRDefault="005F449A">
      <w:pPr>
        <w:spacing w:after="359"/>
        <w:ind w:left="947" w:right="272"/>
      </w:pPr>
      <w:r>
        <w:t xml:space="preserve">Бессимптомный тяжелый аортальный стеноз с ФВЛЖ </w:t>
      </w:r>
      <w:r>
        <w:rPr>
          <w:b/>
        </w:rPr>
        <w:t>&gt;</w:t>
      </w:r>
      <w:r>
        <w:t xml:space="preserve">55%, отсутствием симптомов и снижения АД при стресс-тесте, низким перипроцедурным риском и одним из следующих признаков: очень тяжелый аортальный стеноз (средний градиент ≥60 мм рт.ст., Vmax &gt;5 м/с), тяжелая </w:t>
      </w:r>
      <w:r>
        <w:t>кальцификация клапана и скорость прогрессирования Vmax ≥0,3 м/с в год, повышение BNP более 3 раз, подтвержденное повторными измерениями, без других причин.</w:t>
      </w:r>
    </w:p>
    <w:p w:rsidR="008E3F15" w:rsidRDefault="005F449A">
      <w:pPr>
        <w:pStyle w:val="Heading1"/>
        <w:ind w:left="2"/>
      </w:pPr>
      <w:r>
        <w:t>Часть I. Сердечно-сосудистые болезни</w:t>
      </w:r>
    </w:p>
    <w:p w:rsidR="008E3F15" w:rsidRDefault="005F449A">
      <w:pPr>
        <w:ind w:left="2" w:right="15"/>
      </w:pPr>
      <w:r>
        <w:t xml:space="preserve">Общая схема выбора тактики лечения представлена на </w:t>
      </w:r>
      <w:r>
        <w:rPr>
          <w:b/>
        </w:rPr>
        <w:t>рис. 9.7</w:t>
      </w:r>
      <w:r>
        <w:t>. Ни</w:t>
      </w:r>
      <w:r>
        <w:t>зкий риск хирургического лечения соответствует госпитальной смертности &lt;4% по шкале Euroscore II.</w:t>
      </w:r>
    </w:p>
    <w:p w:rsidR="008E3F15" w:rsidRDefault="005F449A">
      <w:pPr>
        <w:spacing w:after="65" w:line="259" w:lineRule="auto"/>
        <w:ind w:left="7" w:right="0" w:firstLine="0"/>
      </w:pPr>
      <w:r>
        <w:rPr>
          <w:noProof/>
        </w:rPr>
        <w:drawing>
          <wp:inline distT="0" distB="0" distL="0" distR="0">
            <wp:extent cx="5057775" cy="4076700"/>
            <wp:effectExtent l="0" t="0" r="0" b="0"/>
            <wp:docPr id="12494" name="Picture 12494"/>
            <wp:cNvGraphicFramePr/>
            <a:graphic xmlns:a="http://schemas.openxmlformats.org/drawingml/2006/main">
              <a:graphicData uri="http://schemas.openxmlformats.org/drawingml/2006/picture">
                <pic:pic xmlns:pic="http://schemas.openxmlformats.org/drawingml/2006/picture">
                  <pic:nvPicPr>
                    <pic:cNvPr id="12494" name="Picture 12494"/>
                    <pic:cNvPicPr/>
                  </pic:nvPicPr>
                  <pic:blipFill>
                    <a:blip r:embed="rId116"/>
                    <a:stretch>
                      <a:fillRect/>
                    </a:stretch>
                  </pic:blipFill>
                  <pic:spPr>
                    <a:xfrm>
                      <a:off x="0" y="0"/>
                      <a:ext cx="5057775" cy="4076700"/>
                    </a:xfrm>
                    <a:prstGeom prst="rect">
                      <a:avLst/>
                    </a:prstGeom>
                  </pic:spPr>
                </pic:pic>
              </a:graphicData>
            </a:graphic>
          </wp:inline>
        </w:drawing>
      </w:r>
    </w:p>
    <w:p w:rsidR="008E3F15" w:rsidRDefault="005F449A">
      <w:pPr>
        <w:spacing w:after="31"/>
        <w:ind w:left="2" w:right="15"/>
      </w:pPr>
      <w:r>
        <w:rPr>
          <w:b/>
        </w:rPr>
        <w:t xml:space="preserve">Рис. 9.7. </w:t>
      </w:r>
      <w:r>
        <w:t>Лечение пациентов с аортальным стенозом (ESC). ТИАК — транскатетерная</w:t>
      </w:r>
    </w:p>
    <w:p w:rsidR="008E3F15" w:rsidRDefault="005F449A">
      <w:pPr>
        <w:ind w:left="2" w:right="15"/>
      </w:pPr>
      <w:r>
        <w:t>имплантация аортального клапана, ХИАК — хирургическая имплантация аортального клапана Почти две трети всех операций на клапанах приходятся на замену поврежденного естественного аортального клапана, преимущественно при аортальном стенозе. Важно шире использ</w:t>
      </w:r>
      <w:r>
        <w:t>овать инвазивное лечение тяжелого симптомного стеноза у стариков, поскольку транскатетерная или хирургическая имплантация аортального клапана снижает смертность на 32 и 44% соответственно (Martinez-Selles M. et al., 2014).</w:t>
      </w:r>
    </w:p>
    <w:p w:rsidR="008E3F15" w:rsidRDefault="005F449A">
      <w:pPr>
        <w:ind w:left="2" w:right="15"/>
      </w:pPr>
      <w:r>
        <w:t>У асимптомных пациентов с очень т</w:t>
      </w:r>
      <w:r>
        <w:t>яжелым стенозом (площадь ≤0,75 см</w:t>
      </w:r>
      <w:r>
        <w:rPr>
          <w:sz w:val="31"/>
          <w:vertAlign w:val="superscript"/>
        </w:rPr>
        <w:t xml:space="preserve">2 </w:t>
      </w:r>
      <w:r>
        <w:t>со скоростью струи в аорте ≥4,5 м/с или средним трансаортальным градиентом ≥50 мм рт.ст.) раннее хирургическое лечение может снизить операционную смертность или сердечно-сосудистую смертность в течение 6 лет (RECOVERY).</w:t>
      </w:r>
    </w:p>
    <w:p w:rsidR="008E3F15" w:rsidRDefault="005F449A">
      <w:pPr>
        <w:ind w:left="2" w:right="202"/>
      </w:pPr>
      <w:r>
        <w:t>Ц</w:t>
      </w:r>
      <w:r>
        <w:t>елесообразность ранней замены клапанов при асимптомном тяжелом аортальном стенозе показана в последнем метаанализе наблюдательных исследований (Gahl B. et al., 2020). У пациентов старше 70 лет предпочтение отдают биологическим клапанам в связи с относитель</w:t>
      </w:r>
      <w:r>
        <w:t>но низким риском тромбоэмболии и возможности ведения большинства пациентов без антикоагулянтов, до 50 лет показаны прочные механические клапаны, а в возрасте 50–70 лет решение принимается индивидуально (ACC/AHA).</w:t>
      </w:r>
    </w:p>
    <w:p w:rsidR="008E3F15" w:rsidRDefault="005F449A">
      <w:pPr>
        <w:ind w:left="2" w:right="152"/>
      </w:pPr>
      <w:r>
        <w:t>Биологические клапаны менее прочные, чем ме</w:t>
      </w:r>
      <w:r>
        <w:t>ханические, и в течение 10–20 лет возможно развитие дисфункции вследствие стеноза (40%), регургитации (30%) или сочетания стеноза и регургитации (30%). Критерием структурного повреждения клапана считают: 1) повышение среднего градиента ≥10–20 мм рт.ст. в с</w:t>
      </w:r>
      <w:r>
        <w:t>очетании со снижением эффективной площади отверстия и аномалиями морфологии и подвижности; 2) новую или увеличенную трансклапанную регургитацию (EACI). В среднем через 10 лет у 15% пациентов появляются показания к замене биологического клапана.</w:t>
      </w:r>
    </w:p>
    <w:p w:rsidR="008E3F15" w:rsidRDefault="005F449A">
      <w:pPr>
        <w:ind w:left="2" w:right="584"/>
      </w:pPr>
      <w:r>
        <w:t>Перед хирур</w:t>
      </w:r>
      <w:r>
        <w:t>гическим вмешательством рекомендуют консультацию стоматолога в связи с риском инфекционного эндокардита, который в 40% случаев вызывается бактериями полости рта (Carasso S. et al., 2019).</w:t>
      </w:r>
    </w:p>
    <w:p w:rsidR="008E3F15" w:rsidRDefault="005F449A">
      <w:pPr>
        <w:ind w:left="2" w:right="15"/>
      </w:pPr>
      <w:r>
        <w:t>Для профилактики тромбоза механического аортального клапана применяю</w:t>
      </w:r>
      <w:r>
        <w:t>т варфарин [МНО 2,5 (2,0–3,0)], после возникновения тромбоэмболии можно усилить лечение варфарином [МНО 3,0 (2,5–3,5)] и/или добавить АСК 75–100 мг/сут.</w:t>
      </w:r>
    </w:p>
    <w:p w:rsidR="008E3F15" w:rsidRDefault="005F449A">
      <w:pPr>
        <w:ind w:left="2" w:right="134"/>
      </w:pPr>
      <w:r>
        <w:t>У пациентов с механическим клапаном и высоким риском кровотечений можно рассмотреть снижение дозы варфа</w:t>
      </w:r>
      <w:r>
        <w:t>рина до среднего МНО 2,0 и замену на биологический клапан. В случаях имплантации биологического клапана назначают АСК 75–100 мг/сут. Двойная антиагрегантная терапия после транскатетерной имплантации биологического клапана повышает риск кровотечений без уме</w:t>
      </w:r>
      <w:r>
        <w:t xml:space="preserve">ньшения риска тромбоэмболий (Ke Y. et al., 2022). </w:t>
      </w:r>
      <w:r>
        <w:rPr>
          <w:b/>
        </w:rPr>
        <w:t>Транскатетерная имплантация аортального клапана.</w:t>
      </w:r>
      <w:r>
        <w:t xml:space="preserve"> Использование транскатетерной имплантации аортального клапана (SAPIEN, Evolut, МедЛаб-КТ) позволяет избежать хирургии с торакотомией и искусственным кровообр</w:t>
      </w:r>
      <w:r>
        <w:t>ащением. Отдаленные результаты транскатетерной и хирургической замены аортального клапана сопоставимы (</w:t>
      </w:r>
      <w:r>
        <w:rPr>
          <w:b/>
        </w:rPr>
        <w:t>рис. 9.8</w:t>
      </w:r>
      <w:r>
        <w:t>).</w:t>
      </w:r>
    </w:p>
    <w:p w:rsidR="008E3F15" w:rsidRDefault="005F449A">
      <w:pPr>
        <w:spacing w:after="65" w:line="259" w:lineRule="auto"/>
        <w:ind w:left="7" w:right="0" w:firstLine="0"/>
      </w:pPr>
      <w:r>
        <w:rPr>
          <w:noProof/>
        </w:rPr>
        <w:drawing>
          <wp:inline distT="0" distB="0" distL="0" distR="0">
            <wp:extent cx="5057775" cy="1666875"/>
            <wp:effectExtent l="0" t="0" r="0" b="0"/>
            <wp:docPr id="12557" name="Picture 12557"/>
            <wp:cNvGraphicFramePr/>
            <a:graphic xmlns:a="http://schemas.openxmlformats.org/drawingml/2006/main">
              <a:graphicData uri="http://schemas.openxmlformats.org/drawingml/2006/picture">
                <pic:pic xmlns:pic="http://schemas.openxmlformats.org/drawingml/2006/picture">
                  <pic:nvPicPr>
                    <pic:cNvPr id="12557" name="Picture 12557"/>
                    <pic:cNvPicPr/>
                  </pic:nvPicPr>
                  <pic:blipFill>
                    <a:blip r:embed="rId117"/>
                    <a:stretch>
                      <a:fillRect/>
                    </a:stretch>
                  </pic:blipFill>
                  <pic:spPr>
                    <a:xfrm>
                      <a:off x="0" y="0"/>
                      <a:ext cx="5057775" cy="1666875"/>
                    </a:xfrm>
                    <a:prstGeom prst="rect">
                      <a:avLst/>
                    </a:prstGeom>
                  </pic:spPr>
                </pic:pic>
              </a:graphicData>
            </a:graphic>
          </wp:inline>
        </w:drawing>
      </w:r>
    </w:p>
    <w:p w:rsidR="008E3F15" w:rsidRDefault="005F449A">
      <w:pPr>
        <w:ind w:left="2" w:right="15"/>
      </w:pPr>
      <w:r>
        <w:rPr>
          <w:b/>
        </w:rPr>
        <w:t xml:space="preserve">Рис. 9.8. </w:t>
      </w:r>
      <w:r>
        <w:t>Сравнение выживаемости после транскатетерной и хирургической замены аортального клапана у пациентов высокого (слева) и низкого рис</w:t>
      </w:r>
      <w:r>
        <w:t>ка (Ahmad Y. et al., 2023) Транскатетерная замена аортального клапана рекомендована пациентам с повышенным хирургическим риском (EuroSCORE II ≥4%, возраст ≥75 лет, старческая астения, выраженная коморбидность, фарфоровая аорта) или неоперабельным. Вместе с</w:t>
      </w:r>
      <w:r>
        <w:t xml:space="preserve"> тем транскатетерное вмешательство может быть полезным и у пациентов среднего и низкого хирургического риска (PARTNER 2–3; Ibrahim A. et al., 2019).</w:t>
      </w:r>
    </w:p>
    <w:p w:rsidR="008E3F15" w:rsidRDefault="005F449A">
      <w:pPr>
        <w:ind w:left="2" w:right="15"/>
      </w:pPr>
      <w:r>
        <w:t>В ряде стран транскатетерная имплантация биологического клапана используется как метод выбора у пациентов с</w:t>
      </w:r>
      <w:r>
        <w:t xml:space="preserve"> аортальным стенозом старше 65 лет (Sharma T. et al., 2022). Транскатетерная установка аортального клапана используется также при появлении дисфункции ранее имплантированного биологического клапана у пациентов с высоким периоперационным риском и оказалась </w:t>
      </w:r>
      <w:r>
        <w:t>безопаснее хирургии (Giordana F. et al., 2020; Alabcha A. et al., 2021).</w:t>
      </w:r>
    </w:p>
    <w:p w:rsidR="008E3F15" w:rsidRDefault="005F449A">
      <w:pPr>
        <w:spacing w:after="133" w:line="259" w:lineRule="auto"/>
        <w:ind w:left="17" w:right="0"/>
      </w:pPr>
      <w:r>
        <w:rPr>
          <w:i/>
        </w:rPr>
        <w:t>Противопоказания к транскатетерной замене клапана аорты (ESC/EACTS):</w:t>
      </w:r>
    </w:p>
    <w:p w:rsidR="008E3F15" w:rsidRDefault="005F449A">
      <w:pPr>
        <w:ind w:left="347" w:right="3625"/>
      </w:pPr>
      <w:r>
        <w:rPr>
          <w:rFonts w:ascii="Calibri" w:eastAsia="Calibri" w:hAnsi="Calibri" w:cs="Calibri"/>
          <w:noProof/>
          <w:color w:val="000000"/>
          <w:sz w:val="22"/>
        </w:rPr>
        <mc:AlternateContent>
          <mc:Choice Requires="wpg">
            <w:drawing>
              <wp:anchor distT="0" distB="0" distL="114300" distR="114300" simplePos="0" relativeHeight="251813888" behindDoc="0" locked="0" layoutInCell="1" allowOverlap="1">
                <wp:simplePos x="0" y="0"/>
                <wp:positionH relativeFrom="column">
                  <wp:posOffset>214164</wp:posOffset>
                </wp:positionH>
                <wp:positionV relativeFrom="paragraph">
                  <wp:posOffset>34826</wp:posOffset>
                </wp:positionV>
                <wp:extent cx="57150" cy="1123950"/>
                <wp:effectExtent l="0" t="0" r="0" b="0"/>
                <wp:wrapSquare wrapText="bothSides"/>
                <wp:docPr id="295223" name="Group 295223"/>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2573" name="Shape 12573"/>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5938"/>
                                  <a:pt x="3625" y="42863"/>
                                  <a:pt x="2175" y="39390"/>
                                </a:cubicBezTo>
                                <a:cubicBezTo>
                                  <a:pt x="725" y="35917"/>
                                  <a:pt x="0" y="32246"/>
                                  <a:pt x="0" y="28575"/>
                                </a:cubicBezTo>
                                <a:cubicBezTo>
                                  <a:pt x="0" y="247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75" name="Shape 12575"/>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77" name="Shape 12577"/>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479"/>
                                  <a:pt x="39510" y="54967"/>
                                </a:cubicBezTo>
                                <a:cubicBezTo>
                                  <a:pt x="36009" y="56455"/>
                                  <a:pt x="32364" y="57150"/>
                                  <a:pt x="28575" y="57150"/>
                                </a:cubicBezTo>
                                <a:cubicBezTo>
                                  <a:pt x="24786" y="57150"/>
                                  <a:pt x="21141" y="56455"/>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79" name="Shape 12579"/>
                        <wps:cNvSpPr/>
                        <wps:spPr>
                          <a:xfrm>
                            <a:off x="0" y="4572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479"/>
                                  <a:pt x="39510" y="54868"/>
                                </a:cubicBezTo>
                                <a:cubicBezTo>
                                  <a:pt x="36009" y="56455"/>
                                  <a:pt x="32364" y="57150"/>
                                  <a:pt x="28575" y="57150"/>
                                </a:cubicBezTo>
                                <a:cubicBezTo>
                                  <a:pt x="24786" y="57150"/>
                                  <a:pt x="21141" y="56455"/>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81" name="Shape 12581"/>
                        <wps:cNvSpPr/>
                        <wps:spPr>
                          <a:xfrm>
                            <a:off x="0" y="6096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6016"/>
                                  <a:pt x="54975" y="39489"/>
                                </a:cubicBezTo>
                                <a:cubicBezTo>
                                  <a:pt x="53525" y="42962"/>
                                  <a:pt x="51460" y="46038"/>
                                  <a:pt x="48781" y="48716"/>
                                </a:cubicBezTo>
                                <a:cubicBezTo>
                                  <a:pt x="46101" y="51395"/>
                                  <a:pt x="43011" y="53479"/>
                                  <a:pt x="39510" y="54868"/>
                                </a:cubicBezTo>
                                <a:cubicBezTo>
                                  <a:pt x="36009" y="56455"/>
                                  <a:pt x="32364" y="57150"/>
                                  <a:pt x="28575" y="57150"/>
                                </a:cubicBezTo>
                                <a:cubicBezTo>
                                  <a:pt x="24786" y="57150"/>
                                  <a:pt x="21141" y="56455"/>
                                  <a:pt x="17640" y="54967"/>
                                </a:cubicBezTo>
                                <a:cubicBezTo>
                                  <a:pt x="14139" y="53479"/>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83" name="Shape 12583"/>
                        <wps:cNvSpPr/>
                        <wps:spPr>
                          <a:xfrm>
                            <a:off x="0" y="7620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85" name="Shape 12585"/>
                        <wps:cNvSpPr/>
                        <wps:spPr>
                          <a:xfrm>
                            <a:off x="0" y="9144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587" name="Shape 12587"/>
                        <wps:cNvSpPr/>
                        <wps:spPr>
                          <a:xfrm>
                            <a:off x="0" y="10668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5223" style="width:4.5pt;height:88.5pt;position:absolute;mso-position-horizontal-relative:text;mso-position-horizontal:absolute;margin-left:16.8633pt;mso-position-vertical-relative:text;margin-top:2.74219pt;" coordsize="571,11239">
                <v:shape id="Shape 12573" style="position:absolute;width:571;height:571;left:0;top:0;" coordsize="57150,57150" path="m28575,0c32364,0,36009,695,39510,2084c43011,3473,46101,5556,48781,8334c51460,10914,53525,14089,54975,17562c56425,21034,57150,24705,57150,28575c57150,32246,56425,35917,54975,39390c53525,42863,51460,45938,48781,48716c46101,51296,43011,53380,39510,54868c36009,56257,32364,57051,28575,57150c24786,57051,21141,56257,17640,54868c14139,53380,11049,51296,8369,48716c5690,45938,3625,42863,2175,39390c725,35917,0,32246,0,28575c0,24705,725,21034,2175,17562c3625,14089,5690,10914,8369,8334c11049,5556,14139,3473,17640,2084c21141,695,24786,0,28575,0x">
                  <v:stroke weight="0pt" endcap="flat" joinstyle="miter" miterlimit="10" on="false" color="#000000" opacity="0"/>
                  <v:fill on="true" color="#333333"/>
                </v:shape>
                <v:shape id="Shape 12575" style="position:absolute;width:571;height:571;left:0;top:1524;" coordsize="57150,57150" path="m28575,0c32364,0,36009,695,39510,2084c43011,3473,46101,5556,48781,8334c51460,10914,53525,13990,54975,17463c56425,21034,57150,24705,57150,28575c57150,32345,56425,36016,54975,39489c53525,42962,51460,46038,48781,48716c46101,51395,43011,53380,39510,54967c36009,56356,32364,57051,28575,57150c24786,57051,21141,56356,17640,54967c14139,53380,11049,51395,8369,48716c5690,46038,3625,42962,2175,39489c725,35917,0,32345,0,28575c0,24705,725,21034,2175,17463c3625,13990,5690,10914,8369,8334c11049,5556,14139,3473,17640,2084c21141,695,24786,0,28575,0x">
                  <v:stroke weight="0pt" endcap="flat" joinstyle="miter" miterlimit="10" on="false" color="#000000" opacity="0"/>
                  <v:fill on="true" color="#333333"/>
                </v:shape>
                <v:shape id="Shape 12577" style="position:absolute;width:571;height:571;left:0;top:3048;" coordsize="57150,57150" path="m28575,0c32364,0,36009,695,39510,2084c43011,3473,46101,5556,48781,8334c51460,10914,53525,13990,54975,17463c56425,21034,57150,24705,57150,28575c57150,32345,56425,36016,54975,39489c53525,42962,51460,46038,48781,48716c46101,51395,43011,53479,39510,54967c36009,56455,32364,57150,28575,57150c24786,57150,21141,56455,17640,54967c14139,53479,11049,51395,8369,48716c5690,46038,3625,42962,2175,39489c725,35917,0,32345,0,28575c0,24705,725,21034,2175,17463c3625,13990,5690,10914,8369,8334c11049,5556,14139,3473,17640,2084c21141,695,24786,0,28575,0x">
                  <v:stroke weight="0pt" endcap="flat" joinstyle="miter" miterlimit="10" on="false" color="#000000" opacity="0"/>
                  <v:fill on="true" color="#333333"/>
                </v:shape>
                <v:shape id="Shape 12579" style="position:absolute;width:571;height:571;left:0;top:4572;" coordsize="57150,57150" path="m28575,0c32364,0,36009,695,39510,1984c43011,3473,46101,5556,48781,8334c51460,10914,53525,13990,54975,17463c56425,21034,57150,24705,57150,28575c57150,32345,56425,36016,54975,39489c53525,42962,51460,46038,48781,48716c46101,51395,43011,53479,39510,54868c36009,56455,32364,57150,28575,57150c24786,57150,21141,56455,17640,54967c14139,53479,11049,51395,8369,48716c5690,46038,3625,42962,2175,39489c725,35917,0,32345,0,28575c0,24705,725,21034,2175,17463c3625,13990,5690,10914,8369,8334c11049,5556,14139,3473,17640,1984c21141,695,24786,0,28575,0x">
                  <v:stroke weight="0pt" endcap="flat" joinstyle="miter" miterlimit="10" on="false" color="#000000" opacity="0"/>
                  <v:fill on="true" color="#333333"/>
                </v:shape>
                <v:shape id="Shape 12581" style="position:absolute;width:571;height:571;left:0;top:6096;" coordsize="57150,57150" path="m28575,0c32364,0,36009,695,39510,1984c43011,3473,46101,5556,48781,8235c51460,10914,53525,13990,54975,17463c56425,21034,57150,24705,57150,28575c57150,32345,56425,36016,54975,39489c53525,42962,51460,46038,48781,48716c46101,51395,43011,53479,39510,54868c36009,56455,32364,57150,28575,57150c24786,57150,21141,56455,17640,54967c14139,53479,11049,51395,8369,48716c5690,46038,3625,42962,2175,39489c725,35917,0,32345,0,28575c0,24705,725,21034,2175,17463c3625,13990,5690,10914,8369,8235c11049,5556,14139,3473,17640,1984c21141,695,24786,0,28575,0x">
                  <v:stroke weight="0pt" endcap="flat" joinstyle="miter" miterlimit="10" on="false" color="#000000" opacity="0"/>
                  <v:fill on="true" color="#333333"/>
                </v:shape>
                <v:shape id="Shape 12583" style="position:absolute;width:571;height:571;left:0;top:7620;"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69,48716c5690,46038,3625,42863,2175,39390c725,35917,0,32345,0,28575c0,24705,725,21034,2175,17463c3625,13990,5690,10914,8369,8235c11049,5556,14139,3473,17640,1984c21141,695,24786,0,28575,0x">
                  <v:stroke weight="0pt" endcap="flat" joinstyle="miter" miterlimit="10" on="false" color="#000000" opacity="0"/>
                  <v:fill on="true" color="#333333"/>
                </v:shape>
                <v:shape id="Shape 12585" style="position:absolute;width:571;height:571;left:0;top:9144;"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69,48716c5690,46038,3625,42863,2175,39390c725,35917,0,32345,0,28575c0,24705,725,21034,2175,17463c3625,13990,5690,10914,8369,8235c11049,5556,14139,3473,17640,1984c21141,695,24786,0,28575,0x">
                  <v:stroke weight="0pt" endcap="flat" joinstyle="miter" miterlimit="10" on="false" color="#000000" opacity="0"/>
                  <v:fill on="true" color="#333333"/>
                </v:shape>
                <v:shape id="Shape 12587" style="position:absolute;width:571;height:571;left:0;top:10668;"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69,48716c5690,46038,3625,42863,2175,39390c725,35917,0,32345,0,28575c0,24705,725,21034,2175,17463c3625,13990,5690,10914,8369,8235c11049,5556,14139,3473,17640,1984c21141,695,24786,0,28575,0x">
                  <v:stroke weight="0pt" endcap="flat" joinstyle="miter" miterlimit="10" on="false" color="#000000" opacity="0"/>
                  <v:fill on="true" color="#333333"/>
                </v:shape>
                <w10:wrap type="square"/>
              </v:group>
            </w:pict>
          </mc:Fallback>
        </mc:AlternateContent>
      </w:r>
      <w:r>
        <w:t>ожидаемая продолжительность жизни &lt;1 года; активный эндокардит;</w:t>
      </w:r>
    </w:p>
    <w:p w:rsidR="008E3F15" w:rsidRDefault="005F449A">
      <w:pPr>
        <w:ind w:left="347" w:right="2497"/>
      </w:pPr>
      <w:r>
        <w:t>неадекватные размеры клапанного кольца (&lt;18 мм, &gt;</w:t>
      </w:r>
      <w:r>
        <w:t>29 мм); одно- или двустворчатый врожденный аортальный клапан; некальцифицированный клапан;</w:t>
      </w:r>
    </w:p>
    <w:p w:rsidR="008E3F15" w:rsidRDefault="005F449A">
      <w:pPr>
        <w:spacing w:after="179"/>
        <w:ind w:left="347" w:right="1361"/>
      </w:pPr>
      <w:r>
        <w:t>малое расстояние между клапанным кольцом и устьем коронарных артерий; бляшка с мобильным тромбом в восходящей аорте; доминирует выраженная аортальная регургитация.</w:t>
      </w:r>
    </w:p>
    <w:p w:rsidR="008E3F15" w:rsidRDefault="005F449A">
      <w:pPr>
        <w:ind w:left="2" w:right="217"/>
      </w:pPr>
      <w:r>
        <w:t>Транскатетерная (обычно через бедренную артерию) имплантация биологического аортального клапана снизила годовую смертность и частоту госпитализаций у пациентов с высоким хирургическим риском по сравнению с медикаментозным лечением в исследовании PARTNER. П</w:t>
      </w:r>
      <w:r>
        <w:t>ри этом увеличилась частота инсультов, сосудистых осложнений, кровотечений, а также паравальвулярного кровотока, ухудшающего прогноз.</w:t>
      </w:r>
    </w:p>
    <w:p w:rsidR="008E3F15" w:rsidRDefault="005F449A">
      <w:pPr>
        <w:ind w:left="2" w:right="15"/>
      </w:pPr>
      <w:r>
        <w:t>Серьезной проблемой являются постпроцедурные инсульты, встречающиеся чаще при хирургической замене аортального клапана (PA</w:t>
      </w:r>
      <w:r>
        <w:t>RTNER). После транскатетерной замены аортального клапана, по данным диффузно-взвешенной магнитно-резонансной визуализации, у 74% пациентов выявили латентные инфаркты мозга, у 26% — когнитивные нарушения, а у 3% — инсульты с локальным неврологическим дефици</w:t>
      </w:r>
      <w:r>
        <w:t>том (Woldendorp K. et al., 2021).</w:t>
      </w:r>
    </w:p>
    <w:p w:rsidR="008E3F15" w:rsidRDefault="005F449A">
      <w:pPr>
        <w:pStyle w:val="Heading1"/>
        <w:ind w:left="2"/>
      </w:pPr>
      <w:r>
        <w:t>Часть I. Сердечно-сосудистые болезни</w:t>
      </w:r>
    </w:p>
    <w:p w:rsidR="008E3F15" w:rsidRDefault="005F449A">
      <w:pPr>
        <w:ind w:left="2" w:right="15"/>
      </w:pPr>
      <w:r>
        <w:t>В последние годы частота инсультов после транскатетерных вмешательств снижается вследствие улучшения отбора пациентов, использования низкопрофильных катетеров, более оптимальной антикоа</w:t>
      </w:r>
      <w:r>
        <w:t>гуляции и предупреждения ФП, применения защитных устройств. Мониторирование ЭКГ позволяет выявить симптомные и асимптомные бради- и тахиаритмии до вмешательства и появление далеко зашедшей или полной АВ-блокады после.</w:t>
      </w:r>
    </w:p>
    <w:p w:rsidR="008E3F15" w:rsidRDefault="005F449A">
      <w:pPr>
        <w:ind w:left="2" w:right="15"/>
      </w:pPr>
      <w:r>
        <w:t>Использование самораскрывающихся клапа</w:t>
      </w:r>
      <w:r>
        <w:t>нов привело к повышению частоты регургитации (9% против 3%) и острого повреждения почек (3% против 1%) (Lanz J. et al., 2019). У пациентов с тяжелым аортальным стенозом и низким трансклапанным градиентом давления результаты 30-суточной и годовой смертности</w:t>
      </w:r>
      <w:r>
        <w:t xml:space="preserve"> выше (6% против 7,5%, 21% против 29%), чем при высоком (Osman M. et al., 2019).</w:t>
      </w:r>
    </w:p>
    <w:p w:rsidR="008E3F15" w:rsidRDefault="005F449A">
      <w:pPr>
        <w:ind w:left="2" w:right="84"/>
      </w:pPr>
      <w:r>
        <w:t xml:space="preserve">Прослеживается известная закономерность снижения 30-дневной смертности в госпиталях с высоким объемом вмешательств по сравнению с низким — 2,7% против 3,2% (Vemulapalli S. et </w:t>
      </w:r>
      <w:r>
        <w:t>al., 2019).</w:t>
      </w:r>
    </w:p>
    <w:p w:rsidR="008E3F15" w:rsidRDefault="005F449A">
      <w:pPr>
        <w:spacing w:after="359"/>
        <w:ind w:left="2" w:right="15"/>
      </w:pPr>
      <w:r>
        <w:t>По-видимому, самораскрывающиеся клапаны обеспечивают лучшую гемодинамику и более низкий риск повреждения по сравнению с баллон-раскрывающимися клапанами (Ueyama H. et al., 2021).</w:t>
      </w:r>
    </w:p>
    <w:p w:rsidR="008E3F15" w:rsidRDefault="005F449A">
      <w:pPr>
        <w:pStyle w:val="Heading1"/>
        <w:ind w:left="2"/>
      </w:pPr>
      <w:r>
        <w:t>Часть I. Сердечно-сосудистые болезни</w:t>
      </w:r>
    </w:p>
    <w:p w:rsidR="008E3F15" w:rsidRDefault="005F449A">
      <w:pPr>
        <w:spacing w:after="31"/>
        <w:ind w:left="2" w:right="15"/>
      </w:pPr>
      <w:r>
        <w:t>Аортальная регургитация</w:t>
      </w:r>
    </w:p>
    <w:p w:rsidR="008E3F15" w:rsidRDefault="005F449A">
      <w:pPr>
        <w:ind w:left="2" w:right="407"/>
      </w:pPr>
      <w:r>
        <w:rPr>
          <w:b/>
        </w:rPr>
        <w:t xml:space="preserve">Этиология. </w:t>
      </w:r>
      <w:r>
        <w:t>Аортальная регургитация может быть связана с заболеванием как клапана, так и корня аорты. Первичное поражение аортального клапана чаще вызвано дегенерацией и кальцификацией или врожденным двустворчатым клапаном. В последнем случае наряду с дисфу</w:t>
      </w:r>
      <w:r>
        <w:t>нкцией клапана нередко развивается дилатация восходящей аорты.</w:t>
      </w:r>
    </w:p>
    <w:p w:rsidR="008E3F15" w:rsidRDefault="005F449A">
      <w:pPr>
        <w:ind w:left="2" w:right="15"/>
      </w:pPr>
      <w:r>
        <w:t>Возможны инфекционный эндокардит, ревматическая болезнь сердца, а также заболевания, вызывающие расширение восходящей аорты.</w:t>
      </w:r>
    </w:p>
    <w:p w:rsidR="008E3F15" w:rsidRDefault="005F449A">
      <w:pPr>
        <w:ind w:left="2" w:right="165"/>
      </w:pPr>
      <w:r>
        <w:rPr>
          <w:b/>
        </w:rPr>
        <w:t xml:space="preserve">Диагностика. </w:t>
      </w:r>
      <w:r>
        <w:t>Аортальная регургитация проявляется симптомами СН, повы</w:t>
      </w:r>
      <w:r>
        <w:t>шением АДс и снижением АДд, диастолическим шумом на аорте и слева от грудины. Последний обладает низкой чувствительностью — отсутствует у четырех из пяти пациентов с аортальной регургитацией (Jost C. et al., 2000). Лучше выслушивать диастолический шум сидя</w:t>
      </w:r>
      <w:r>
        <w:t xml:space="preserve"> с наклоном вперед с задержкой дыхания на глубоком выдохе. Нередко выявляется систолический шум, проводящийся на сосуды шеи, связанный с увеличением сердечного выброса. Значительно позднее может присоединиться СК, обусловленная несоответствием потребности </w:t>
      </w:r>
      <w:r>
        <w:t>мио карда в кислороде и возможностями коронарного кровотока, нередко ограниченного болезнью крупных или малых коронарных артерий.</w:t>
      </w:r>
    </w:p>
    <w:p w:rsidR="008E3F15" w:rsidRDefault="005F449A">
      <w:pPr>
        <w:ind w:left="2" w:right="417"/>
      </w:pPr>
      <w:r>
        <w:t>Диагноз устанавливается при эхокардиографии, которая позволяет определить этиологию, механизм, тяжесть регургитации, состояние</w:t>
      </w:r>
      <w:r>
        <w:t xml:space="preserve"> восходящей аорты и левого желудочка (</w:t>
      </w:r>
      <w:r>
        <w:rPr>
          <w:b/>
        </w:rPr>
        <w:t>табл. 9.6</w:t>
      </w:r>
      <w:r>
        <w:t>).</w:t>
      </w:r>
    </w:p>
    <w:p w:rsidR="008E3F15" w:rsidRDefault="005F449A">
      <w:pPr>
        <w:spacing w:after="31"/>
        <w:ind w:left="2" w:right="15"/>
      </w:pPr>
      <w:r>
        <w:rPr>
          <w:b/>
        </w:rPr>
        <w:t xml:space="preserve">Таблица 9.6. </w:t>
      </w:r>
      <w:r>
        <w:t>Классификация тяжести аортальной регургитации (EACI, ASE)</w:t>
      </w:r>
    </w:p>
    <w:tbl>
      <w:tblPr>
        <w:tblStyle w:val="TableGrid"/>
        <w:tblW w:w="6285" w:type="dxa"/>
        <w:tblInd w:w="37" w:type="dxa"/>
        <w:tblCellMar>
          <w:top w:w="80" w:type="dxa"/>
          <w:left w:w="40" w:type="dxa"/>
          <w:bottom w:w="15" w:type="dxa"/>
          <w:right w:w="39" w:type="dxa"/>
        </w:tblCellMar>
        <w:tblLook w:val="04A0" w:firstRow="1" w:lastRow="0" w:firstColumn="1" w:lastColumn="0" w:noHBand="0" w:noVBand="1"/>
      </w:tblPr>
      <w:tblGrid>
        <w:gridCol w:w="2925"/>
        <w:gridCol w:w="885"/>
        <w:gridCol w:w="1395"/>
        <w:gridCol w:w="1080"/>
      </w:tblGrid>
      <w:tr w:rsidR="008E3F15">
        <w:trPr>
          <w:trHeight w:val="330"/>
        </w:trPr>
        <w:tc>
          <w:tcPr>
            <w:tcW w:w="292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t xml:space="preserve"> </w:t>
            </w:r>
          </w:p>
        </w:tc>
        <w:tc>
          <w:tcPr>
            <w:tcW w:w="3360" w:type="dxa"/>
            <w:gridSpan w:val="3"/>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
                <w:bdr w:val="single" w:sz="12" w:space="0" w:color="000000"/>
              </w:rPr>
              <w:t>Легкая Умеренная Тяжелая</w:t>
            </w:r>
          </w:p>
        </w:tc>
      </w:tr>
      <w:tr w:rsidR="008E3F15">
        <w:trPr>
          <w:trHeight w:val="330"/>
        </w:trPr>
        <w:tc>
          <w:tcPr>
            <w:tcW w:w="29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Vena contracta</w:t>
            </w:r>
            <w:r>
              <w:t>, мм</w:t>
            </w:r>
          </w:p>
        </w:tc>
        <w:tc>
          <w:tcPr>
            <w:tcW w:w="88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&lt;3</w:t>
            </w:r>
          </w:p>
        </w:tc>
        <w:tc>
          <w:tcPr>
            <w:tcW w:w="13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3–6</w:t>
            </w:r>
          </w:p>
        </w:tc>
        <w:tc>
          <w:tcPr>
            <w:tcW w:w="10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w:t>
            </w:r>
          </w:p>
        </w:tc>
      </w:tr>
      <w:tr w:rsidR="008E3F15">
        <w:trPr>
          <w:trHeight w:val="390"/>
        </w:trPr>
        <w:tc>
          <w:tcPr>
            <w:tcW w:w="2925" w:type="dxa"/>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5" w:right="0" w:firstLine="0"/>
            </w:pPr>
            <w:r>
              <w:t>EROA, мм</w:t>
            </w:r>
            <w:r>
              <w:rPr>
                <w:sz w:val="31"/>
                <w:vertAlign w:val="superscript"/>
              </w:rPr>
              <w:t>2</w:t>
            </w:r>
          </w:p>
        </w:tc>
        <w:tc>
          <w:tcPr>
            <w:tcW w:w="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&lt;10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10–29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w:t>
            </w:r>
          </w:p>
        </w:tc>
      </w:tr>
      <w:tr w:rsidR="008E3F15">
        <w:trPr>
          <w:trHeight w:val="330"/>
        </w:trPr>
        <w:tc>
          <w:tcPr>
            <w:tcW w:w="2925"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pPr>
            <w:r>
              <w:rPr>
                <w:bdr w:val="single" w:sz="12" w:space="0" w:color="000000"/>
              </w:rPr>
              <w:t>Объем регургитации, мл</w:t>
            </w:r>
          </w:p>
          <w:p w:rsidR="008E3F15" w:rsidRDefault="005F449A">
            <w:pPr>
              <w:spacing w:after="0" w:line="259" w:lineRule="auto"/>
              <w:ind w:left="5" w:right="0" w:firstLine="0"/>
              <w:jc w:val="both"/>
            </w:pPr>
            <w:r>
              <w:rPr>
                <w:bdr w:val="single" w:sz="12" w:space="0" w:color="000000"/>
              </w:rPr>
              <w:t>Фракция регургитации, %</w:t>
            </w:r>
          </w:p>
        </w:tc>
        <w:tc>
          <w:tcPr>
            <w:tcW w:w="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&lt;30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30–59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8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&lt;30</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30–49</w:t>
            </w:r>
          </w:p>
        </w:tc>
        <w:tc>
          <w:tcPr>
            <w:tcW w:w="1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w:t>
            </w:r>
          </w:p>
        </w:tc>
      </w:tr>
    </w:tbl>
    <w:p w:rsidR="008E3F15" w:rsidRDefault="005F449A">
      <w:pPr>
        <w:spacing w:after="31"/>
        <w:ind w:left="2" w:right="15"/>
      </w:pPr>
      <w:r>
        <w:rPr>
          <w:b/>
        </w:rPr>
        <w:t>Примечание.</w:t>
      </w:r>
      <w:r>
        <w:t xml:space="preserve"> </w:t>
      </w:r>
      <w:r>
        <w:rPr>
          <w:i/>
        </w:rPr>
        <w:t>v. contracta</w:t>
      </w:r>
      <w:r>
        <w:t xml:space="preserve"> — наименьший диаметр струи с максимальной скоростью</w:t>
      </w:r>
    </w:p>
    <w:p w:rsidR="008E3F15" w:rsidRDefault="005F449A">
      <w:pPr>
        <w:ind w:left="2" w:right="15"/>
      </w:pPr>
      <w:r>
        <w:t>(полуколичественная оценка), EROA — эффективная площадь отверстия регургитации. Тяжесть регургитации оценивают не по площади цветного потока, а с помощью расчета эффективной площади отверстия и объема регургитации по методу PISA, которые тесно связаны с пр</w:t>
      </w:r>
      <w:r>
        <w:t>огнозом заболевания (</w:t>
      </w:r>
      <w:r>
        <w:rPr>
          <w:b/>
        </w:rPr>
        <w:t>рис. 9.9</w:t>
      </w:r>
      <w:r>
        <w:t>).</w:t>
      </w:r>
    </w:p>
    <w:p w:rsidR="008E3F15" w:rsidRDefault="005F449A">
      <w:pPr>
        <w:spacing w:after="65" w:line="259" w:lineRule="auto"/>
        <w:ind w:left="7" w:right="0" w:firstLine="0"/>
      </w:pPr>
      <w:r>
        <w:rPr>
          <w:noProof/>
        </w:rPr>
        <w:drawing>
          <wp:inline distT="0" distB="0" distL="0" distR="0">
            <wp:extent cx="5057775" cy="3362325"/>
            <wp:effectExtent l="0" t="0" r="0" b="0"/>
            <wp:docPr id="12738" name="Picture 12738"/>
            <wp:cNvGraphicFramePr/>
            <a:graphic xmlns:a="http://schemas.openxmlformats.org/drawingml/2006/main">
              <a:graphicData uri="http://schemas.openxmlformats.org/drawingml/2006/picture">
                <pic:pic xmlns:pic="http://schemas.openxmlformats.org/drawingml/2006/picture">
                  <pic:nvPicPr>
                    <pic:cNvPr id="12738" name="Picture 12738"/>
                    <pic:cNvPicPr/>
                  </pic:nvPicPr>
                  <pic:blipFill>
                    <a:blip r:embed="rId118"/>
                    <a:stretch>
                      <a:fillRect/>
                    </a:stretch>
                  </pic:blipFill>
                  <pic:spPr>
                    <a:xfrm>
                      <a:off x="0" y="0"/>
                      <a:ext cx="5057775" cy="3362325"/>
                    </a:xfrm>
                    <a:prstGeom prst="rect">
                      <a:avLst/>
                    </a:prstGeom>
                  </pic:spPr>
                </pic:pic>
              </a:graphicData>
            </a:graphic>
          </wp:inline>
        </w:drawing>
      </w:r>
    </w:p>
    <w:p w:rsidR="008E3F15" w:rsidRDefault="005F449A">
      <w:pPr>
        <w:spacing w:after="31"/>
        <w:ind w:left="2" w:right="15"/>
      </w:pPr>
      <w:r>
        <w:rPr>
          <w:b/>
        </w:rPr>
        <w:t xml:space="preserve">Рис. 9.9. </w:t>
      </w:r>
      <w:r>
        <w:t>Связь выраженности аортальной регургитации с частотой имплантации клапана</w:t>
      </w:r>
    </w:p>
    <w:p w:rsidR="008E3F15" w:rsidRDefault="005F449A">
      <w:pPr>
        <w:spacing w:after="31"/>
        <w:ind w:left="2" w:right="15"/>
      </w:pPr>
      <w:r>
        <w:t>(Detaint D. et al., 2008)</w:t>
      </w:r>
    </w:p>
    <w:p w:rsidR="008E3F15" w:rsidRDefault="005F449A">
      <w:pPr>
        <w:ind w:left="2" w:right="15"/>
      </w:pPr>
      <w:r>
        <w:t>Конечно-диастолический размер левого желудочка тесно коррелирует с прогнозом заболевания. При конечно-диастоличе</w:t>
      </w:r>
      <w:r>
        <w:t>ском диаметре левого желудочка &lt;40 мм состояние пациентов длительно остается стабильным, а при &gt;55 мм повышен риск необратимой дисфункции левого желудочка.</w:t>
      </w:r>
    </w:p>
    <w:p w:rsidR="008E3F15" w:rsidRDefault="005F449A">
      <w:pPr>
        <w:ind w:left="2" w:right="15"/>
      </w:pPr>
      <w:r>
        <w:t>В случае расширения восходящей аорты или увеличения &gt;3 мм показано проведение КТангиографии или магн</w:t>
      </w:r>
      <w:r>
        <w:t>итно-резонансной томографии для уточнения размеров и состояния аорты.</w:t>
      </w:r>
    </w:p>
    <w:p w:rsidR="008E3F15" w:rsidRDefault="005F449A">
      <w:pPr>
        <w:ind w:left="2" w:right="111"/>
      </w:pPr>
      <w:r>
        <w:rPr>
          <w:b/>
        </w:rPr>
        <w:t>Медикаментозное лечение.</w:t>
      </w:r>
      <w:r>
        <w:t xml:space="preserve"> Для снижения объема регургитации предлагают иАПФ/БРА или дигидропиридины. При тяжелой регургитации и у симптомных пациентов с дисфункцией левого желудочка могут быть полезны β-адреноблокаторы (Sampat U. et al., 2009). При застое в легких и отеках использу</w:t>
      </w:r>
      <w:r>
        <w:t>ют диуретики. При невозможности оперативного лечения у симптомных пациентов можно использовать дигоксин, нитраты.</w:t>
      </w:r>
    </w:p>
    <w:p w:rsidR="008E3F15" w:rsidRDefault="005F449A">
      <w:pPr>
        <w:ind w:left="2" w:right="15"/>
      </w:pPr>
      <w:r>
        <w:t>Бензатина бензилпенициллин принимают постоянно в случае ревматической этиологии порока.</w:t>
      </w:r>
    </w:p>
    <w:p w:rsidR="008E3F15" w:rsidRDefault="005F449A">
      <w:pPr>
        <w:spacing w:after="179"/>
        <w:ind w:left="2" w:right="15"/>
      </w:pPr>
      <w:r>
        <w:rPr>
          <w:b/>
        </w:rPr>
        <w:t xml:space="preserve">Хирургическое лечение. </w:t>
      </w:r>
      <w:r>
        <w:t>Для хирургического лечения аортальной регургитации используют следующие показания (ESC).</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14912" behindDoc="0" locked="0" layoutInCell="1" allowOverlap="1">
                <wp:simplePos x="0" y="0"/>
                <wp:positionH relativeFrom="column">
                  <wp:posOffset>214164</wp:posOffset>
                </wp:positionH>
                <wp:positionV relativeFrom="paragraph">
                  <wp:posOffset>34826</wp:posOffset>
                </wp:positionV>
                <wp:extent cx="438150" cy="514350"/>
                <wp:effectExtent l="0" t="0" r="0" b="0"/>
                <wp:wrapSquare wrapText="bothSides"/>
                <wp:docPr id="295888" name="Group 295888"/>
                <wp:cNvGraphicFramePr/>
                <a:graphic xmlns:a="http://schemas.openxmlformats.org/drawingml/2006/main">
                  <a:graphicData uri="http://schemas.microsoft.com/office/word/2010/wordprocessingGroup">
                    <wpg:wgp>
                      <wpg:cNvGrpSpPr/>
                      <wpg:grpSpPr>
                        <a:xfrm>
                          <a:off x="0" y="0"/>
                          <a:ext cx="438150" cy="514350"/>
                          <a:chOff x="0" y="0"/>
                          <a:chExt cx="438150" cy="514350"/>
                        </a:xfrm>
                      </wpg:grpSpPr>
                      <wps:wsp>
                        <wps:cNvPr id="12760" name="Shape 12760"/>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380"/>
                                  <a:pt x="39510" y="54868"/>
                                </a:cubicBezTo>
                                <a:cubicBezTo>
                                  <a:pt x="36009" y="56356"/>
                                  <a:pt x="32364" y="57051"/>
                                  <a:pt x="28575" y="57150"/>
                                </a:cubicBezTo>
                                <a:cubicBezTo>
                                  <a:pt x="24786" y="57051"/>
                                  <a:pt x="21141" y="56356"/>
                                  <a:pt x="17640" y="54967"/>
                                </a:cubicBezTo>
                                <a:cubicBezTo>
                                  <a:pt x="14139" y="53380"/>
                                  <a:pt x="11049" y="51395"/>
                                  <a:pt x="8369"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762" name="Shape 12762"/>
                        <wps:cNvSpPr/>
                        <wps:spPr>
                          <a:xfrm>
                            <a:off x="38100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962"/>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765" name="Shape 12765"/>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0935"/>
                                  <a:pt x="57150" y="24606"/>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356"/>
                                  <a:pt x="32364" y="57051"/>
                                  <a:pt x="28575" y="57150"/>
                                </a:cubicBezTo>
                                <a:cubicBezTo>
                                  <a:pt x="24786" y="57051"/>
                                  <a:pt x="21141" y="56356"/>
                                  <a:pt x="17640" y="54868"/>
                                </a:cubicBezTo>
                                <a:cubicBezTo>
                                  <a:pt x="14139" y="53479"/>
                                  <a:pt x="11049" y="51395"/>
                                  <a:pt x="8370" y="48716"/>
                                </a:cubicBezTo>
                                <a:cubicBezTo>
                                  <a:pt x="5690" y="46038"/>
                                  <a:pt x="3625" y="42863"/>
                                  <a:pt x="2175" y="39390"/>
                                </a:cubicBezTo>
                                <a:cubicBezTo>
                                  <a:pt x="725" y="35917"/>
                                  <a:pt x="0" y="32345"/>
                                  <a:pt x="0" y="28575"/>
                                </a:cubicBezTo>
                                <a:cubicBezTo>
                                  <a:pt x="0" y="24606"/>
                                  <a:pt x="725" y="20935"/>
                                  <a:pt x="2175" y="17463"/>
                                </a:cubicBezTo>
                                <a:cubicBezTo>
                                  <a:pt x="3625" y="13891"/>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5888" style="width:34.5pt;height:40.5pt;position:absolute;mso-position-horizontal-relative:text;mso-position-horizontal:absolute;margin-left:16.8633pt;mso-position-vertical-relative:text;margin-top:2.74219pt;" coordsize="4381,5143">
                <v:shape id="Shape 12760" style="position:absolute;width:571;height:571;left:0;top:0;" coordsize="57150,57150" path="m28575,0c32364,0,36009,794,39510,2183c43011,3572,46101,5556,48781,8235c51460,10914,53525,13990,54975,17463c56425,21034,57150,24705,57150,28575c57150,32345,56425,35917,54975,39489c53525,42962,51460,46038,48781,48716c46101,51395,43011,53380,39510,54868c36009,56356,32364,57051,28575,57150c24786,57051,21141,56356,17640,54967c14139,53380,11049,51395,8369,48716c5690,46038,3625,42962,2175,39489c725,35917,0,32345,0,28575c0,24705,725,21034,2175,17463c3625,13990,5690,10914,8369,8235c11049,5556,14139,3473,17640,2084c21141,695,24786,0,28575,0x">
                  <v:stroke weight="0pt" endcap="flat" joinstyle="miter" miterlimit="10" on="false" color="#000000" opacity="0"/>
                  <v:fill on="true" color="#333333"/>
                </v:shape>
                <v:shape id="Shape 12762" style="position:absolute;width:571;height:571;left:3810;top:1524;" coordsize="57150,57150" path="m28575,0c32364,0,36009,794,39510,2183c43011,3572,46101,5556,48781,8235c51460,10914,53525,13990,54975,17463c56425,21034,57150,24705,57150,28575c57150,32345,56425,35917,54975,39489c53525,42962,51460,46038,48781,48716c46101,51395,43011,53479,39510,54967c36009,56356,32364,57051,28575,57150c24786,57051,21141,56356,17640,54967c14139,53479,11049,51395,8370,48716c5690,46038,3625,42962,2175,39489c725,35917,0,32345,0,28575c0,24705,725,21034,2175,17463c3625,13990,5690,10914,8370,8235c11049,5556,14139,3473,17640,1984c21141,695,24786,0,28575,0x">
                  <v:stroke weight="0pt" endcap="flat" joinstyle="miter" miterlimit="10" on="false" color="#000000" opacity="0"/>
                  <v:fill on="true" color="#333333"/>
                </v:shape>
                <v:shape id="Shape 12765" style="position:absolute;width:571;height:571;left:3810;top:4572;" coordsize="57150,57150" path="m28575,0c32364,0,36009,695,39510,2084c43011,3473,46101,5556,48781,8235c51460,10914,53525,13891,54975,17463c56425,20935,57150,24606,57150,28575c57150,32345,56425,35917,54975,39390c53525,42863,51460,46038,48781,48716c46101,51395,43011,53479,39510,54868c36009,56356,32364,57051,28575,57150c24786,57051,21141,56356,17640,54868c14139,53479,11049,51395,8370,48716c5690,46038,3625,42863,2175,39390c725,35917,0,32345,0,28575c0,24606,725,20935,2175,17463c3625,13891,5690,10914,8370,8235c11049,5556,14139,3473,17640,1984c21141,695,24786,0,28575,0x">
                  <v:stroke weight="0pt" endcap="flat" joinstyle="miter" miterlimit="10" on="false" color="#000000" opacity="0"/>
                  <v:fill on="true" color="#333333"/>
                </v:shape>
                <w10:wrap type="square"/>
              </v:group>
            </w:pict>
          </mc:Fallback>
        </mc:AlternateContent>
      </w:r>
      <w:r>
        <w:rPr>
          <w:i/>
        </w:rPr>
        <w:t>I класс (рекомендуется).</w:t>
      </w:r>
    </w:p>
    <w:p w:rsidR="008E3F15" w:rsidRDefault="005F449A">
      <w:pPr>
        <w:ind w:left="347" w:right="15"/>
      </w:pPr>
      <w:r>
        <w:t>Симптомная тяжелая аортальная регургитация, независимо от функции левого желудочка.</w:t>
      </w:r>
    </w:p>
    <w:p w:rsidR="008E3F15" w:rsidRDefault="005F449A">
      <w:pPr>
        <w:ind w:left="347" w:right="699"/>
      </w:pPr>
      <w:r>
        <w:t xml:space="preserve">Бессимптомная тяжелая аортальная регургитация с конечным </w:t>
      </w:r>
      <w:r>
        <w:t xml:space="preserve">систолическим размером левого желудочка </w:t>
      </w:r>
      <w:r>
        <w:rPr>
          <w:b/>
        </w:rPr>
        <w:t>&gt;</w:t>
      </w:r>
      <w:r>
        <w:t>50 мм (&gt;25 мм/м</w:t>
      </w:r>
      <w:r>
        <w:rPr>
          <w:sz w:val="31"/>
          <w:vertAlign w:val="superscript"/>
        </w:rPr>
        <w:t>2</w:t>
      </w:r>
      <w:r>
        <w:t xml:space="preserve"> у маленьких людей) или ФВЛЖ ≤50%.</w:t>
      </w:r>
    </w:p>
    <w:p w:rsidR="008E3F15" w:rsidRDefault="005F449A">
      <w:pPr>
        <w:ind w:left="947" w:right="15"/>
      </w:pPr>
      <w:r>
        <w:rPr>
          <w:rFonts w:ascii="Calibri" w:eastAsia="Calibri" w:hAnsi="Calibri" w:cs="Calibri"/>
          <w:noProof/>
          <w:color w:val="000000"/>
          <w:sz w:val="22"/>
        </w:rPr>
        <mc:AlternateContent>
          <mc:Choice Requires="wpg">
            <w:drawing>
              <wp:anchor distT="0" distB="0" distL="114300" distR="114300" simplePos="0" relativeHeight="251815936" behindDoc="0" locked="0" layoutInCell="1" allowOverlap="1">
                <wp:simplePos x="0" y="0"/>
                <wp:positionH relativeFrom="column">
                  <wp:posOffset>595164</wp:posOffset>
                </wp:positionH>
                <wp:positionV relativeFrom="paragraph">
                  <wp:posOffset>34826</wp:posOffset>
                </wp:positionV>
                <wp:extent cx="57150" cy="361950"/>
                <wp:effectExtent l="0" t="0" r="0" b="0"/>
                <wp:wrapSquare wrapText="bothSides"/>
                <wp:docPr id="295889" name="Group 295889"/>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2773" name="Shape 12773"/>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246"/>
                                  <a:pt x="56425" y="35917"/>
                                  <a:pt x="54975" y="39390"/>
                                </a:cubicBezTo>
                                <a:cubicBezTo>
                                  <a:pt x="53525" y="42863"/>
                                  <a:pt x="51460" y="459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5938"/>
                                  <a:pt x="3625" y="42863"/>
                                  <a:pt x="2175" y="39390"/>
                                </a:cubicBezTo>
                                <a:cubicBezTo>
                                  <a:pt x="725" y="35917"/>
                                  <a:pt x="0" y="32246"/>
                                  <a:pt x="0" y="28575"/>
                                </a:cubicBezTo>
                                <a:cubicBezTo>
                                  <a:pt x="0" y="247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776" name="Shape 12776"/>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967"/>
                                </a:cubicBezTo>
                                <a:cubicBezTo>
                                  <a:pt x="36009" y="56356"/>
                                  <a:pt x="32364" y="57051"/>
                                  <a:pt x="28575" y="57150"/>
                                </a:cubicBezTo>
                                <a:cubicBezTo>
                                  <a:pt x="24786" y="57051"/>
                                  <a:pt x="21141" y="56356"/>
                                  <a:pt x="17640" y="54967"/>
                                </a:cubicBezTo>
                                <a:cubicBezTo>
                                  <a:pt x="14139" y="53380"/>
                                  <a:pt x="11049" y="51395"/>
                                  <a:pt x="8370" y="48716"/>
                                </a:cubicBezTo>
                                <a:cubicBezTo>
                                  <a:pt x="5690" y="46038"/>
                                  <a:pt x="3625" y="42863"/>
                                  <a:pt x="2175" y="39489"/>
                                </a:cubicBezTo>
                                <a:cubicBezTo>
                                  <a:pt x="725" y="35917"/>
                                  <a:pt x="0" y="32345"/>
                                  <a:pt x="0" y="28575"/>
                                </a:cubicBezTo>
                                <a:cubicBezTo>
                                  <a:pt x="0" y="247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5889" style="width:4.50001pt;height:28.5pt;position:absolute;mso-position-horizontal-relative:text;mso-position-horizontal:absolute;margin-left:46.8633pt;mso-position-vertical-relative:text;margin-top:2.74219pt;" coordsize="571,3619">
                <v:shape id="Shape 12773" style="position:absolute;width:571;height:571;left:0;top:0;" coordsize="57150,57150" path="m28575,0c32364,0,36009,695,39510,2084c43011,3473,46101,5556,48781,8334c51460,10914,53525,14089,54975,17562c56425,21034,57150,24705,57150,28575c57150,32246,56425,35917,54975,39390c53525,42863,51460,45938,48781,48716c46101,51395,43011,53479,39510,54868c36009,56257,32364,57051,28575,57150c24786,57051,21141,56257,17640,54868c14139,53479,11049,51395,8370,48716c5690,45938,3625,42863,2175,39390c725,35917,0,32246,0,28575c0,24705,725,21034,2175,17562c3625,14089,5690,10914,8370,8334c11049,5556,14139,3473,17640,2084c21141,695,24786,0,28575,0x">
                  <v:stroke weight="0pt" endcap="flat" joinstyle="miter" miterlimit="10" on="false" color="#000000" opacity="0"/>
                  <v:fill on="true" color="#333333"/>
                </v:shape>
                <v:shape id="Shape 12776" style="position:absolute;width:571;height:571;left:0;top:3048;" coordsize="57150,57150" path="m28575,0c32364,0,36009,695,39510,2084c43011,3473,46101,5556,48781,8334c51460,10914,53525,14089,54975,17562c56425,21034,57150,24705,57150,28575c57150,32345,56425,35917,54975,39489c53525,42863,51460,46038,48781,48716c46101,51395,43011,53380,39510,54967c36009,56356,32364,57051,28575,57150c24786,57051,21141,56356,17640,54967c14139,53380,11049,51395,8370,48716c5690,46038,3625,42863,2175,39489c725,35917,0,32345,0,28575c0,24705,725,21034,2175,17562c3625,14089,5690,10914,8370,8334c11049,5556,14139,3473,17640,2084c21141,695,24786,0,28575,0x">
                  <v:stroke weight="0pt" endcap="flat" joinstyle="miter" miterlimit="10" on="false" color="#000000" opacity="0"/>
                  <v:fill on="true" color="#333333"/>
                </v:shape>
                <w10:wrap type="square"/>
              </v:group>
            </w:pict>
          </mc:Fallback>
        </mc:AlternateContent>
      </w:r>
      <w:r>
        <w:t>Тяжелая аортальная регургитация при проведении КШ, хирургии восходящей аорты или других клапанов.</w:t>
      </w:r>
    </w:p>
    <w:p w:rsidR="008E3F15" w:rsidRDefault="005F449A">
      <w:pPr>
        <w:ind w:left="947" w:right="100"/>
      </w:pPr>
      <w:r>
        <w:t>Молодые пациенты с дилатацией корня аорты, если клапансохраняющая</w:t>
      </w:r>
      <w:r>
        <w:t xml:space="preserve"> замена аорты выполняется в опытных центрах и ожидается стойкий эффект, независимо от тяжести регургитации.</w:t>
      </w:r>
    </w:p>
    <w:p w:rsidR="008E3F15" w:rsidRDefault="005F449A">
      <w:pPr>
        <w:ind w:left="1207" w:right="743"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5890" name="Group 29589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780" name="Shape 12780"/>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868"/>
                                </a:cubicBezTo>
                                <a:cubicBezTo>
                                  <a:pt x="36009" y="56356"/>
                                  <a:pt x="32364" y="57051"/>
                                  <a:pt x="28575" y="57150"/>
                                </a:cubicBezTo>
                                <a:cubicBezTo>
                                  <a:pt x="24786" y="57051"/>
                                  <a:pt x="21141" y="56356"/>
                                  <a:pt x="17640" y="54868"/>
                                </a:cubicBezTo>
                                <a:cubicBezTo>
                                  <a:pt x="14139" y="53380"/>
                                  <a:pt x="11049" y="51395"/>
                                  <a:pt x="8370"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5890" style="width:4.50001pt;height:4.5pt;mso-position-horizontal-relative:char;mso-position-vertical-relative:line" coordsize="571,571">
                <v:shape id="Shape 12780" style="position:absolute;width:571;height:571;left:0;top:0;" coordsize="57150,57150" path="m28575,0c32364,0,36009,695,39510,1984c43011,3473,46101,5556,48781,8235c51460,10914,53525,13990,54975,17463c56425,21034,57150,24705,57150,28575c57150,32345,56425,35917,54975,39489c53525,42863,51460,46038,48781,48716c46101,51395,43011,53380,39510,54868c36009,56356,32364,57051,28575,57150c24786,57051,21141,56356,17640,54868c14139,53380,11049,51395,8370,48716c5690,46038,3625,42863,2175,39489c725,35917,0,32345,0,28575c0,24705,725,21034,2175,17463c3625,13990,5690,10914,8370,8235c11049,5556,14139,3473,17640,1984c21141,695,24786,0,28575,0x">
                  <v:stroke weight="0pt" endcap="flat" joinstyle="miter" miterlimit="10" on="false" color="#000000" opacity="0"/>
                  <v:fill on="true" color="#333333"/>
                </v:shape>
              </v:group>
            </w:pict>
          </mc:Fallback>
        </mc:AlternateContent>
      </w:r>
      <w:r>
        <w:t xml:space="preserve"> Синдром Марфана с расширением восходящей аорты ≥50 мм, независимо от тяжести регургитации.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16960" behindDoc="1" locked="0" layoutInCell="1" allowOverlap="1">
                <wp:simplePos x="0" y="0"/>
                <wp:positionH relativeFrom="column">
                  <wp:posOffset>214164</wp:posOffset>
                </wp:positionH>
                <wp:positionV relativeFrom="paragraph">
                  <wp:posOffset>34826</wp:posOffset>
                </wp:positionV>
                <wp:extent cx="438150" cy="209550"/>
                <wp:effectExtent l="0" t="0" r="0" b="0"/>
                <wp:wrapNone/>
                <wp:docPr id="295891" name="Group 295891"/>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2783" name="Shape 12783"/>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2785" name="Shape 12785"/>
                        <wps:cNvSpPr/>
                        <wps:spPr>
                          <a:xfrm>
                            <a:off x="381000" y="1524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5891" style="width:34.5pt;height:16.5pt;position:absolute;z-index:-2147483602;mso-position-horizontal-relative:text;mso-position-horizontal:absolute;margin-left:16.8633pt;mso-position-vertical-relative:text;margin-top:2.74219pt;" coordsize="4381,2095">
                <v:shape id="Shape 12783" style="position:absolute;width:571;height:571;left:0;top:0;"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69,48716c5690,46038,3625,42863,2175,39390c725,35917,0,32345,0,28575c0,24705,725,21034,2175,17463c3625,13990,5690,10914,8369,8235c11049,5556,14139,3473,17640,1984c21141,695,24786,0,28575,0x">
                  <v:stroke weight="0pt" endcap="flat" joinstyle="miter" miterlimit="10" on="false" color="#000000" opacity="0"/>
                  <v:fill on="true" color="#333333"/>
                </v:shape>
                <v:shape id="Shape 12785" style="position:absolute;width:571;height:571;left:3810;top:1524;" coordsize="57150,57150" path="m28575,0c32364,0,36009,695,39510,1984c43011,3473,46101,5556,48781,8235c51460,10914,53525,13990,54975,17463c56425,21034,57150,24705,57150,28575c57150,32345,56425,35917,54975,39390c53525,42863,51460,46038,48781,48716c46101,51395,43011,53380,39510,54868c36009,56257,32364,57051,28575,57150c24786,57051,21141,56257,17640,54868c14139,53380,11049,51395,8370,48716c5690,46038,3625,42863,2175,39390c725,35917,0,32345,0,28575c0,24705,725,21034,2175,17463c3625,13990,5690,10914,8370,8235c11049,5556,14139,3473,17640,1984c21141,695,24786,0,28575,0x">
                  <v:stroke weight="0pt" endcap="flat" joinstyle="miter" miterlimit="10" on="false" color="#000000" opacity="0"/>
                  <v:fill on="true" color="#333333"/>
                </v:shape>
              </v:group>
            </w:pict>
          </mc:Fallback>
        </mc:AlternateContent>
      </w:r>
      <w:r>
        <w:rPr>
          <w:i/>
        </w:rPr>
        <w:t>IIa класс (целесообразно).</w:t>
      </w:r>
    </w:p>
    <w:p w:rsidR="008E3F15" w:rsidRDefault="005F449A">
      <w:pPr>
        <w:ind w:left="1217" w:right="15"/>
      </w:pPr>
      <w:r>
        <w:t>Болезнь аорты с диаметром в</w:t>
      </w:r>
      <w:r>
        <w:t>осходящего отдела ≥55 мм у всех пациентов, ≥45 мм при синдроме Марфана с дополнительными факторами риска (семейный анамнез расслоения аорты, выраженная аортальная или митральная регургитация, планируемая беременность, неконтролируемая гипертензия и/или уве</w:t>
      </w:r>
      <w:r>
        <w:t>личение аорты &gt;3 мм/год) или мутацией TGFBR1/TGFBR2, ≥50 мм при двустворчатом клапане с дополнительными факторами или коарктацией.</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5893" name="Group 29589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2792" name="Shape 12792"/>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5893" style="width:4.50001pt;height:4.5pt;mso-position-horizontal-relative:char;mso-position-vertical-relative:line" coordsize="571,571">
                <v:shape id="Shape 12792" style="position:absolute;width:571;height:571;left:0;top:0;" coordsize="57150,57150" path="m28575,0c32364,0,36009,695,39510,2084c43011,3473,46101,5556,48781,8235c51460,10914,53525,13990,54975,17463c56425,21034,57150,24705,57150,28575c57150,32345,56425,35917,54975,39489c53525,42863,51460,45938,48781,48716c46101,51296,43011,53380,39510,54868c36009,56356,32364,57051,28575,57150c24786,57051,21141,56356,17640,54967c14139,53380,11049,51296,8370,48716c5690,45938,3625,42863,2175,39390c725,35917,0,32345,0,28575c0,24705,725,21034,2175,17463c3625,13990,5690,10914,8370,8235c11049,5556,14139,3473,17640,2084c21141,695,24786,0,28575,0x">
                  <v:stroke weight="0pt" endcap="flat" joinstyle="miter" miterlimit="10" on="false" color="#000000" opacity="0"/>
                  <v:fill on="true" color="#333333"/>
                </v:shape>
              </v:group>
            </w:pict>
          </mc:Fallback>
        </mc:AlternateContent>
      </w:r>
      <w:r>
        <w:t xml:space="preserve"> Если показана хирургия клапана, целесообразна замена корня или восходящей аорты при диаметре последней ≥45 мм.</w:t>
      </w:r>
    </w:p>
    <w:p w:rsidR="008E3F15" w:rsidRDefault="005F449A">
      <w:pPr>
        <w:spacing w:after="359"/>
        <w:ind w:left="2" w:right="354"/>
      </w:pPr>
      <w:r>
        <w:t xml:space="preserve">Общая схема </w:t>
      </w:r>
      <w:r>
        <w:t xml:space="preserve">выбора тактики лечения представлена на </w:t>
      </w:r>
      <w:r>
        <w:rPr>
          <w:b/>
        </w:rPr>
        <w:t>рис. 9.10</w:t>
      </w:r>
      <w:r>
        <w:t>. Учитывая значительное повышение периоперационного риска у пациентов с СН III–IV класса по NYHA или ФВЛЖ &lt;50%, целесообразно проводить оперативное лечение на более ранних стадиях заболевания.</w:t>
      </w:r>
    </w:p>
    <w:p w:rsidR="008E3F15" w:rsidRDefault="005F449A">
      <w:pPr>
        <w:pStyle w:val="Heading1"/>
        <w:ind w:left="2"/>
      </w:pPr>
      <w:r>
        <w:t>Часть I. Сердечно-сосудистые болезни</w:t>
      </w:r>
    </w:p>
    <w:p w:rsidR="008E3F15" w:rsidRDefault="005F449A">
      <w:pPr>
        <w:spacing w:after="65" w:line="259" w:lineRule="auto"/>
        <w:ind w:left="7" w:right="0" w:firstLine="0"/>
      </w:pPr>
      <w:r>
        <w:rPr>
          <w:noProof/>
        </w:rPr>
        <w:drawing>
          <wp:inline distT="0" distB="0" distL="0" distR="0">
            <wp:extent cx="5057775" cy="5829300"/>
            <wp:effectExtent l="0" t="0" r="0" b="0"/>
            <wp:docPr id="12816" name="Picture 12816"/>
            <wp:cNvGraphicFramePr/>
            <a:graphic xmlns:a="http://schemas.openxmlformats.org/drawingml/2006/main">
              <a:graphicData uri="http://schemas.openxmlformats.org/drawingml/2006/picture">
                <pic:pic xmlns:pic="http://schemas.openxmlformats.org/drawingml/2006/picture">
                  <pic:nvPicPr>
                    <pic:cNvPr id="12816" name="Picture 12816"/>
                    <pic:cNvPicPr/>
                  </pic:nvPicPr>
                  <pic:blipFill>
                    <a:blip r:embed="rId119"/>
                    <a:stretch>
                      <a:fillRect/>
                    </a:stretch>
                  </pic:blipFill>
                  <pic:spPr>
                    <a:xfrm>
                      <a:off x="0" y="0"/>
                      <a:ext cx="5057775" cy="5829300"/>
                    </a:xfrm>
                    <a:prstGeom prst="rect">
                      <a:avLst/>
                    </a:prstGeom>
                  </pic:spPr>
                </pic:pic>
              </a:graphicData>
            </a:graphic>
          </wp:inline>
        </w:drawing>
      </w:r>
    </w:p>
    <w:p w:rsidR="008E3F15" w:rsidRDefault="005F449A">
      <w:pPr>
        <w:ind w:left="2" w:right="15"/>
      </w:pPr>
      <w:r>
        <w:rPr>
          <w:b/>
        </w:rPr>
        <w:t xml:space="preserve">Рис. 9.10. </w:t>
      </w:r>
      <w:r>
        <w:t>Лечение пациентов с аортальной регургитацией (ESC). КСРЛЖ — конечный систолический размер левого желудочка, ЛЖ — левый желудочек</w:t>
      </w:r>
    </w:p>
    <w:p w:rsidR="008E3F15" w:rsidRDefault="005F449A">
      <w:pPr>
        <w:ind w:left="2" w:right="344"/>
      </w:pPr>
      <w:r>
        <w:t>Бескаркасные аортальные биопротезы с низким трансклапанным градиентом предпоч</w:t>
      </w:r>
      <w:r>
        <w:t xml:space="preserve">тительнее при узком фиброзном кольце и сложнее для имплантации. По данным рандомизированного исследования PERSIST-AVR, замена бескаркасного биопротеза по сравнению с каркасным снизила годовую частоту ССЗ, однако значительно увеличилась частота имплантаций </w:t>
      </w:r>
      <w:r>
        <w:t>кардиостимулятора.</w:t>
      </w:r>
    </w:p>
    <w:p w:rsidR="008E3F15" w:rsidRDefault="005F449A">
      <w:pPr>
        <w:ind w:left="2" w:right="15"/>
      </w:pPr>
      <w:r>
        <w:t>Если аортальная регургитация обусловлена расширением аорты, имплантируется протез аорты с искусственным клапаном и подшиваются коронарные артерии.</w:t>
      </w:r>
    </w:p>
    <w:p w:rsidR="008E3F15" w:rsidRDefault="005F449A">
      <w:pPr>
        <w:ind w:left="2" w:right="15"/>
      </w:pPr>
      <w:r>
        <w:t>Для профилактики тромбоза механического аортального клапана применяют варфарин [МНО 2,5 (2</w:t>
      </w:r>
      <w:r>
        <w:t>,0–3,0)], после возникновения тромбоэмболии можно усилить лечение варфарином [МНО 3,0 (2,5–3,5)] и/или добавить АСК 75–100 мг/сут.</w:t>
      </w:r>
    </w:p>
    <w:p w:rsidR="008E3F15" w:rsidRDefault="005F449A">
      <w:pPr>
        <w:ind w:left="2" w:right="211"/>
      </w:pPr>
      <w:r>
        <w:t>У детей и молодых взрослых при выраженном поражении аортального клапана (чаще двустворчатого) используют процедуру Росса, вкл</w:t>
      </w:r>
      <w:r>
        <w:t>ючающую замену поврежденной аорты с клапаном на аутографт легочной артерии с клапаном. Процедура, выполненная в специализированных хирургических центрах, обеспечивает хороший отдаленный прогноз, не уступающий имплантации искусственного клапана, с выживаемо</w:t>
      </w:r>
      <w:r>
        <w:t>стью в 92 и 80%, потребностью в повторных операциях в 92 и 76% случаев через 10 и 20 лет (Flynn C. et al., 2021).</w:t>
      </w:r>
    </w:p>
    <w:p w:rsidR="008E3F15" w:rsidRDefault="005F449A">
      <w:pPr>
        <w:pStyle w:val="Heading1"/>
        <w:ind w:left="2"/>
      </w:pPr>
      <w:r>
        <w:t>Часть I. Сердечно-сосудистые болезни</w:t>
      </w:r>
    </w:p>
    <w:p w:rsidR="008E3F15" w:rsidRDefault="005F449A">
      <w:pPr>
        <w:spacing w:after="31"/>
        <w:ind w:left="2" w:right="15"/>
      </w:pPr>
      <w:r>
        <w:t>Коморбидность</w:t>
      </w:r>
    </w:p>
    <w:p w:rsidR="008E3F15" w:rsidRDefault="005F449A">
      <w:pPr>
        <w:ind w:left="2" w:right="194"/>
      </w:pPr>
      <w:r>
        <w:rPr>
          <w:b/>
        </w:rPr>
        <w:t>Коронарная болезнь.</w:t>
      </w:r>
      <w:r>
        <w:t xml:space="preserve"> Коронарная ангиография показана у пациентов с болезнью клапанов и анамн</w:t>
      </w:r>
      <w:r>
        <w:t>езом атеросклеротических заболеваний, подозрением на ишемию мио карда, дисфункцией левого желудочка, у мужчин после 40 лет и женщин в менопаузе, при наличии факторов риска ССЗ. Выявление выраженного коронарного стеноза (&gt;70%) позволяет выполнить КШ во врем</w:t>
      </w:r>
      <w:r>
        <w:t>я оперативного лечения аортального или митрального клапанов и улучшить периоперационный и отдаленный прогноз, включая выживаемость. В случае показаний для транскатетерной имплантации аортального клапана может быть целесообразно стентирование проксимального</w:t>
      </w:r>
      <w:r>
        <w:t xml:space="preserve"> стеноза коронарной артерии.</w:t>
      </w:r>
    </w:p>
    <w:p w:rsidR="008E3F15" w:rsidRDefault="005F449A">
      <w:pPr>
        <w:ind w:left="2" w:right="15"/>
      </w:pPr>
      <w:r>
        <w:t>При низкой вероятности коронарной болезни или невозможности выполнения инвазивного теста проводят КТ-ангиографию.</w:t>
      </w:r>
    </w:p>
    <w:p w:rsidR="008E3F15" w:rsidRDefault="005F449A">
      <w:pPr>
        <w:ind w:left="2" w:right="15"/>
      </w:pPr>
      <w:r>
        <w:t>У пациентов с аортальным стенозом и СК только в половине случаев выявляют коронарный атеросклероз, в остальных сл</w:t>
      </w:r>
      <w:r>
        <w:t>учаях причиной считают нарушение баланса между повышенной потребностью мио карда в кислороде и сниженным коронарным резервом, микрососудистые нарушения (Ahn J. et al., 2016).</w:t>
      </w:r>
    </w:p>
    <w:p w:rsidR="008E3F15" w:rsidRDefault="005F449A">
      <w:pPr>
        <w:ind w:left="2" w:right="232"/>
      </w:pPr>
      <w:r>
        <w:rPr>
          <w:b/>
        </w:rPr>
        <w:t>Беременность.</w:t>
      </w:r>
      <w:r>
        <w:t xml:space="preserve"> Оценка риска осложнений у беременных с заболеваниями клапанов сердц</w:t>
      </w:r>
      <w:r>
        <w:t>а зависит от вида заболевания, функции клапанов и желудочков сердца, ФК, легочной гипертензии и других факторов, включая коморбидные болезни. С целью улучшить индивидуальный прогноз разработана шкала рисков ВОЗ, уточненная экспертами ESC (</w:t>
      </w:r>
      <w:r>
        <w:rPr>
          <w:b/>
        </w:rPr>
        <w:t>табл. 9.7</w:t>
      </w:r>
      <w:r>
        <w:t>).</w:t>
      </w:r>
    </w:p>
    <w:p w:rsidR="008E3F15" w:rsidRDefault="005F449A">
      <w:pPr>
        <w:spacing w:after="31"/>
        <w:ind w:left="2" w:right="15"/>
      </w:pPr>
      <w:r>
        <w:rPr>
          <w:b/>
        </w:rPr>
        <w:t>Табли</w:t>
      </w:r>
      <w:r>
        <w:rPr>
          <w:b/>
        </w:rPr>
        <w:t xml:space="preserve">ца 9.7. </w:t>
      </w:r>
      <w:r>
        <w:t>Классификация Всемирной организации здравоохранения сердечно-сосудистых рисков у матери</w:t>
      </w:r>
    </w:p>
    <w:tbl>
      <w:tblPr>
        <w:tblStyle w:val="TableGrid"/>
        <w:tblW w:w="10485" w:type="dxa"/>
        <w:tblInd w:w="37" w:type="dxa"/>
        <w:tblCellMar>
          <w:top w:w="35" w:type="dxa"/>
          <w:left w:w="39" w:type="dxa"/>
          <w:bottom w:w="0" w:type="dxa"/>
          <w:right w:w="51" w:type="dxa"/>
        </w:tblCellMar>
        <w:tblLook w:val="04A0" w:firstRow="1" w:lastRow="0" w:firstColumn="1" w:lastColumn="0" w:noHBand="0" w:noVBand="1"/>
      </w:tblPr>
      <w:tblGrid>
        <w:gridCol w:w="765"/>
        <w:gridCol w:w="8850"/>
        <w:gridCol w:w="870"/>
      </w:tblGrid>
      <w:tr w:rsidR="008E3F15">
        <w:trPr>
          <w:trHeight w:val="57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jc w:val="both"/>
            </w:pPr>
            <w:r>
              <w:rPr>
                <w:b/>
              </w:rPr>
              <w:t>Класс</w:t>
            </w:r>
          </w:p>
        </w:tc>
        <w:tc>
          <w:tcPr>
            <w:tcW w:w="88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Заболевания</w:t>
            </w:r>
          </w:p>
        </w:tc>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rPr>
                <w:b/>
              </w:rPr>
              <w:t>Риск ССЗ, %</w:t>
            </w:r>
          </w:p>
        </w:tc>
      </w:tr>
      <w:tr w:rsidR="008E3F15">
        <w:trPr>
          <w:trHeight w:val="129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w:t>
            </w:r>
          </w:p>
        </w:tc>
        <w:tc>
          <w:tcPr>
            <w:tcW w:w="8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0" w:firstLine="0"/>
            </w:pPr>
            <w:r>
              <w:t>Cлабо или умеренно выраженный: стеноз легочной артерии, открытый артериальный проток, пролапс митрального клапана.</w:t>
            </w:r>
          </w:p>
          <w:p w:rsidR="008E3F15" w:rsidRDefault="005F449A">
            <w:pPr>
              <w:spacing w:after="0" w:line="216" w:lineRule="auto"/>
              <w:ind w:left="0" w:right="0" w:firstLine="0"/>
            </w:pPr>
            <w:r>
              <w:t>Успешно оперированный порок сердца: септальные дефекты, открытый артериальный проток, аномальный дренаж легочных вен.</w:t>
            </w:r>
          </w:p>
          <w:p w:rsidR="008E3F15" w:rsidRDefault="005F449A">
            <w:pPr>
              <w:spacing w:after="0" w:line="259" w:lineRule="auto"/>
              <w:ind w:left="0" w:right="0" w:firstLine="0"/>
            </w:pPr>
            <w:r>
              <w:t>Изолированные предсердные или желудочковые ЭС</w:t>
            </w:r>
          </w:p>
        </w:tc>
        <w:tc>
          <w:tcPr>
            <w:tcW w:w="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2,5–5</w:t>
            </w:r>
          </w:p>
        </w:tc>
      </w:tr>
      <w:tr w:rsidR="008E3F15">
        <w:trPr>
          <w:trHeight w:val="105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II</w:t>
            </w:r>
          </w:p>
        </w:tc>
        <w:tc>
          <w:tcPr>
            <w:tcW w:w="8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Неоперированный септальный дефект.</w:t>
            </w:r>
          </w:p>
          <w:p w:rsidR="008E3F15" w:rsidRDefault="005F449A">
            <w:pPr>
              <w:spacing w:after="0" w:line="259" w:lineRule="auto"/>
              <w:ind w:left="0" w:right="0" w:firstLine="0"/>
            </w:pPr>
            <w:r>
              <w:t>Корригированная тетрада Фалло.</w:t>
            </w:r>
          </w:p>
          <w:p w:rsidR="008E3F15" w:rsidRDefault="005F449A">
            <w:pPr>
              <w:spacing w:after="0" w:line="259" w:lineRule="auto"/>
              <w:ind w:left="0" w:right="0" w:firstLine="0"/>
            </w:pPr>
            <w:r>
              <w:t>Большинство аритмий (наджелудочковые аритмии).</w:t>
            </w:r>
          </w:p>
          <w:p w:rsidR="008E3F15" w:rsidRDefault="005F449A">
            <w:pPr>
              <w:spacing w:after="0" w:line="259" w:lineRule="auto"/>
              <w:ind w:left="0" w:right="0" w:firstLine="0"/>
            </w:pPr>
            <w:r>
              <w:t>Синдром Тернера без аортальной дилатации</w:t>
            </w:r>
          </w:p>
        </w:tc>
        <w:tc>
          <w:tcPr>
            <w:tcW w:w="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6–10</w:t>
            </w:r>
          </w:p>
        </w:tc>
      </w:tr>
      <w:tr w:rsidR="008E3F15">
        <w:trPr>
          <w:trHeight w:val="225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w:t>
            </w:r>
          </w:p>
        </w:tc>
        <w:tc>
          <w:tcPr>
            <w:tcW w:w="8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Легкая дисфункция левого желудочка (ФВЛЖ &gt;45%).</w:t>
            </w:r>
          </w:p>
          <w:p w:rsidR="008E3F15" w:rsidRDefault="005F449A">
            <w:pPr>
              <w:spacing w:after="0" w:line="259" w:lineRule="auto"/>
              <w:ind w:left="0" w:right="0" w:firstLine="0"/>
            </w:pPr>
            <w:r>
              <w:t>Гипертрофическая кардиомиопатия.</w:t>
            </w:r>
          </w:p>
          <w:p w:rsidR="008E3F15" w:rsidRDefault="005F449A">
            <w:pPr>
              <w:spacing w:after="0" w:line="216" w:lineRule="auto"/>
              <w:ind w:left="0" w:right="0" w:firstLine="0"/>
            </w:pPr>
            <w:r>
              <w:t>Заболевание естественных или биологических клапанов, не соответствующее риску I или IV (легкий митральный стеноз, умеренный аортальный стеноз). Синдром Марфана или другие врожденные болезни аорты без аортальной дилатации.</w:t>
            </w:r>
          </w:p>
          <w:p w:rsidR="008E3F15" w:rsidRDefault="005F449A">
            <w:pPr>
              <w:spacing w:after="0" w:line="259" w:lineRule="auto"/>
              <w:ind w:left="0" w:right="0" w:firstLine="0"/>
            </w:pPr>
            <w:r>
              <w:t>Диаметр аорты &lt;45 мм при двустворч</w:t>
            </w:r>
            <w:r>
              <w:t>атом клапане аорты.</w:t>
            </w:r>
          </w:p>
          <w:p w:rsidR="008E3F15" w:rsidRDefault="005F449A">
            <w:pPr>
              <w:spacing w:after="0" w:line="259" w:lineRule="auto"/>
              <w:ind w:left="0" w:right="0" w:firstLine="0"/>
            </w:pPr>
            <w:r>
              <w:t>Оперированная коарктация аорты.</w:t>
            </w:r>
          </w:p>
          <w:p w:rsidR="008E3F15" w:rsidRDefault="005F449A">
            <w:pPr>
              <w:spacing w:after="0" w:line="259" w:lineRule="auto"/>
              <w:ind w:left="0" w:right="0" w:firstLine="0"/>
            </w:pPr>
            <w:r>
              <w:t>Предсердно-желудочковый септальный дефект</w:t>
            </w:r>
          </w:p>
        </w:tc>
        <w:tc>
          <w:tcPr>
            <w:tcW w:w="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10–19</w:t>
            </w:r>
          </w:p>
        </w:tc>
      </w:tr>
      <w:tr w:rsidR="008E3F15">
        <w:trPr>
          <w:trHeight w:val="3750"/>
        </w:trPr>
        <w:tc>
          <w:tcPr>
            <w:tcW w:w="7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III</w:t>
            </w:r>
          </w:p>
        </w:tc>
        <w:tc>
          <w:tcPr>
            <w:tcW w:w="88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Умеренная дисфункция левого желудочка (ФВЛЖ 30–45%).</w:t>
            </w:r>
          </w:p>
          <w:p w:rsidR="008E3F15" w:rsidRDefault="005F449A">
            <w:pPr>
              <w:spacing w:after="0" w:line="216" w:lineRule="auto"/>
              <w:ind w:left="0" w:right="0" w:firstLine="0"/>
            </w:pPr>
            <w:r>
              <w:t>Предшествующая перипартальная кардиомиопатия без остаточной желудочковой дисфункции.</w:t>
            </w:r>
          </w:p>
          <w:p w:rsidR="008E3F15" w:rsidRDefault="005F449A">
            <w:pPr>
              <w:spacing w:after="0" w:line="259" w:lineRule="auto"/>
              <w:ind w:left="0" w:right="0" w:firstLine="0"/>
            </w:pPr>
            <w:r>
              <w:t>Механический клапан.</w:t>
            </w:r>
          </w:p>
          <w:p w:rsidR="008E3F15" w:rsidRDefault="005F449A">
            <w:pPr>
              <w:spacing w:after="0" w:line="259" w:lineRule="auto"/>
              <w:ind w:left="0" w:right="0" w:firstLine="0"/>
            </w:pPr>
            <w:r>
              <w:t>Системный правый желудочек с хорошей или слабо сниженной функцией.</w:t>
            </w:r>
          </w:p>
          <w:p w:rsidR="008E3F15" w:rsidRDefault="005F449A">
            <w:pPr>
              <w:spacing w:after="0" w:line="259" w:lineRule="auto"/>
              <w:ind w:left="0" w:right="0" w:firstLine="0"/>
            </w:pPr>
            <w:r>
              <w:t>Кровообращение Фонтена при хорошем состоянии пациентки и сердца.</w:t>
            </w:r>
          </w:p>
          <w:p w:rsidR="008E3F15" w:rsidRDefault="005F449A">
            <w:pPr>
              <w:spacing w:after="0" w:line="259" w:lineRule="auto"/>
              <w:ind w:left="0" w:right="0" w:firstLine="0"/>
            </w:pPr>
            <w:r>
              <w:t>Неоперированные пороки сердца с цианозом.</w:t>
            </w:r>
          </w:p>
          <w:p w:rsidR="008E3F15" w:rsidRDefault="005F449A">
            <w:pPr>
              <w:spacing w:after="0" w:line="259" w:lineRule="auto"/>
              <w:ind w:left="0" w:right="0" w:firstLine="0"/>
            </w:pPr>
            <w:r>
              <w:t>Другие сложные врожденные пороки сердца.</w:t>
            </w:r>
          </w:p>
          <w:p w:rsidR="008E3F15" w:rsidRDefault="005F449A">
            <w:pPr>
              <w:spacing w:after="0" w:line="259" w:lineRule="auto"/>
              <w:ind w:left="0" w:right="0" w:firstLine="0"/>
            </w:pPr>
            <w:r>
              <w:t>Умеренный митральный стеноз.</w:t>
            </w:r>
          </w:p>
          <w:p w:rsidR="008E3F15" w:rsidRDefault="005F449A">
            <w:pPr>
              <w:spacing w:after="0" w:line="259" w:lineRule="auto"/>
              <w:ind w:left="0" w:right="0" w:firstLine="0"/>
            </w:pPr>
            <w:r>
              <w:t>Выраженный асимптомный аортальный стеноз.</w:t>
            </w:r>
          </w:p>
          <w:p w:rsidR="008E3F15" w:rsidRDefault="005F449A">
            <w:pPr>
              <w:spacing w:after="0" w:line="216" w:lineRule="auto"/>
              <w:ind w:left="0" w:right="412" w:firstLine="0"/>
            </w:pPr>
            <w:r>
              <w:t>Умеренная дилатация аорты (40–45 мм при синдроме Марфана или других врожденных болезнях аорты, 45–50 мм при двустворчатом клапане аорты, синдром Тернера с индексом размера аорты 20–25 м</w:t>
            </w:r>
            <w:r>
              <w:t>м/м</w:t>
            </w:r>
            <w:r>
              <w:rPr>
                <w:sz w:val="31"/>
                <w:vertAlign w:val="superscript"/>
              </w:rPr>
              <w:t>2</w:t>
            </w:r>
            <w:r>
              <w:t>, тетрада Фалло &lt;50 мм).</w:t>
            </w:r>
          </w:p>
          <w:p w:rsidR="008E3F15" w:rsidRDefault="005F449A">
            <w:pPr>
              <w:spacing w:after="0" w:line="259" w:lineRule="auto"/>
              <w:ind w:left="0" w:right="0" w:firstLine="0"/>
            </w:pPr>
            <w:r>
              <w:t>ЖТ</w:t>
            </w:r>
          </w:p>
        </w:tc>
        <w:tc>
          <w:tcPr>
            <w:tcW w:w="8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19–27</w:t>
            </w:r>
          </w:p>
        </w:tc>
      </w:tr>
      <w:tr w:rsidR="008E3F15">
        <w:trPr>
          <w:trHeight w:val="826"/>
        </w:trPr>
        <w:tc>
          <w:tcPr>
            <w:tcW w:w="765" w:type="dxa"/>
            <w:tcBorders>
              <w:top w:val="double" w:sz="6" w:space="0" w:color="000000"/>
              <w:left w:val="double" w:sz="6" w:space="0" w:color="000000"/>
              <w:bottom w:val="nil"/>
              <w:right w:val="double" w:sz="6" w:space="0" w:color="000000"/>
            </w:tcBorders>
          </w:tcPr>
          <w:p w:rsidR="008E3F15" w:rsidRDefault="005F449A">
            <w:pPr>
              <w:spacing w:after="0" w:line="259" w:lineRule="auto"/>
              <w:ind w:left="6" w:right="0" w:firstLine="0"/>
            </w:pPr>
            <w:r>
              <w:t>IV</w:t>
            </w:r>
          </w:p>
        </w:tc>
        <w:tc>
          <w:tcPr>
            <w:tcW w:w="8850" w:type="dxa"/>
            <w:tcBorders>
              <w:top w:val="double" w:sz="6" w:space="0" w:color="000000"/>
              <w:left w:val="double" w:sz="6" w:space="0" w:color="000000"/>
              <w:bottom w:val="nil"/>
              <w:right w:val="double" w:sz="6" w:space="0" w:color="000000"/>
            </w:tcBorders>
          </w:tcPr>
          <w:p w:rsidR="008E3F15" w:rsidRDefault="005F449A">
            <w:pPr>
              <w:spacing w:after="0" w:line="216" w:lineRule="auto"/>
              <w:ind w:left="0" w:right="0" w:firstLine="0"/>
            </w:pPr>
            <w:r>
              <w:t>Легочная артериальная гипертензия (среднее давление &gt;25 мм рт.ст.). Выраженная системная желудочковая дисфункция (ФВЛЖ &lt;30% или NYHA III–</w:t>
            </w:r>
          </w:p>
          <w:p w:rsidR="008E3F15" w:rsidRDefault="005F449A">
            <w:pPr>
              <w:spacing w:after="0" w:line="259" w:lineRule="auto"/>
              <w:ind w:left="0" w:right="0" w:firstLine="0"/>
            </w:pPr>
            <w:r>
              <w:t>IV).</w:t>
            </w:r>
          </w:p>
        </w:tc>
        <w:tc>
          <w:tcPr>
            <w:tcW w:w="870" w:type="dxa"/>
            <w:tcBorders>
              <w:top w:val="double" w:sz="6" w:space="0" w:color="000000"/>
              <w:left w:val="double" w:sz="6" w:space="0" w:color="000000"/>
              <w:bottom w:val="nil"/>
              <w:right w:val="double" w:sz="6" w:space="0" w:color="000000"/>
            </w:tcBorders>
          </w:tcPr>
          <w:p w:rsidR="008E3F15" w:rsidRDefault="005F449A">
            <w:pPr>
              <w:spacing w:after="0" w:line="259" w:lineRule="auto"/>
              <w:ind w:right="0" w:firstLine="0"/>
              <w:jc w:val="both"/>
            </w:pPr>
            <w:r>
              <w:t>40–100</w:t>
            </w:r>
          </w:p>
        </w:tc>
      </w:tr>
      <w:tr w:rsidR="008E3F15">
        <w:trPr>
          <w:trHeight w:val="2985"/>
        </w:trPr>
        <w:tc>
          <w:tcPr>
            <w:tcW w:w="765"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8850" w:type="dxa"/>
            <w:tcBorders>
              <w:top w:val="nil"/>
              <w:left w:val="double" w:sz="6" w:space="0" w:color="000000"/>
              <w:bottom w:val="double" w:sz="6" w:space="0" w:color="000000"/>
              <w:right w:val="double" w:sz="6" w:space="0" w:color="000000"/>
            </w:tcBorders>
          </w:tcPr>
          <w:p w:rsidR="008E3F15" w:rsidRDefault="005F449A">
            <w:pPr>
              <w:spacing w:after="0" w:line="216" w:lineRule="auto"/>
              <w:ind w:left="0" w:right="0" w:firstLine="0"/>
            </w:pPr>
            <w:r>
              <w:t>Предшествующая перипартальная кардиомиопатия с остаточной дисфункцией левого желудочка.</w:t>
            </w:r>
          </w:p>
          <w:p w:rsidR="008E3F15" w:rsidRDefault="005F449A">
            <w:pPr>
              <w:spacing w:after="0" w:line="259" w:lineRule="auto"/>
              <w:ind w:left="0" w:right="0" w:firstLine="0"/>
            </w:pPr>
            <w:r>
              <w:t>Выраженный митральный стеноз.</w:t>
            </w:r>
          </w:p>
          <w:p w:rsidR="008E3F15" w:rsidRDefault="005F449A">
            <w:pPr>
              <w:spacing w:after="0" w:line="259" w:lineRule="auto"/>
              <w:ind w:left="0" w:right="0" w:firstLine="0"/>
            </w:pPr>
            <w:r>
              <w:t>Выраженный симптомный аортальный стеноз.</w:t>
            </w:r>
          </w:p>
          <w:p w:rsidR="008E3F15" w:rsidRDefault="005F449A">
            <w:pPr>
              <w:spacing w:after="0" w:line="216" w:lineRule="auto"/>
              <w:ind w:left="0" w:right="0" w:firstLine="0"/>
            </w:pPr>
            <w:r>
              <w:t>Системный правый желудочек с умеренным или выраженным снижением желудочковой функции.</w:t>
            </w:r>
          </w:p>
          <w:p w:rsidR="008E3F15" w:rsidRDefault="005F449A">
            <w:pPr>
              <w:spacing w:after="0" w:line="216" w:lineRule="auto"/>
              <w:ind w:left="0" w:right="383" w:firstLine="0"/>
            </w:pPr>
            <w:r>
              <w:t xml:space="preserve">Выраженная </w:t>
            </w:r>
            <w:r>
              <w:t>дилатация аорты (&gt;45 мм при синдроме Марфана или других врожденных болезнях аорты, &gt;50 мм при двустворчатом клапане аорты, синдром Тернера с индексом размера аорты &gt;25 мм/м</w:t>
            </w:r>
            <w:r>
              <w:rPr>
                <w:sz w:val="31"/>
                <w:vertAlign w:val="superscript"/>
              </w:rPr>
              <w:t>2</w:t>
            </w:r>
            <w:r>
              <w:t>, тетрада Фалло &gt;50 мм).</w:t>
            </w:r>
          </w:p>
          <w:p w:rsidR="008E3F15" w:rsidRDefault="005F449A">
            <w:pPr>
              <w:spacing w:after="0" w:line="259" w:lineRule="auto"/>
              <w:ind w:left="0" w:right="0" w:firstLine="0"/>
            </w:pPr>
            <w:r>
              <w:t>Выраженная коарктация аорты.</w:t>
            </w:r>
          </w:p>
          <w:p w:rsidR="008E3F15" w:rsidRDefault="005F449A">
            <w:pPr>
              <w:spacing w:after="0" w:line="259" w:lineRule="auto"/>
              <w:ind w:left="0" w:right="0" w:firstLine="0"/>
            </w:pPr>
            <w:r>
              <w:t>Сосудистый синдром Элерса–Дан</w:t>
            </w:r>
            <w:r>
              <w:t>ло</w:t>
            </w:r>
          </w:p>
        </w:tc>
        <w:tc>
          <w:tcPr>
            <w:tcW w:w="870"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bl>
    <w:p w:rsidR="008E3F15" w:rsidRDefault="005F449A">
      <w:pPr>
        <w:spacing w:after="359"/>
        <w:ind w:left="2" w:right="1003"/>
      </w:pPr>
      <w:r>
        <w:t>Риски должны оцениваться при каждом посещении беременной врача. У пациенток с IV степенью риска беременность противопоказана.</w:t>
      </w:r>
    </w:p>
    <w:p w:rsidR="008E3F15" w:rsidRDefault="005F449A">
      <w:pPr>
        <w:pStyle w:val="Heading1"/>
        <w:ind w:left="2"/>
      </w:pPr>
      <w:r>
        <w:t>Часть I. Сердечно-сосудистые болезни</w:t>
      </w:r>
    </w:p>
    <w:p w:rsidR="008E3F15" w:rsidRDefault="005F449A">
      <w:pPr>
        <w:spacing w:after="179"/>
        <w:ind w:left="2" w:right="4918"/>
      </w:pPr>
      <w:r>
        <w:t xml:space="preserve">Глава 10. Инфекционный эндокардит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17984" behindDoc="0" locked="0" layoutInCell="1" allowOverlap="1">
                <wp:simplePos x="0" y="0"/>
                <wp:positionH relativeFrom="column">
                  <wp:posOffset>214164</wp:posOffset>
                </wp:positionH>
                <wp:positionV relativeFrom="paragraph">
                  <wp:posOffset>34826</wp:posOffset>
                </wp:positionV>
                <wp:extent cx="57150" cy="1123950"/>
                <wp:effectExtent l="0" t="0" r="0" b="0"/>
                <wp:wrapSquare wrapText="bothSides"/>
                <wp:docPr id="297669" name="Group 297669"/>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3007" name="Shape 13007"/>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6038"/>
                                  <a:pt x="48781" y="48716"/>
                                </a:cubicBezTo>
                                <a:cubicBezTo>
                                  <a:pt x="46101" y="51395"/>
                                  <a:pt x="43011" y="53380"/>
                                  <a:pt x="39510" y="54868"/>
                                </a:cubicBezTo>
                                <a:cubicBezTo>
                                  <a:pt x="36009" y="56356"/>
                                  <a:pt x="32364" y="57051"/>
                                  <a:pt x="28575" y="57150"/>
                                </a:cubicBezTo>
                                <a:cubicBezTo>
                                  <a:pt x="24786" y="57051"/>
                                  <a:pt x="21141" y="56356"/>
                                  <a:pt x="17640" y="54868"/>
                                </a:cubicBezTo>
                                <a:cubicBezTo>
                                  <a:pt x="14139" y="53380"/>
                                  <a:pt x="11049" y="51395"/>
                                  <a:pt x="8369" y="48716"/>
                                </a:cubicBezTo>
                                <a:cubicBezTo>
                                  <a:pt x="5690" y="46038"/>
                                  <a:pt x="3625" y="42863"/>
                                  <a:pt x="2175" y="39489"/>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09" name="Shape 13009"/>
                        <wps:cNvSpPr/>
                        <wps:spPr>
                          <a:xfrm>
                            <a:off x="0" y="1524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356"/>
                                  <a:pt x="32364" y="57051"/>
                                  <a:pt x="28575" y="57150"/>
                                </a:cubicBezTo>
                                <a:cubicBezTo>
                                  <a:pt x="24786" y="57051"/>
                                  <a:pt x="21141" y="56356"/>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11" name="Shape 13011"/>
                        <wps:cNvSpPr/>
                        <wps:spPr>
                          <a:xfrm>
                            <a:off x="0" y="3048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13" name="Shape 13013"/>
                        <wps:cNvSpPr/>
                        <wps:spPr>
                          <a:xfrm>
                            <a:off x="0" y="4572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15" name="Shape 13015"/>
                        <wps:cNvSpPr/>
                        <wps:spPr>
                          <a:xfrm>
                            <a:off x="0" y="6096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17" name="Shape 13017"/>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19" name="Shape 13019"/>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21" name="Shape 13021"/>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669" style="width:4.5pt;height:88.5pt;position:absolute;mso-position-horizontal-relative:text;mso-position-horizontal:absolute;margin-left:16.8633pt;mso-position-vertical-relative:text;margin-top:2.74219pt;" coordsize="571,11239">
                <v:shape id="Shape 13007" style="position:absolute;width:571;height:571;left:0;top:0;" coordsize="57150,57150" path="m28575,0c32364,0,36009,695,39510,1984c43011,3473,46101,5556,48781,8334c51460,10914,53525,13990,54975,17463c56425,21034,57150,24705,57150,28575c57150,32345,56425,35917,54975,39489c53525,42863,51460,46038,48781,48716c46101,51395,43011,53380,39510,54868c36009,56356,32364,57051,28575,57150c24786,57051,21141,56356,17640,54868c14139,53380,11049,51395,8369,48716c5690,46038,3625,42863,2175,39489c725,35917,0,32345,0,28575c0,24705,725,21034,2175,17463c3625,13990,5690,10914,8369,8334c11049,5556,14139,3473,17640,1984c21141,695,24786,0,28575,0x">
                  <v:stroke weight="0pt" endcap="flat" joinstyle="miter" miterlimit="10" on="false" color="#000000" opacity="0"/>
                  <v:fill on="true" color="#333333"/>
                </v:shape>
                <v:shape id="Shape 13009" style="position:absolute;width:571;height:571;left:0;top:1524;" coordsize="57150,57150" path="m28575,0c32364,0,36009,695,39510,1984c43011,3473,46101,5556,48781,8334c51460,10914,53525,13990,54975,17463c56425,21034,57150,24705,57150,28575c57150,32345,56425,35917,54975,39291c53525,42763,51460,45938,48781,48716c46101,51296,43011,53380,39510,54769c36009,56356,32364,57051,28575,57150c24786,57051,21141,56356,17640,54769c14139,53380,11049,51296,8369,48716c5690,45938,3625,42763,2175,39291c725,35917,0,32345,0,28575c0,24705,725,21034,2175,17463c3625,13990,5690,10914,8369,8334c11049,5556,14139,3473,17640,1984c21141,695,24786,0,28575,0x">
                  <v:stroke weight="0pt" endcap="flat" joinstyle="miter" miterlimit="10" on="false" color="#000000" opacity="0"/>
                  <v:fill on="true" color="#333333"/>
                </v:shape>
                <v:shape id="Shape 13011" style="position:absolute;width:571;height:571;left:0;top:3048;" coordsize="57150,57150" path="m28575,0c32364,0,36009,695,39510,19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1984c21141,695,24786,0,28575,0x">
                  <v:stroke weight="0pt" endcap="flat" joinstyle="miter" miterlimit="10" on="false" color="#000000" opacity="0"/>
                  <v:fill on="true" color="#333333"/>
                </v:shape>
                <v:shape id="Shape 13013" style="position:absolute;width:571;height:571;left:0;top:4572;" coordsize="57150,57150" path="m28575,0c32364,0,36009,695,39510,19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1984c21141,695,24786,0,28575,0x">
                  <v:stroke weight="0pt" endcap="flat" joinstyle="miter" miterlimit="10" on="false" color="#000000" opacity="0"/>
                  <v:fill on="true" color="#333333"/>
                </v:shape>
                <v:shape id="Shape 13015" style="position:absolute;width:571;height:571;left:0;top:6096;" coordsize="57150,57150" path="m28575,0c32364,0,36009,695,39510,19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1984c21141,695,24786,0,28575,0x">
                  <v:stroke weight="0pt" endcap="flat" joinstyle="miter" miterlimit="10" on="false" color="#000000" opacity="0"/>
                  <v:fill on="true" color="#333333"/>
                </v:shape>
                <v:shape id="Shape 13017" style="position:absolute;width:571;height:571;left:0;top:7620;" coordsize="57150,57150" path="m28575,0c32364,0,36009,695,39510,2084c43011,3473,46101,5556,48781,8334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334c11049,5556,14139,3473,17640,2084c21141,695,24786,0,28575,0x">
                  <v:stroke weight="0pt" endcap="flat" joinstyle="miter" miterlimit="10" on="false" color="#000000" opacity="0"/>
                  <v:fill on="true" color="#333333"/>
                </v:shape>
                <v:shape id="Shape 13019" style="position:absolute;width:571;height:571;left:0;top:9144;" coordsize="57150,57150" path="m28575,0c32364,0,36009,695,39510,2084c43011,3473,46101,5556,48781,8334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334c11049,5556,14139,3473,17640,2084c21141,695,24786,0,28575,0x">
                  <v:stroke weight="0pt" endcap="flat" joinstyle="miter" miterlimit="10" on="false" color="#000000" opacity="0"/>
                  <v:fill on="true" color="#333333"/>
                </v:shape>
                <v:shape id="Shape 13021" style="position:absolute;width:571;height:571;left:0;top:10668;" coordsize="57150,57150" path="m28575,0c32364,0,36009,695,39510,2084c43011,3473,46101,5556,48781,8334c51460,10914,53525,13990,54975,17463c56425,21034,57150,24705,57150,28575c57150,32345,56425,35917,54975,39489c53525,42962,51460,46038,48781,48716c46101,51395,43011,53479,39510,54868c36009,56356,32364,57051,28575,57150c24786,57051,21141,56356,17640,54967c14139,53479,11049,51395,8369,48716c5690,46038,3625,42863,2175,39390c725,35917,0,32345,0,28575c0,24705,725,21034,2175,17463c3625,13990,5690,10914,8369,8334c11049,5556,14139,3473,17640,2084c21141,695,24786,0,28575,0x">
                  <v:stroke weight="0pt" endcap="flat" joinstyle="miter" miterlimit="10" on="false" color="#000000" opacity="0"/>
                  <v:fill on="true" color="#333333"/>
                </v:shape>
                <w10:wrap type="square"/>
              </v:group>
            </w:pict>
          </mc:Fallback>
        </mc:AlternateContent>
      </w:r>
      <w:r>
        <w:t>Трансторакальная эхокардиография.</w:t>
      </w:r>
    </w:p>
    <w:p w:rsidR="008E3F15" w:rsidRDefault="005F449A">
      <w:pPr>
        <w:spacing w:after="31"/>
        <w:ind w:left="347" w:right="15"/>
      </w:pPr>
      <w:r>
        <w:t>Чреспищеводная эхокардиография.</w:t>
      </w:r>
    </w:p>
    <w:p w:rsidR="008E3F15" w:rsidRDefault="005F449A">
      <w:pPr>
        <w:spacing w:after="31"/>
        <w:ind w:left="347" w:right="15"/>
      </w:pPr>
      <w:r>
        <w:t>КТ сердца.</w:t>
      </w:r>
    </w:p>
    <w:p w:rsidR="008E3F15" w:rsidRDefault="005F449A">
      <w:pPr>
        <w:spacing w:after="31"/>
        <w:ind w:left="347" w:right="15"/>
      </w:pPr>
      <w:r>
        <w:t>МРТ, КТ, ПЭТ/КТ, WBC SPECT.</w:t>
      </w:r>
    </w:p>
    <w:p w:rsidR="008E3F15" w:rsidRDefault="005F449A">
      <w:pPr>
        <w:spacing w:after="31"/>
        <w:ind w:left="347" w:right="15"/>
      </w:pPr>
      <w:r>
        <w:t>Анализ крови.</w:t>
      </w:r>
    </w:p>
    <w:p w:rsidR="008E3F15" w:rsidRDefault="005F449A">
      <w:pPr>
        <w:spacing w:after="31"/>
        <w:ind w:left="347" w:right="15"/>
      </w:pPr>
      <w:r>
        <w:t>Посевы крови.</w:t>
      </w:r>
    </w:p>
    <w:p w:rsidR="008E3F15" w:rsidRDefault="005F449A">
      <w:pPr>
        <w:spacing w:after="31"/>
        <w:ind w:left="347" w:right="15"/>
      </w:pPr>
      <w:r>
        <w:t>Консультация стоматолога.</w:t>
      </w:r>
    </w:p>
    <w:p w:rsidR="008E3F15" w:rsidRDefault="005F449A">
      <w:pPr>
        <w:spacing w:after="165"/>
        <w:ind w:left="347" w:right="15"/>
      </w:pPr>
      <w:r>
        <w:t>Полимеразная цепная реакция крови.</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19008" behindDoc="0" locked="0" layoutInCell="1" allowOverlap="1">
                <wp:simplePos x="0" y="0"/>
                <wp:positionH relativeFrom="column">
                  <wp:posOffset>214164</wp:posOffset>
                </wp:positionH>
                <wp:positionV relativeFrom="paragraph">
                  <wp:posOffset>34826</wp:posOffset>
                </wp:positionV>
                <wp:extent cx="57150" cy="209550"/>
                <wp:effectExtent l="0" t="0" r="0" b="0"/>
                <wp:wrapSquare wrapText="bothSides"/>
                <wp:docPr id="297670" name="Group 297670"/>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13024" name="Shape 13024"/>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606"/>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606"/>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26" name="Shape 1302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606"/>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606"/>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670" style="width:4.5pt;height:16.5pt;position:absolute;mso-position-horizontal-relative:text;mso-position-horizontal:absolute;margin-left:16.8633pt;mso-position-vertical-relative:text;margin-top:2.74219pt;" coordsize="571,2095">
                <v:shape id="Shape 13024" style="position:absolute;width:571;height:571;left:0;top:0;" coordsize="57150,57150" path="m28575,0c32364,0,36009,695,39510,2084c43011,3473,46101,5556,48781,8235c51460,10914,53525,13990,54975,17463c56425,21034,57150,24606,57150,28575c57150,32345,56425,35917,54975,39489c53525,42962,51460,46038,48781,48716c46101,51395,43011,53479,39510,54868c36009,56356,32364,57051,28575,57150c24786,57051,21141,56356,17640,54967c14139,53479,11049,51395,8369,48716c5690,46038,3625,42863,2175,39390c725,35917,0,32345,0,28575c0,24606,725,21034,2175,17463c3625,13990,5690,10914,8369,8235c11049,5556,14139,3473,17640,2084c21141,695,24786,0,28575,0x">
                  <v:stroke weight="0pt" endcap="flat" joinstyle="miter" miterlimit="10" on="false" color="#000000" opacity="0"/>
                  <v:fill on="true" color="#333333"/>
                </v:shape>
                <v:shape id="Shape 13026" style="position:absolute;width:571;height:571;left:0;top:1524;" coordsize="57150,57150" path="m28575,0c32364,0,36009,695,39510,2084c43011,3473,46101,5556,48781,8235c51460,10914,53525,13990,54975,17463c56425,21034,57150,24606,57150,28575c57150,32345,56425,35917,54975,39489c53525,42962,51460,46038,48781,48716c46101,51395,43011,53479,39510,54868c36009,56356,32364,57051,28575,57150c24786,57051,21141,56356,17640,54967c14139,53479,11049,51395,8369,48716c5690,46038,3625,42863,2175,39390c725,35917,0,32345,0,28575c0,24606,725,21034,2175,17463c3625,13990,5690,10914,8369,8235c11049,5556,14139,3473,17640,2084c21141,695,24786,0,28575,0x">
                  <v:stroke weight="0pt" endcap="flat" joinstyle="miter" miterlimit="10" on="false" color="#000000" opacity="0"/>
                  <v:fill on="true" color="#333333"/>
                </v:shape>
                <w10:wrap type="square"/>
              </v:group>
            </w:pict>
          </mc:Fallback>
        </mc:AlternateContent>
      </w:r>
      <w:r>
        <w:t>Антибиотики.</w:t>
      </w:r>
    </w:p>
    <w:p w:rsidR="008E3F15" w:rsidRDefault="005F449A">
      <w:pPr>
        <w:spacing w:after="165"/>
        <w:ind w:left="347" w:right="15"/>
      </w:pPr>
      <w:r>
        <w:t>Хирургия клапанов сердца, инфицированных тканей.</w:t>
      </w:r>
    </w:p>
    <w:p w:rsidR="008E3F15" w:rsidRDefault="005F449A">
      <w:pPr>
        <w:spacing w:after="359"/>
        <w:ind w:left="2" w:right="15"/>
      </w:pPr>
      <w:r>
        <w:t>Инфекционный эндокардит представляет собой внутрисосудистую инфекцию сердечнососудистых структур (клапанов, эндокарда предсердий и желудочков), включая эндартериит крупных внутригрудных сосудов, или внутрисердечных инородных тел (искусственных клапанов, эл</w:t>
      </w:r>
      <w:r>
        <w:t>ектродов кардиостимулятора), соприкасающихся с кровотоком (ESC).</w:t>
      </w:r>
    </w:p>
    <w:p w:rsidR="008E3F15" w:rsidRDefault="005F449A">
      <w:pPr>
        <w:pStyle w:val="Heading1"/>
        <w:ind w:left="2"/>
      </w:pPr>
      <w:r>
        <w:t>Часть I. Сердечно-сосудистые болезни</w:t>
      </w:r>
    </w:p>
    <w:p w:rsidR="008E3F15" w:rsidRDefault="005F449A">
      <w:pPr>
        <w:spacing w:after="31"/>
        <w:ind w:left="2" w:right="15"/>
      </w:pPr>
      <w:r>
        <w:t>Причины и факторы риска</w:t>
      </w:r>
    </w:p>
    <w:p w:rsidR="008E3F15" w:rsidRDefault="005F449A">
      <w:pPr>
        <w:spacing w:after="179"/>
        <w:ind w:left="2" w:right="15"/>
      </w:pPr>
      <w:r>
        <w:t>Инфекционный эндокардит чаще вызывается грамположительными бактериями, реже — другими возбудителями: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20032" behindDoc="0" locked="0" layoutInCell="1" allowOverlap="1">
                <wp:simplePos x="0" y="0"/>
                <wp:positionH relativeFrom="column">
                  <wp:posOffset>214164</wp:posOffset>
                </wp:positionH>
                <wp:positionV relativeFrom="paragraph">
                  <wp:posOffset>34824</wp:posOffset>
                </wp:positionV>
                <wp:extent cx="57150" cy="361950"/>
                <wp:effectExtent l="0" t="0" r="0" b="0"/>
                <wp:wrapSquare wrapText="bothSides"/>
                <wp:docPr id="297671" name="Group 29767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036" name="Shape 1303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41" name="Shape 13041"/>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046" name="Shape 13046"/>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671" style="width:4.5pt;height:28.5pt;position:absolute;mso-position-horizontal-relative:text;mso-position-horizontal:absolute;margin-left:16.8633pt;mso-position-vertical-relative:text;margin-top:2.74207pt;" coordsize="571,3619">
                <v:shape id="Shape 13036" style="position:absolute;width:571;height:571;left:0;top:0;"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10" on="false" color="#000000" opacity="0"/>
                  <v:fill on="true" color="#333333"/>
                </v:shape>
                <v:shape id="Shape 13041" style="position:absolute;width:571;height:571;left:0;top:1524;" coordsize="57150,57150" path="m28575,0c32364,0,36009,695,39510,2084c43011,3473,46101,5556,48781,8334c51460,10914,53525,14089,54975,17562c56425,21034,57150,24805,57150,28575c57150,32246,56425,35917,54975,39390c53525,42863,51460,46038,48781,48716c46101,51296,43011,53380,39510,54868c36009,56257,32364,57051,28575,57150c24786,57051,21141,56257,17640,54868c14139,53380,11049,51296,8369,48716c5690,46038,3625,42863,2175,39390c725,35917,0,32246,0,28575c0,24805,725,21034,2175,17562c3625,14089,5690,10914,8369,8334c11049,5556,14139,3473,17640,2084c21141,695,24786,0,28575,0x">
                  <v:stroke weight="0pt" endcap="flat" joinstyle="miter" miterlimit="10" on="false" color="#000000" opacity="0"/>
                  <v:fill on="true" color="#333333"/>
                </v:shape>
                <v:shape id="Shape 13046" style="position:absolute;width:571;height:571;left:0;top:3048;"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69,48716c5690,46038,3625,42863,2175,39390c725,35917,0,32246,0,28575c0,24805,725,21034,2175,17562c3625,14089,5690,10914,8369,8334c11049,5556,14139,3473,17640,2084c21141,695,24786,0,28575,0x">
                  <v:stroke weight="0pt" endcap="flat" joinstyle="miter" miterlimit="10" on="false" color="#000000" opacity="0"/>
                  <v:fill on="true" color="#333333"/>
                </v:shape>
                <w10:wrap type="square"/>
              </v:group>
            </w:pict>
          </mc:Fallback>
        </mc:AlternateContent>
      </w:r>
      <w:r>
        <w:rPr>
          <w:i/>
        </w:rPr>
        <w:t>Oral streptococci</w:t>
      </w:r>
      <w:r>
        <w:t xml:space="preserve"> (</w:t>
      </w:r>
      <w:r>
        <w:rPr>
          <w:i/>
        </w:rPr>
        <w:t>viridans</w:t>
      </w:r>
      <w:r>
        <w:t>)</w:t>
      </w:r>
      <w:r>
        <w:t>;</w:t>
      </w:r>
    </w:p>
    <w:p w:rsidR="008E3F15" w:rsidRDefault="005F449A">
      <w:pPr>
        <w:spacing w:after="179"/>
        <w:ind w:left="347" w:right="2439"/>
      </w:pPr>
      <w:r>
        <w:rPr>
          <w:i/>
        </w:rPr>
        <w:t>Staphylococcus aureus</w:t>
      </w:r>
      <w:r>
        <w:t xml:space="preserve">, коагулазонегативные </w:t>
      </w:r>
      <w:r>
        <w:rPr>
          <w:i/>
        </w:rPr>
        <w:t>staphylococci</w:t>
      </w:r>
      <w:r>
        <w:t xml:space="preserve">; </w:t>
      </w:r>
      <w:r>
        <w:rPr>
          <w:i/>
        </w:rPr>
        <w:t>Enterococci</w:t>
      </w:r>
      <w:r>
        <w:t>, HASEK группа, грибы, культурально-негативный.</w:t>
      </w:r>
    </w:p>
    <w:p w:rsidR="008E3F15" w:rsidRDefault="005F449A">
      <w:pPr>
        <w:ind w:left="2" w:right="1584"/>
      </w:pPr>
      <w:r>
        <w:t>По данным исследования ICE-PCS, инфекционный эндокардит чаще развивается на естественных клапанах (72%), реже — на искусственных клапанах</w:t>
      </w:r>
      <w:r>
        <w:t xml:space="preserve"> (21%) и имплантированных устройствах (7%).</w:t>
      </w:r>
    </w:p>
    <w:p w:rsidR="008E3F15" w:rsidRDefault="005F449A">
      <w:pPr>
        <w:ind w:left="2" w:right="15"/>
      </w:pPr>
      <w:r>
        <w:t>Среди клапанных аномалий чаще инфекционный эндокардит развивается при регургитации (особенно митральной), чем стенотических повреждениях.</w:t>
      </w:r>
    </w:p>
    <w:p w:rsidR="008E3F15" w:rsidRDefault="005F449A">
      <w:pPr>
        <w:spacing w:after="359"/>
        <w:ind w:left="2" w:right="15"/>
      </w:pPr>
      <w:r>
        <w:t>Врожденные аномалии, предрасполагающие к инфекционному заболеванию, включа</w:t>
      </w:r>
      <w:r>
        <w:t>ют некорригированные септальные (чаще желудочковые) дефекты, двустворчатый аортальный клапан, обструкцию выходных трактов желудочков, шунты с турбулентным кровотоком.</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spacing w:after="179"/>
        <w:ind w:left="2" w:right="15"/>
      </w:pPr>
      <w:r>
        <w:t>Наряду с возбудителем инфекционный энд</w:t>
      </w:r>
      <w:r>
        <w:t>окардит классифицируют по следующим основаниям.</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21056" behindDoc="0" locked="0" layoutInCell="1" allowOverlap="1">
                <wp:simplePos x="0" y="0"/>
                <wp:positionH relativeFrom="column">
                  <wp:posOffset>214164</wp:posOffset>
                </wp:positionH>
                <wp:positionV relativeFrom="paragraph">
                  <wp:posOffset>34826</wp:posOffset>
                </wp:positionV>
                <wp:extent cx="438150" cy="1885950"/>
                <wp:effectExtent l="0" t="0" r="0" b="0"/>
                <wp:wrapSquare wrapText="bothSides"/>
                <wp:docPr id="298092" name="Group 298092"/>
                <wp:cNvGraphicFramePr/>
                <a:graphic xmlns:a="http://schemas.openxmlformats.org/drawingml/2006/main">
                  <a:graphicData uri="http://schemas.microsoft.com/office/word/2010/wordprocessingGroup">
                    <wpg:wgp>
                      <wpg:cNvGrpSpPr/>
                      <wpg:grpSpPr>
                        <a:xfrm>
                          <a:off x="0" y="0"/>
                          <a:ext cx="438150" cy="1885950"/>
                          <a:chOff x="0" y="0"/>
                          <a:chExt cx="438150" cy="1885950"/>
                        </a:xfrm>
                      </wpg:grpSpPr>
                      <wps:wsp>
                        <wps:cNvPr id="13086" name="Shape 1308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69" y="48716"/>
                                </a:cubicBezTo>
                                <a:cubicBezTo>
                                  <a:pt x="5690" y="459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88" name="Shape 13088"/>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90" name="Shape 13090"/>
                        <wps:cNvSpPr/>
                        <wps:spPr>
                          <a:xfrm>
                            <a:off x="38100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962"/>
                                  <a:pt x="2175" y="39489"/>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93" name="Shape 13093"/>
                        <wps:cNvSpPr/>
                        <wps:spPr>
                          <a:xfrm>
                            <a:off x="38100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8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8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95" name="Shape 13095"/>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97" name="Shape 1309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246"/>
                                  <a:pt x="0" y="28575"/>
                                </a:cubicBezTo>
                                <a:cubicBezTo>
                                  <a:pt x="0" y="24705"/>
                                  <a:pt x="725" y="21034"/>
                                  <a:pt x="2175" y="17562"/>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099" name="Shape 13099"/>
                        <wps:cNvSpPr/>
                        <wps:spPr>
                          <a:xfrm>
                            <a:off x="38100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01" name="Shape 13101"/>
                        <wps:cNvSpPr/>
                        <wps:spPr>
                          <a:xfrm>
                            <a:off x="381000" y="12192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70" y="48716"/>
                                </a:cubicBezTo>
                                <a:cubicBezTo>
                                  <a:pt x="5690" y="46038"/>
                                  <a:pt x="3625" y="42863"/>
                                  <a:pt x="2175" y="39390"/>
                                </a:cubicBezTo>
                                <a:cubicBezTo>
                                  <a:pt x="725" y="35917"/>
                                  <a:pt x="0" y="32246"/>
                                  <a:pt x="0" y="28575"/>
                                </a:cubicBezTo>
                                <a:cubicBezTo>
                                  <a:pt x="0" y="24705"/>
                                  <a:pt x="725" y="21034"/>
                                  <a:pt x="2175" y="17562"/>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04" name="Shape 13104"/>
                        <wps:cNvSpPr/>
                        <wps:spPr>
                          <a:xfrm>
                            <a:off x="381000" y="15240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1034"/>
                                  <a:pt x="57150" y="24705"/>
                                  <a:pt x="57150" y="28575"/>
                                </a:cubicBezTo>
                                <a:cubicBezTo>
                                  <a:pt x="57150" y="32246"/>
                                  <a:pt x="56425" y="35917"/>
                                  <a:pt x="54975" y="39390"/>
                                </a:cubicBezTo>
                                <a:cubicBezTo>
                                  <a:pt x="53525" y="42863"/>
                                  <a:pt x="51460" y="45938"/>
                                  <a:pt x="48781" y="48716"/>
                                </a:cubicBezTo>
                                <a:cubicBezTo>
                                  <a:pt x="46101" y="51296"/>
                                  <a:pt x="43011" y="53380"/>
                                  <a:pt x="39510" y="54868"/>
                                </a:cubicBezTo>
                                <a:cubicBezTo>
                                  <a:pt x="36009" y="56257"/>
                                  <a:pt x="32364" y="57051"/>
                                  <a:pt x="28575" y="57150"/>
                                </a:cubicBezTo>
                                <a:cubicBezTo>
                                  <a:pt x="24786" y="57051"/>
                                  <a:pt x="21141" y="56257"/>
                                  <a:pt x="17640" y="54868"/>
                                </a:cubicBezTo>
                                <a:cubicBezTo>
                                  <a:pt x="14139" y="53380"/>
                                  <a:pt x="11049" y="51296"/>
                                  <a:pt x="8370" y="48716"/>
                                </a:cubicBezTo>
                                <a:cubicBezTo>
                                  <a:pt x="5690" y="45938"/>
                                  <a:pt x="3625" y="42863"/>
                                  <a:pt x="2175" y="39390"/>
                                </a:cubicBezTo>
                                <a:cubicBezTo>
                                  <a:pt x="725" y="35917"/>
                                  <a:pt x="0" y="32246"/>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07" name="Shape 13107"/>
                        <wps:cNvSpPr/>
                        <wps:spPr>
                          <a:xfrm>
                            <a:off x="381000" y="18288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390"/>
                                </a:cubicBezTo>
                                <a:cubicBezTo>
                                  <a:pt x="53525" y="42863"/>
                                  <a:pt x="51460" y="45938"/>
                                  <a:pt x="48781" y="48716"/>
                                </a:cubicBezTo>
                                <a:cubicBezTo>
                                  <a:pt x="46101" y="51296"/>
                                  <a:pt x="43011" y="53380"/>
                                  <a:pt x="39510" y="54769"/>
                                </a:cubicBezTo>
                                <a:cubicBezTo>
                                  <a:pt x="36009" y="56356"/>
                                  <a:pt x="32364" y="57051"/>
                                  <a:pt x="28575" y="57150"/>
                                </a:cubicBezTo>
                                <a:cubicBezTo>
                                  <a:pt x="24786" y="57051"/>
                                  <a:pt x="21141" y="56356"/>
                                  <a:pt x="17640" y="54769"/>
                                </a:cubicBezTo>
                                <a:cubicBezTo>
                                  <a:pt x="14139" y="53380"/>
                                  <a:pt x="11049" y="51296"/>
                                  <a:pt x="8370"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092" style="width:34.5pt;height:148.5pt;position:absolute;mso-position-horizontal-relative:text;mso-position-horizontal:absolute;margin-left:16.8633pt;mso-position-vertical-relative:text;margin-top:2.74219pt;" coordsize="4381,18859">
                <v:shape id="Shape 13086" style="position:absolute;width:571;height:571;left:0;top:0;" coordsize="57150,57150" path="m28575,0c32364,0,36009,695,39510,2084c43011,3473,46101,5556,48781,8334c51460,10914,53525,14089,54975,17562c56425,21034,57150,24805,57150,28575c57150,32345,56425,35917,54975,39390c53525,42863,51460,45938,48781,48716c46101,51296,43011,53380,39510,54868c36009,56257,32364,57051,28575,57150c24786,57051,21141,56257,17640,54868c14139,53380,11049,51296,8369,48716c5690,45938,3625,42863,2175,39390c725,35917,0,32345,0,28575c0,24805,725,21034,2175,17562c3625,14089,5690,10914,8369,8334c11049,5556,14139,3473,17640,2084c21141,695,24786,0,28575,0x">
                  <v:stroke weight="0pt" endcap="flat" joinstyle="miter" miterlimit="4" on="false" color="#000000" opacity="0"/>
                  <v:fill on="true" color="#333333"/>
                </v:shape>
                <v:shape id="Shape 13088" style="position:absolute;width:571;height:571;left:3810;top:1524;" coordsize="57150,57150" path="m28575,0c32364,0,36009,695,39510,2084c43011,3473,46101,5556,48781,8334c51460,10914,53525,14089,54975,17562c56425,21034,57150,24805,57150,28575c57150,32246,56425,35917,54975,39390c53525,42863,51460,46038,48781,48716c46101,51395,43011,53479,39510,54868c36009,56257,32364,57051,28575,57150c24786,57051,21141,56257,17640,54868c14139,53479,11049,51395,8370,48716c5690,46038,3625,42863,2175,39390c725,35917,0,32246,0,28575c0,24805,725,21034,2175,17562c3625,14089,5690,10914,8370,8334c11049,5556,14139,3473,17640,2084c21141,695,24786,0,28575,0x">
                  <v:stroke weight="0pt" endcap="flat" joinstyle="miter" miterlimit="4" on="false" color="#000000" opacity="0"/>
                  <v:fill on="true" color="#333333"/>
                </v:shape>
                <v:shape id="Shape 13090" style="position:absolute;width:571;height:571;left:3810;top:3048;" coordsize="57150,57150" path="m28575,0c32364,0,36009,695,39510,2084c43011,3473,46101,5556,48781,8334c51460,10914,53525,14089,54975,17562c56425,21034,57150,24805,57150,28575c57150,32345,56425,35917,54975,39489c53525,42962,51460,46038,48781,48716c46101,51395,43011,53479,39510,54868c36009,56257,32364,57051,28575,57150c24786,57051,21141,56257,17640,54868c14139,53479,11049,51395,8370,48716c5690,46038,3625,42962,2175,39489c725,35917,0,32345,0,28575c0,24805,725,21034,2175,17562c3625,14089,5690,10914,8370,8334c11049,5556,14139,3473,17640,2084c21141,695,24786,0,28575,0x">
                  <v:stroke weight="0pt" endcap="flat" joinstyle="miter" miterlimit="4" on="false" color="#000000" opacity="0"/>
                  <v:fill on="true" color="#333333"/>
                </v:shape>
                <v:shape id="Shape 13093" style="position:absolute;width:571;height:571;left:3810;top:6096;" coordsize="57150,57150" path="m28575,0c32364,0,36009,695,39510,2084c43011,3473,46101,5556,48781,8235c51460,10914,53525,13990,54975,17463c56425,21034,57150,24805,57150,28575c57150,32246,56425,35917,54975,39390c53525,42863,51460,46038,48781,48716c46101,51395,43011,53479,39510,54868c36009,56257,32364,57051,28575,57150c24786,57051,21141,56257,17640,54868c14139,53479,11049,51395,8370,48716c5690,46038,3625,42863,2175,39390c725,35917,0,32246,0,28575c0,24805,725,21034,2175,17562c3625,13990,5690,10914,8370,8235c11049,5556,14139,3473,17640,2084c21141,695,24786,0,28575,0x">
                  <v:stroke weight="0pt" endcap="flat" joinstyle="miter" miterlimit="4" on="false" color="#000000" opacity="0"/>
                  <v:fill on="true" color="#333333"/>
                </v:shape>
                <v:shape id="Shape 13095" style="position:absolute;width:571;height:571;left:3810;top:7620;" coordsize="57150,57150" path="m28575,0c32364,0,36009,695,39510,2084c43011,3473,46101,5556,48781,8235c51460,10914,53525,13990,54975,17463c56425,21034,57150,24705,57150,28575c57150,32246,56425,35917,54975,39390c53525,42863,51460,46038,48781,48716c46101,51395,43011,53479,39510,54868c36009,56257,32364,57051,28575,57150c24786,57051,21141,56257,17640,54868c14139,53479,11049,51395,8370,48716c5690,46038,3625,42863,2175,39390c725,35917,0,32246,0,28575c0,24705,725,21034,2175,17562c3625,13990,5690,10914,8370,8235c11049,5556,14139,3473,17640,2084c21141,695,24786,0,28575,0x">
                  <v:stroke weight="0pt" endcap="flat" joinstyle="miter" miterlimit="4" on="false" color="#000000" opacity="0"/>
                  <v:fill on="true" color="#333333"/>
                </v:shape>
                <v:shape id="Shape 13097" style="position:absolute;width:571;height:571;left:0;top:9144;" coordsize="57150,57150" path="m28575,0c32364,0,36009,695,39510,2084c43011,3473,46101,5556,48781,8235c51460,10914,53525,13990,54975,17463c56425,21034,57150,24705,57150,28575c57150,32246,56425,35917,54975,39390c53525,42863,51460,46038,48781,48716c46101,51395,43011,53479,39510,54868c36009,56257,32364,57051,28575,57150c24786,57051,21141,56257,17640,54868c14139,53479,11049,51395,8369,48716c5690,46038,3625,42863,2175,39390c725,35917,0,32246,0,28575c0,24705,725,21034,2175,17562c3625,13990,5690,10914,8369,8235c11049,5556,14139,3473,17640,2084c21141,695,24786,0,28575,0x">
                  <v:stroke weight="0pt" endcap="flat" joinstyle="miter" miterlimit="4" on="false" color="#000000" opacity="0"/>
                  <v:fill on="true" color="#333333"/>
                </v:shape>
                <v:shape id="Shape 13099" style="position:absolute;width:571;height:571;left:3810;top:10668;" coordsize="57150,57150" path="m28575,0c32364,0,36009,695,39510,2084c43011,3473,46101,5556,48781,8235c51460,10914,53525,13990,54975,17463c56425,21034,57150,24705,57150,28575c57150,32246,56425,35917,54975,39390c53525,42863,51460,46038,48781,48716c46101,51395,43011,53479,39510,54868c36009,56257,32364,57051,28575,57150c24786,57051,21141,56257,17640,54868c14139,53479,11049,51395,8370,48716c5690,46038,3625,42863,2175,39390c725,35917,0,32246,0,28575c0,24705,725,21034,2175,17562c3625,13990,5690,10914,8370,8235c11049,5556,14139,3473,17640,2084c21141,695,24786,0,28575,0x">
                  <v:stroke weight="0pt" endcap="flat" joinstyle="miter" miterlimit="4" on="false" color="#000000" opacity="0"/>
                  <v:fill on="true" color="#333333"/>
                </v:shape>
                <v:shape id="Shape 13101" style="position:absolute;width:571;height:571;left:3810;top:12192;" coordsize="57150,57150" path="m28575,0c32364,0,36009,695,39510,2084c43011,3473,46101,5556,48781,8235c51460,10914,53525,13990,54975,17463c56425,21034,57150,24705,57150,28575c57150,32246,56425,35917,54975,39390c53525,42863,51460,46038,48781,48716c46101,51395,43011,53479,39510,54868c36009,56257,32364,57051,28575,57150c24786,57051,21141,56257,17640,54868c14139,53479,11049,51395,8370,48716c5690,46038,3625,42863,2175,39390c725,35917,0,32246,0,28575c0,24705,725,21034,2175,17562c3625,13990,5690,10914,8370,8235c11049,5556,14139,3473,17640,2084c21141,695,24786,0,28575,0x">
                  <v:stroke weight="0pt" endcap="flat" joinstyle="miter" miterlimit="4" on="false" color="#000000" opacity="0"/>
                  <v:fill on="true" color="#333333"/>
                </v:shape>
                <v:shape id="Shape 13104" style="position:absolute;width:571;height:571;left:3810;top:15240;" coordsize="57150,57150" path="m28575,0c32364,0,36009,695,39510,2084c43011,3473,46101,5556,48781,8235c51460,10914,53525,13891,54975,17463c56425,21034,57150,24705,57150,28575c57150,32246,56425,35917,54975,39390c53525,42863,51460,45938,48781,48716c46101,51296,43011,53380,39510,54868c36009,56257,32364,57051,28575,57150c24786,57051,21141,56257,17640,54868c14139,53380,11049,51296,8370,48716c5690,45938,3625,42863,2175,39390c725,35917,0,32246,0,28575c0,24705,725,21034,2175,17463c3625,13990,5690,10914,8370,8235c11049,5556,14139,3473,17640,2084c21141,695,24786,0,28575,0x">
                  <v:stroke weight="0pt" endcap="flat" joinstyle="miter" miterlimit="4" on="false" color="#000000" opacity="0"/>
                  <v:fill on="true" color="#333333"/>
                </v:shape>
                <v:shape id="Shape 13107" style="position:absolute;width:571;height:571;left:3810;top:18288;" coordsize="57150,57150" path="m28575,0c32364,0,36009,695,39510,1984c43011,3473,46101,5556,48781,8235c51460,10914,53525,13891,54975,17463c56425,21034,57150,24705,57150,28575c57150,32345,56425,35917,54975,39390c53525,42863,51460,45938,48781,48716c46101,51296,43011,53380,39510,54769c36009,56356,32364,57051,28575,57150c24786,57051,21141,56356,17640,54769c14139,53380,11049,51296,8370,48716c5690,45938,3625,42863,2175,39390c725,35917,0,32345,0,28575c0,24705,725,21034,2175,17463c3625,13990,5690,10914,8370,8235c11049,5556,14139,3473,17640,1984c21141,695,24786,0,28575,0x">
                  <v:stroke weight="0pt" endcap="flat" joinstyle="miter" miterlimit="4" on="false" color="#000000" opacity="0"/>
                  <v:fill on="true" color="#333333"/>
                </v:shape>
                <w10:wrap type="square"/>
              </v:group>
            </w:pict>
          </mc:Fallback>
        </mc:AlternateContent>
      </w:r>
      <w:r>
        <w:rPr>
          <w:i/>
        </w:rPr>
        <w:t>Локализация.</w:t>
      </w:r>
    </w:p>
    <w:p w:rsidR="008E3F15" w:rsidRDefault="005F449A">
      <w:pPr>
        <w:spacing w:after="31"/>
        <w:ind w:left="347" w:right="15"/>
      </w:pPr>
      <w:r>
        <w:t>Естественные клапаны.</w:t>
      </w:r>
    </w:p>
    <w:p w:rsidR="008E3F15" w:rsidRDefault="005F449A">
      <w:pPr>
        <w:ind w:left="347" w:right="15"/>
      </w:pPr>
      <w:r>
        <w:t>Искусственные клапаны [ранний (&lt;12 мес после операции), поздний (≥12 мес после операции)].</w:t>
      </w:r>
    </w:p>
    <w:p w:rsidR="008E3F15" w:rsidRDefault="005F449A">
      <w:pPr>
        <w:spacing w:after="31"/>
        <w:ind w:left="347" w:right="15"/>
      </w:pPr>
      <w:r>
        <w:t>Искусственные устройства (кардиостимулятор, ИКД, СРТ).</w:t>
      </w:r>
    </w:p>
    <w:p w:rsidR="008E3F15" w:rsidRDefault="005F449A">
      <w:pPr>
        <w:spacing w:after="31"/>
        <w:ind w:left="347" w:right="15"/>
      </w:pPr>
      <w:r>
        <w:t>Левосторонний, правосторонний.</w:t>
      </w:r>
    </w:p>
    <w:p w:rsidR="008E3F15" w:rsidRDefault="005F449A">
      <w:pPr>
        <w:spacing w:line="259" w:lineRule="auto"/>
        <w:ind w:left="602" w:right="0"/>
      </w:pPr>
      <w:r>
        <w:rPr>
          <w:i/>
        </w:rPr>
        <w:t>Условия заболевания.</w:t>
      </w:r>
    </w:p>
    <w:p w:rsidR="008E3F15" w:rsidRDefault="005F449A">
      <w:pPr>
        <w:spacing w:after="31"/>
        <w:ind w:left="347" w:right="15"/>
      </w:pPr>
      <w:r>
        <w:t>Нозокомиальный: симптомы появляются &gt;48 ч госпитализации.</w:t>
      </w:r>
    </w:p>
    <w:p w:rsidR="008E3F15" w:rsidRDefault="005F449A">
      <w:pPr>
        <w:ind w:left="347" w:right="15"/>
      </w:pPr>
      <w:r>
        <w:t>Ненозокомиальный: симптомы появляются &lt;48 ч госпитализации при наличии медицинского контакта.</w:t>
      </w:r>
    </w:p>
    <w:p w:rsidR="008E3F15" w:rsidRDefault="005F449A">
      <w:pPr>
        <w:ind w:left="347" w:right="15"/>
      </w:pPr>
      <w:r>
        <w:t>Внебольничный: симптомы появляются &lt;48 ч госпитализа</w:t>
      </w:r>
      <w:r>
        <w:t>ции при отсутствии условий для медицинской инфекции.</w:t>
      </w:r>
    </w:p>
    <w:p w:rsidR="008E3F15" w:rsidRDefault="005F449A">
      <w:pPr>
        <w:ind w:left="347" w:right="15"/>
      </w:pPr>
      <w:r>
        <w:t>Ассоциированный с наркотическими веществами: у пациента, потребляющего наркотические вещества в/в, при отсутствии других источников инфекции.</w:t>
      </w:r>
    </w:p>
    <w:p w:rsidR="008E3F15" w:rsidRDefault="005F449A">
      <w:pPr>
        <w:spacing w:line="259" w:lineRule="auto"/>
        <w:ind w:left="602" w:right="0"/>
      </w:pPr>
      <w:r>
        <w:rPr>
          <w:i/>
        </w:rPr>
        <w:t>Диагностическая точность.</w:t>
      </w:r>
    </w:p>
    <w:p w:rsidR="008E3F15" w:rsidRDefault="005F449A">
      <w:pPr>
        <w:spacing w:after="31"/>
        <w:ind w:left="1217" w:right="15"/>
      </w:pPr>
      <w:r>
        <w:t>Определенный (по критериям Дюке).</w:t>
      </w:r>
    </w:p>
    <w:p w:rsidR="008E3F15" w:rsidRDefault="005F449A">
      <w:pPr>
        <w:spacing w:after="31"/>
        <w:ind w:left="1217" w:right="15"/>
      </w:pPr>
      <w:r>
        <w:t>Вероятный.</w:t>
      </w:r>
    </w:p>
    <w:p w:rsidR="008E3F15" w:rsidRDefault="005F449A">
      <w:pPr>
        <w:spacing w:line="259" w:lineRule="auto"/>
        <w:ind w:left="602" w:right="0"/>
      </w:pPr>
      <w:r>
        <w:rPr>
          <w:i/>
        </w:rPr>
        <w:t>Активность.</w:t>
      </w:r>
    </w:p>
    <w:p w:rsidR="008E3F15" w:rsidRDefault="005F449A">
      <w:pPr>
        <w:spacing w:after="31"/>
        <w:ind w:left="1217" w:right="15"/>
      </w:pPr>
      <w:r>
        <w:t>Персистирующая лихорадка и положительная культура.</w:t>
      </w:r>
    </w:p>
    <w:p w:rsidR="008E3F15" w:rsidRDefault="005F449A">
      <w:pPr>
        <w:spacing w:line="259" w:lineRule="auto"/>
        <w:ind w:left="602" w:right="0"/>
      </w:pPr>
      <w:r>
        <w:rPr>
          <w:i/>
        </w:rPr>
        <w:t>Лечение</w:t>
      </w:r>
      <w:r>
        <w:t xml:space="preserve"> </w:t>
      </w:r>
      <w:r>
        <w:rPr>
          <w:i/>
        </w:rPr>
        <w:t>антибиотиками</w:t>
      </w:r>
      <w:r>
        <w:t>.</w:t>
      </w:r>
    </w:p>
    <w:p w:rsidR="008E3F15" w:rsidRDefault="005F449A">
      <w:pPr>
        <w:spacing w:after="31"/>
        <w:ind w:left="1217" w:right="15"/>
      </w:pPr>
      <w:r>
        <w:t>Морфологические признаки воспаления при хирургии.</w:t>
      </w:r>
    </w:p>
    <w:p w:rsidR="008E3F15" w:rsidRDefault="005F449A">
      <w:pPr>
        <w:ind w:left="607" w:right="954" w:firstLine="600"/>
      </w:pPr>
      <w:r>
        <w:rPr>
          <w:rFonts w:ascii="Calibri" w:eastAsia="Calibri" w:hAnsi="Calibri" w:cs="Calibri"/>
          <w:noProof/>
          <w:color w:val="000000"/>
          <w:sz w:val="22"/>
        </w:rPr>
        <mc:AlternateContent>
          <mc:Choice Requires="wpg">
            <w:drawing>
              <wp:anchor distT="0" distB="0" distL="114300" distR="114300" simplePos="0" relativeHeight="251822080" behindDoc="1" locked="0" layoutInCell="1" allowOverlap="1">
                <wp:simplePos x="0" y="0"/>
                <wp:positionH relativeFrom="column">
                  <wp:posOffset>214164</wp:posOffset>
                </wp:positionH>
                <wp:positionV relativeFrom="paragraph">
                  <wp:posOffset>-1031973</wp:posOffset>
                </wp:positionV>
                <wp:extent cx="438150" cy="1733550"/>
                <wp:effectExtent l="0" t="0" r="0" b="0"/>
                <wp:wrapNone/>
                <wp:docPr id="298093" name="Group 298093"/>
                <wp:cNvGraphicFramePr/>
                <a:graphic xmlns:a="http://schemas.openxmlformats.org/drawingml/2006/main">
                  <a:graphicData uri="http://schemas.microsoft.com/office/word/2010/wordprocessingGroup">
                    <wpg:wgp>
                      <wpg:cNvGrpSpPr/>
                      <wpg:grpSpPr>
                        <a:xfrm>
                          <a:off x="0" y="0"/>
                          <a:ext cx="438150" cy="1733550"/>
                          <a:chOff x="0" y="0"/>
                          <a:chExt cx="438150" cy="1733550"/>
                        </a:xfrm>
                      </wpg:grpSpPr>
                      <wps:wsp>
                        <wps:cNvPr id="13110" name="Shape 13110"/>
                        <wps:cNvSpPr/>
                        <wps:spPr>
                          <a:xfrm>
                            <a:off x="0" y="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12" name="Shape 13112"/>
                        <wps:cNvSpPr/>
                        <wps:spPr>
                          <a:xfrm>
                            <a:off x="381000" y="152400"/>
                            <a:ext cx="57150" cy="57150"/>
                          </a:xfrm>
                          <a:custGeom>
                            <a:avLst/>
                            <a:gdLst/>
                            <a:ahLst/>
                            <a:cxnLst/>
                            <a:rect l="0" t="0" r="0" b="0"/>
                            <a:pathLst>
                              <a:path w="57150" h="57150">
                                <a:moveTo>
                                  <a:pt x="28575" y="0"/>
                                </a:moveTo>
                                <a:cubicBezTo>
                                  <a:pt x="32364" y="0"/>
                                  <a:pt x="36009" y="695"/>
                                  <a:pt x="39510" y="1984"/>
                                </a:cubicBezTo>
                                <a:cubicBezTo>
                                  <a:pt x="43011" y="3473"/>
                                  <a:pt x="46101" y="5556"/>
                                  <a:pt x="48781" y="8334"/>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70"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70" y="8334"/>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14" name="Shape 13114"/>
                        <wps:cNvSpPr/>
                        <wps:spPr>
                          <a:xfrm>
                            <a:off x="381000" y="3048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70"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70"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16" name="Shape 13116"/>
                        <wps:cNvSpPr/>
                        <wps:spPr>
                          <a:xfrm>
                            <a:off x="0" y="457200"/>
                            <a:ext cx="57150" cy="57150"/>
                          </a:xfrm>
                          <a:custGeom>
                            <a:avLst/>
                            <a:gdLst/>
                            <a:ahLst/>
                            <a:cxnLst/>
                            <a:rect l="0" t="0" r="0" b="0"/>
                            <a:pathLst>
                              <a:path w="57150" h="57150">
                                <a:moveTo>
                                  <a:pt x="28575" y="0"/>
                                </a:moveTo>
                                <a:cubicBezTo>
                                  <a:pt x="32364" y="0"/>
                                  <a:pt x="36009" y="695"/>
                                  <a:pt x="39510" y="19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69"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18" name="Shape 13118"/>
                        <wps:cNvSpPr/>
                        <wps:spPr>
                          <a:xfrm>
                            <a:off x="38100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246"/>
                                  <a:pt x="56425" y="35818"/>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70" y="48716"/>
                                </a:cubicBezTo>
                                <a:cubicBezTo>
                                  <a:pt x="5690" y="45938"/>
                                  <a:pt x="3625" y="42763"/>
                                  <a:pt x="2175" y="39291"/>
                                </a:cubicBezTo>
                                <a:cubicBezTo>
                                  <a:pt x="725" y="35818"/>
                                  <a:pt x="0" y="32246"/>
                                  <a:pt x="0" y="28575"/>
                                </a:cubicBezTo>
                                <a:cubicBezTo>
                                  <a:pt x="0" y="24705"/>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20" name="Shape 13120"/>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158"/>
                                  <a:pt x="32364" y="57051"/>
                                  <a:pt x="28575" y="57150"/>
                                </a:cubicBezTo>
                                <a:cubicBezTo>
                                  <a:pt x="24786" y="57051"/>
                                  <a:pt x="21141" y="56158"/>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25" name="Shape 13125"/>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380"/>
                                  <a:pt x="39510" y="54868"/>
                                </a:cubicBezTo>
                                <a:cubicBezTo>
                                  <a:pt x="36009" y="56257"/>
                                  <a:pt x="32364" y="57051"/>
                                  <a:pt x="28575" y="57150"/>
                                </a:cubicBezTo>
                                <a:cubicBezTo>
                                  <a:pt x="24786" y="57051"/>
                                  <a:pt x="21141" y="56257"/>
                                  <a:pt x="17640" y="54868"/>
                                </a:cubicBezTo>
                                <a:cubicBezTo>
                                  <a:pt x="14139" y="53380"/>
                                  <a:pt x="11049" y="51395"/>
                                  <a:pt x="8370"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27" name="Shape 13127"/>
                        <wps:cNvSpPr/>
                        <wps:spPr>
                          <a:xfrm>
                            <a:off x="381000" y="1066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962"/>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70" y="48716"/>
                                </a:cubicBezTo>
                                <a:cubicBezTo>
                                  <a:pt x="5690" y="46038"/>
                                  <a:pt x="3625" y="42863"/>
                                  <a:pt x="2175" y="39390"/>
                                </a:cubicBezTo>
                                <a:cubicBezTo>
                                  <a:pt x="725" y="35917"/>
                                  <a:pt x="0" y="32345"/>
                                  <a:pt x="0" y="28575"/>
                                </a:cubicBezTo>
                                <a:cubicBezTo>
                                  <a:pt x="0" y="24805"/>
                                  <a:pt x="725" y="21034"/>
                                  <a:pt x="2175" y="17562"/>
                                </a:cubicBezTo>
                                <a:cubicBezTo>
                                  <a:pt x="3625" y="14089"/>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29" name="Shape 13129"/>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4089"/>
                                  <a:pt x="54975" y="17562"/>
                                </a:cubicBezTo>
                                <a:cubicBezTo>
                                  <a:pt x="56425" y="21034"/>
                                  <a:pt x="57150" y="24805"/>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69" y="48716"/>
                                </a:cubicBezTo>
                                <a:cubicBezTo>
                                  <a:pt x="5690" y="45938"/>
                                  <a:pt x="3625" y="42863"/>
                                  <a:pt x="2175" y="39390"/>
                                </a:cubicBezTo>
                                <a:cubicBezTo>
                                  <a:pt x="725" y="35917"/>
                                  <a:pt x="0" y="32345"/>
                                  <a:pt x="0" y="28575"/>
                                </a:cubicBezTo>
                                <a:cubicBezTo>
                                  <a:pt x="0" y="24805"/>
                                  <a:pt x="725" y="21034"/>
                                  <a:pt x="2175" y="17562"/>
                                </a:cubicBezTo>
                                <a:cubicBezTo>
                                  <a:pt x="3625" y="14089"/>
                                  <a:pt x="5690" y="10914"/>
                                  <a:pt x="8369"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31" name="Shape 13131"/>
                        <wps:cNvSpPr/>
                        <wps:spPr>
                          <a:xfrm>
                            <a:off x="381000" y="13716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606"/>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33" name="Shape 13133"/>
                        <wps:cNvSpPr/>
                        <wps:spPr>
                          <a:xfrm>
                            <a:off x="381000" y="15240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606"/>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135" name="Shape 13135"/>
                        <wps:cNvSpPr/>
                        <wps:spPr>
                          <a:xfrm>
                            <a:off x="381000" y="16764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606"/>
                                  <a:pt x="725" y="21034"/>
                                  <a:pt x="2175" y="17463"/>
                                </a:cubicBezTo>
                                <a:cubicBezTo>
                                  <a:pt x="3625" y="13990"/>
                                  <a:pt x="5690" y="10914"/>
                                  <a:pt x="8370" y="8334"/>
                                </a:cubicBezTo>
                                <a:cubicBezTo>
                                  <a:pt x="11049" y="5556"/>
                                  <a:pt x="14139" y="34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093" style="width:34.5pt;height:136.5pt;position:absolute;z-index:-2147483597;mso-position-horizontal-relative:text;mso-position-horizontal:absolute;margin-left:16.8633pt;mso-position-vertical-relative:text;margin-top:-81.2578pt;" coordsize="4381,17335">
                <v:shape id="Shape 13110" style="position:absolute;width:571;height:571;left:0;top:0;" coordsize="57150,57150" path="m28575,0c32364,0,36009,695,39510,19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1984c21141,695,24786,0,28575,0x">
                  <v:stroke weight="0pt" endcap="flat" joinstyle="miter" miterlimit="4" on="false" color="#000000" opacity="0"/>
                  <v:fill on="true" color="#333333"/>
                </v:shape>
                <v:shape id="Shape 13112" style="position:absolute;width:571;height:571;left:3810;top:1524;" coordsize="57150,57150" path="m28575,0c32364,0,36009,695,39510,1984c43011,3473,46101,5556,48781,8334c51460,10914,53525,13990,54975,17463c56425,21034,57150,24705,57150,28575c57150,32246,56425,35818,54975,39291c53525,42763,51460,45938,48781,48716c46101,51296,43011,53380,39510,54769c36009,56158,32364,57051,28575,57150c24786,57051,21141,56158,17640,54769c14139,53380,11049,51296,8370,48716c5690,45938,3625,42763,2175,39291c725,35818,0,32246,0,28575c0,24705,725,21034,2175,17463c3625,13990,5690,10914,8370,8334c11049,5556,14139,3473,17640,1984c21141,695,24786,0,28575,0x">
                  <v:stroke weight="0pt" endcap="flat" joinstyle="miter" miterlimit="4" on="false" color="#000000" opacity="0"/>
                  <v:fill on="true" color="#333333"/>
                </v:shape>
                <v:shape id="Shape 13114" style="position:absolute;width:571;height:571;left:3810;top:3048;" coordsize="57150,57150" path="m28575,0c32364,0,36009,695,39510,1984c43011,3473,46101,5556,48781,8235c51460,10914,53525,13990,54975,17463c56425,21034,57150,24705,57150,28575c57150,32246,56425,35818,54975,39291c53525,42763,51460,45938,48781,48716c46101,51296,43011,53380,39510,54769c36009,56158,32364,57051,28575,57150c24786,57051,21141,56158,17640,54769c14139,53380,11049,51296,8370,48716c5690,45938,3625,42763,2175,39291c725,35818,0,32246,0,28575c0,24705,725,21034,2175,17463c3625,13990,5690,10914,8370,8235c11049,5556,14139,3473,17640,1984c21141,695,24786,0,28575,0x">
                  <v:stroke weight="0pt" endcap="flat" joinstyle="miter" miterlimit="4" on="false" color="#000000" opacity="0"/>
                  <v:fill on="true" color="#333333"/>
                </v:shape>
                <v:shape id="Shape 13116" style="position:absolute;width:571;height:571;left:0;top:4572;" coordsize="57150,57150" path="m28575,0c32364,0,36009,695,39510,1984c43011,3473,46101,5556,48781,8235c51460,10914,53525,13990,54975,17463c56425,21034,57150,24705,57150,28575c57150,32246,56425,35818,54975,39291c53525,42763,51460,45938,48781,48716c46101,51296,43011,53380,39510,54769c36009,56158,32364,57051,28575,57150c24786,57051,21141,56158,17640,54769c14139,53380,11049,51296,8369,48716c5690,45938,3625,42763,2175,39291c725,35818,0,32246,0,28575c0,24705,725,21034,2175,17463c3625,13990,5690,10914,8369,8235c11049,5556,14139,3473,17640,1984c21141,695,24786,0,28575,0x">
                  <v:stroke weight="0pt" endcap="flat" joinstyle="miter" miterlimit="4" on="false" color="#000000" opacity="0"/>
                  <v:fill on="true" color="#333333"/>
                </v:shape>
                <v:shape id="Shape 13118" style="position:absolute;width:571;height:571;left:3810;top:6096;" coordsize="57150,57150" path="m28575,0c32364,0,36009,695,39510,2084c43011,3473,46101,5556,48781,8235c51460,10914,53525,13990,54975,17463c56425,21034,57150,24705,57150,28575c57150,32246,56425,35818,54975,39291c53525,42763,51460,45938,48781,48716c46101,51296,43011,53380,39510,54769c36009,56158,32364,57051,28575,57150c24786,57051,21141,56158,17640,54769c14139,53380,11049,51296,8370,48716c5690,45938,3625,42763,2175,39291c725,35818,0,32246,0,28575c0,24705,725,21034,2175,17463c3625,13990,5690,10914,8370,8235c11049,5556,14139,3473,17640,2084c21141,695,24786,0,28575,0x">
                  <v:stroke weight="0pt" endcap="flat" joinstyle="miter" miterlimit="4" on="false" color="#000000" opacity="0"/>
                  <v:fill on="true" color="#333333"/>
                </v:shape>
                <v:shape id="Shape 13120" style="position:absolute;width:571;height:571;left:0;top:7620;" coordsize="57150,57150" path="m28575,0c32364,0,36009,695,39510,2084c43011,3473,46101,5556,48781,8235c51460,10914,53525,13990,54975,17463c56425,21034,57150,24705,57150,28575c57150,32345,56425,35917,54975,39291c53525,42763,51460,45938,48781,48716c46101,51296,43011,53380,39510,54769c36009,56158,32364,57051,28575,57150c24786,57051,21141,56158,17640,54769c14139,53380,11049,51296,8369,48716c5690,45938,3625,42763,2175,39291c725,35917,0,32345,0,28575c0,24705,725,21034,2175,17463c3625,13990,5690,10914,8369,8235c11049,5556,14139,3473,17640,2084c21141,695,24786,0,28575,0x">
                  <v:stroke weight="0pt" endcap="flat" joinstyle="miter" miterlimit="4" on="false" color="#000000" opacity="0"/>
                  <v:fill on="true" color="#333333"/>
                </v:shape>
                <v:shape id="Shape 13125" style="position:absolute;width:571;height:571;left:3810;top:9144;" coordsize="57150,57150" path="m28575,0c32364,0,36009,695,39510,2084c43011,3473,46101,5556,48781,8334c51460,10914,53525,14089,54975,17562c56425,21034,57150,24805,57150,28575c57150,32345,56425,35917,54975,39489c53525,42962,51460,46038,48781,48716c46101,51395,43011,53380,39510,54868c36009,56257,32364,57051,28575,57150c24786,57051,21141,56257,17640,54868c14139,53380,11049,51395,8370,48716c5690,46038,3625,42863,2175,39390c725,35917,0,32345,0,28575c0,24805,725,21034,2175,17562c3625,14089,5690,10914,8370,8334c11049,5556,14139,3473,17640,2084c21141,695,24786,0,28575,0x">
                  <v:stroke weight="0pt" endcap="flat" joinstyle="miter" miterlimit="4" on="false" color="#000000" opacity="0"/>
                  <v:fill on="true" color="#333333"/>
                </v:shape>
                <v:shape id="Shape 13127" style="position:absolute;width:571;height:571;left:3810;top:10668;" coordsize="57150,57150" path="m28575,0c32364,0,36009,695,39510,2084c43011,3473,46101,5556,48781,8334c51460,10914,53525,14089,54975,17562c56425,21034,57150,24805,57150,28575c57150,32345,56425,35917,54975,39489c53525,42962,51460,46038,48781,48716c46101,51395,43011,53479,39510,54868c36009,56356,32364,57051,28575,57150c24786,57051,21141,56356,17640,54967c14139,53479,11049,51395,8370,48716c5690,46038,3625,42863,2175,39390c725,35917,0,32345,0,28575c0,24805,725,21034,2175,17562c3625,14089,5690,10914,8370,8334c11049,5556,14139,3473,17640,2084c21141,695,24786,0,28575,0x">
                  <v:stroke weight="0pt" endcap="flat" joinstyle="miter" miterlimit="4" on="false" color="#000000" opacity="0"/>
                  <v:fill on="true" color="#333333"/>
                </v:shape>
                <v:shape id="Shape 13129" style="position:absolute;width:571;height:571;left:0;top:12192;" coordsize="57150,57150" path="m28575,0c32364,0,36009,695,39510,2084c43011,3473,46101,5556,48781,8334c51460,10914,53525,14089,54975,17562c56425,21034,57150,24805,57150,28575c57150,32345,56425,35917,54975,39489c53525,42863,51460,45938,48781,48716c46101,51296,43011,53380,39510,54868c36009,56356,32364,57051,28575,57150c24786,57051,21141,56356,17640,54967c14139,53380,11049,51296,8369,48716c5690,45938,3625,42863,2175,39390c725,35917,0,32345,0,28575c0,24805,725,21034,2175,17562c3625,14089,5690,10914,8369,8334c11049,5556,14139,3473,17640,2084c21141,695,24786,0,28575,0x">
                  <v:stroke weight="0pt" endcap="flat" joinstyle="miter" miterlimit="4" on="false" color="#000000" opacity="0"/>
                  <v:fill on="true" color="#333333"/>
                </v:shape>
                <v:shape id="Shape 13131" style="position:absolute;width:571;height:571;left:3810;top:13716;" coordsize="57150,57150" path="m28575,0c32364,0,36009,695,39510,2084c43011,3473,46101,5556,48781,8334c51460,10914,53525,13990,54975,17463c56425,21034,57150,24606,57150,28575c57150,32345,56425,35917,54975,39489c53525,42863,51460,45938,48781,48716c46101,51296,43011,53380,39510,54868c36009,56356,32364,57051,28575,57150c24786,57051,21141,56356,17640,54967c14139,53380,11049,51296,8370,48716c5690,45938,3625,42863,2175,39390c725,35917,0,32345,0,28575c0,24606,725,21034,2175,17463c3625,13990,5690,10914,8370,8334c11049,5556,14139,3473,17640,2084c21141,695,24786,0,28575,0x">
                  <v:stroke weight="0pt" endcap="flat" joinstyle="miter" miterlimit="4" on="false" color="#000000" opacity="0"/>
                  <v:fill on="true" color="#333333"/>
                </v:shape>
                <v:shape id="Shape 13133" style="position:absolute;width:571;height:571;left:3810;top:15240;" coordsize="57150,57150" path="m28575,0c32364,0,36009,695,39510,2084c43011,3473,46101,5556,48781,8334c51460,10914,53525,13990,54975,17463c56425,21034,57150,24606,57150,28575c57150,32345,56425,35917,54975,39489c53525,42863,51460,45938,48781,48716c46101,51296,43011,53380,39510,54868c36009,56356,32364,57051,28575,57150c24786,57051,21141,56356,17640,54967c14139,53380,11049,51296,8370,48716c5690,45938,3625,42863,2175,39390c725,35917,0,32345,0,28575c0,24606,725,21034,2175,17463c3625,13990,5690,10914,8370,8334c11049,5556,14139,3473,17640,2084c21141,695,24786,0,28575,0x">
                  <v:stroke weight="0pt" endcap="flat" joinstyle="miter" miterlimit="4" on="false" color="#000000" opacity="0"/>
                  <v:fill on="true" color="#333333"/>
                </v:shape>
                <v:shape id="Shape 13135" style="position:absolute;width:571;height:571;left:3810;top:16764;" coordsize="57150,57150" path="m28575,0c32364,0,36009,695,39510,2084c43011,3473,46101,5556,48781,8334c51460,10914,53525,13990,54975,17463c56425,21034,57150,24606,57150,28575c57150,32345,56425,35917,54975,39489c53525,42863,51460,45938,48781,48716c46101,51296,43011,53380,39510,54868c36009,56356,32364,57051,28575,57150c24786,57051,21141,56356,17640,54967c14139,53380,11049,51296,8370,48716c5690,45938,3625,42863,2175,39390c725,35917,0,32345,0,28575c0,24606,725,21034,2175,17463c3625,13990,5690,10914,8370,8334c11049,5556,14139,3473,17640,2084c21141,695,24786,0,28575,0x">
                  <v:stroke weight="0pt" endcap="flat" joinstyle="miter" miterlimit="4" on="false" color="#000000" opacity="0"/>
                  <v:fill on="true" color="#333333"/>
                </v:shape>
              </v:group>
            </w:pict>
          </mc:Fallback>
        </mc:AlternateContent>
      </w:r>
      <w:r>
        <w:t xml:space="preserve">Гистологические признаки активного инфекционного эндокардита. </w:t>
      </w:r>
      <w:r>
        <w:rPr>
          <w:i/>
        </w:rPr>
        <w:t>Течение.</w:t>
      </w:r>
    </w:p>
    <w:p w:rsidR="008E3F15" w:rsidRDefault="005F449A">
      <w:pPr>
        <w:spacing w:after="31"/>
        <w:ind w:left="1217" w:right="15"/>
      </w:pPr>
      <w:r>
        <w:t>Первый эпизод.</w:t>
      </w:r>
    </w:p>
    <w:p w:rsidR="008E3F15" w:rsidRDefault="005F449A">
      <w:pPr>
        <w:spacing w:after="179"/>
        <w:ind w:left="1217" w:right="1679"/>
      </w:pPr>
      <w:r>
        <w:t>Рецидивирующий: тот же</w:t>
      </w:r>
      <w:r>
        <w:t xml:space="preserve"> микроб, &lt;6 мес после эпизода. Повторный: другой микроб, &gt;6 мес после эпизода.</w:t>
      </w:r>
    </w:p>
    <w:p w:rsidR="008E3F15" w:rsidRDefault="005F449A">
      <w:pPr>
        <w:ind w:left="2" w:right="169"/>
      </w:pPr>
      <w:r>
        <w:t>Примеры оформления диагноза у пациентов с инфекционным эндокардитом представлены в</w:t>
      </w:r>
      <w:r>
        <w:rPr>
          <w:b/>
        </w:rPr>
        <w:t xml:space="preserve"> табл. 10.1</w:t>
      </w:r>
      <w:r>
        <w:t>.</w:t>
      </w:r>
    </w:p>
    <w:p w:rsidR="008E3F15" w:rsidRDefault="005F449A">
      <w:pPr>
        <w:spacing w:after="31"/>
        <w:ind w:left="2" w:right="15"/>
      </w:pPr>
      <w:r>
        <w:rPr>
          <w:b/>
        </w:rPr>
        <w:t xml:space="preserve">Таблица 10.1. </w:t>
      </w:r>
      <w:r>
        <w:t>Примеры оформления диагноза</w:t>
      </w:r>
    </w:p>
    <w:tbl>
      <w:tblPr>
        <w:tblStyle w:val="TableGrid"/>
        <w:tblW w:w="10485" w:type="dxa"/>
        <w:tblInd w:w="37" w:type="dxa"/>
        <w:tblCellMar>
          <w:top w:w="80" w:type="dxa"/>
          <w:left w:w="45" w:type="dxa"/>
          <w:bottom w:w="0" w:type="dxa"/>
          <w:right w:w="110" w:type="dxa"/>
        </w:tblCellMar>
        <w:tblLook w:val="04A0" w:firstRow="1" w:lastRow="0" w:firstColumn="1" w:lastColumn="0" w:noHBand="0" w:noVBand="1"/>
      </w:tblPr>
      <w:tblGrid>
        <w:gridCol w:w="9285"/>
        <w:gridCol w:w="1200"/>
      </w:tblGrid>
      <w:tr w:rsidR="008E3F15">
        <w:trPr>
          <w:trHeight w:val="570"/>
        </w:trPr>
        <w:tc>
          <w:tcPr>
            <w:tcW w:w="92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2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b/>
              </w:rPr>
              <w:t>Код</w:t>
            </w:r>
          </w:p>
          <w:p w:rsidR="008E3F15" w:rsidRDefault="005F449A">
            <w:pPr>
              <w:spacing w:after="0" w:line="259" w:lineRule="auto"/>
              <w:ind w:left="5" w:right="0" w:firstLine="0"/>
            </w:pPr>
            <w:r>
              <w:rPr>
                <w:b/>
              </w:rPr>
              <w:t>МКБ-10</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07" w:firstLine="0"/>
            </w:pPr>
            <w:r>
              <w:t>Инфекционный эндокардит митрального клапана с умеренной регургитацией и лабильной вегетацией (2×0,5 см), активный. Фибрилляция предсердий. ХСН NYHA II</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I33.0</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07" w:firstLine="0"/>
            </w:pPr>
            <w:r>
              <w:t>Инфекционный эндокардит аортального клапана с тяжелой регургитацией, излеченный, пресинкопе, ХСН NYHA III. Тромбоэмболии с инфарктом мио карда и правой почки (2020)</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I33.0</w:t>
            </w:r>
          </w:p>
        </w:tc>
      </w:tr>
      <w:tr w:rsidR="008E3F15">
        <w:trPr>
          <w:trHeight w:val="57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Инфекционный эндокардит искусственного аортального клапана, активный, поздний. Желуд</w:t>
            </w:r>
            <w:r>
              <w:t>очное кровотечение (варфарин)</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I33.0</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Инфекционный эндокардит трехстворчатого клапана с умеренной регургитацией, повторный. Острая сердечная недостаточность. Рецидивирующая легочная эмболия.</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I33.0</w:t>
            </w:r>
          </w:p>
        </w:tc>
      </w:tr>
      <w:tr w:rsidR="008E3F15">
        <w:trPr>
          <w:trHeight w:val="810"/>
        </w:trPr>
        <w:tc>
          <w:tcPr>
            <w:tcW w:w="92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0" w:firstLine="0"/>
            </w:pPr>
            <w:r>
              <w:t>Инфекционный эндокардит трехстворчатого клапана с выраженной регургитацией, ассоциированный с наркотическими веществами, активный.</w:t>
            </w:r>
          </w:p>
          <w:p w:rsidR="008E3F15" w:rsidRDefault="005F449A">
            <w:pPr>
              <w:spacing w:after="0" w:line="259" w:lineRule="auto"/>
              <w:ind w:left="0" w:right="0" w:firstLine="0"/>
            </w:pPr>
            <w:r>
              <w:t>Сердечная недостаточность, декомпенсация</w:t>
            </w:r>
          </w:p>
        </w:tc>
        <w:tc>
          <w:tcPr>
            <w:tcW w:w="12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I33.0</w:t>
            </w:r>
          </w:p>
        </w:tc>
      </w:tr>
    </w:tbl>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ind w:left="2" w:right="15"/>
      </w:pPr>
      <w:r>
        <w:t>В случаях подозрения на инфе</w:t>
      </w:r>
      <w:r>
        <w:t>кционный эндокардит (неясная лихорадка, шум в сердце, СН, тромбоэмболии) проводится трансторакальная эхокардиография, а при отсутствии достоверных признаков инфекционного эндокардита — более информативное чреспищеводное исследование. Чувствительность транс</w:t>
      </w:r>
      <w:r>
        <w:t>торакальной эхокардиографии относительно референтного чреспищеводного исследования составляет 71%, что может быть достаточным для пациентов с низкой претестовой вероятностью заболевания (Bonzi M. et al., 2018). При отрицательном результате чреспищеводной э</w:t>
      </w:r>
      <w:r>
        <w:t>хокардиографии последнюю целесообразно повторить через 5–7 сут.</w:t>
      </w:r>
    </w:p>
    <w:p w:rsidR="008E3F15" w:rsidRDefault="005F449A">
      <w:pPr>
        <w:ind w:left="2" w:right="1108"/>
      </w:pPr>
      <w:r>
        <w:t>Не следует забывать о небактериальных тромботических эндокардитах, связанных со злокачественными новообразованиями, системной красной волчанкой, антифосфолипидным синдромом.</w:t>
      </w:r>
    </w:p>
    <w:p w:rsidR="008E3F15" w:rsidRDefault="005F449A">
      <w:pPr>
        <w:ind w:left="2" w:right="15"/>
      </w:pPr>
      <w:r>
        <w:t>Важнейшее значение для диагноза и выбора антибиотиков имеет точное выявление инфекционного агента.</w:t>
      </w:r>
    </w:p>
    <w:p w:rsidR="008E3F15" w:rsidRDefault="005F449A">
      <w:pPr>
        <w:spacing w:after="31"/>
        <w:ind w:left="2" w:right="15"/>
      </w:pPr>
      <w:r>
        <w:t>Обычно инфекционный эндокардит вызывается зеленящими стрептококками, обитающими</w:t>
      </w:r>
    </w:p>
    <w:p w:rsidR="008E3F15" w:rsidRDefault="005F449A">
      <w:pPr>
        <w:ind w:left="2" w:right="15"/>
      </w:pPr>
      <w:r>
        <w:t xml:space="preserve">в полости рта, стафилококками с кожи или внутрисосудистых устройств, а также </w:t>
      </w:r>
      <w:r>
        <w:t xml:space="preserve">энтерококками кишечника, попадающими в кровь чаще через мочеполовой тракт. Чаще всего инфекционный эндокардит обусловлен </w:t>
      </w:r>
      <w:r>
        <w:rPr>
          <w:i/>
        </w:rPr>
        <w:t>Staphylococcus aureus</w:t>
      </w:r>
      <w:r>
        <w:t xml:space="preserve"> с наибольшей госпитальной смертностью (</w:t>
      </w:r>
      <w:r>
        <w:rPr>
          <w:b/>
        </w:rPr>
        <w:t>рис. 10.1</w:t>
      </w:r>
      <w:r>
        <w:t>).</w:t>
      </w:r>
    </w:p>
    <w:p w:rsidR="008E3F15" w:rsidRDefault="005F449A">
      <w:pPr>
        <w:spacing w:after="65" w:line="259" w:lineRule="auto"/>
        <w:ind w:left="7" w:right="0" w:firstLine="0"/>
      </w:pPr>
      <w:r>
        <w:rPr>
          <w:noProof/>
        </w:rPr>
        <w:drawing>
          <wp:inline distT="0" distB="0" distL="0" distR="0">
            <wp:extent cx="5057775" cy="3552825"/>
            <wp:effectExtent l="0" t="0" r="0" b="0"/>
            <wp:docPr id="13200" name="Picture 13200"/>
            <wp:cNvGraphicFramePr/>
            <a:graphic xmlns:a="http://schemas.openxmlformats.org/drawingml/2006/main">
              <a:graphicData uri="http://schemas.openxmlformats.org/drawingml/2006/picture">
                <pic:pic xmlns:pic="http://schemas.openxmlformats.org/drawingml/2006/picture">
                  <pic:nvPicPr>
                    <pic:cNvPr id="13200" name="Picture 13200"/>
                    <pic:cNvPicPr/>
                  </pic:nvPicPr>
                  <pic:blipFill>
                    <a:blip r:embed="rId120"/>
                    <a:stretch>
                      <a:fillRect/>
                    </a:stretch>
                  </pic:blipFill>
                  <pic:spPr>
                    <a:xfrm>
                      <a:off x="0" y="0"/>
                      <a:ext cx="5057775" cy="3552825"/>
                    </a:xfrm>
                    <a:prstGeom prst="rect">
                      <a:avLst/>
                    </a:prstGeom>
                  </pic:spPr>
                </pic:pic>
              </a:graphicData>
            </a:graphic>
          </wp:inline>
        </w:drawing>
      </w:r>
    </w:p>
    <w:p w:rsidR="008E3F15" w:rsidRDefault="005F449A">
      <w:pPr>
        <w:ind w:left="2" w:right="15"/>
      </w:pPr>
      <w:r>
        <w:rPr>
          <w:b/>
        </w:rPr>
        <w:t xml:space="preserve">Рис. 10.1. </w:t>
      </w:r>
      <w:r>
        <w:t>Частота возбудителей инфекционного эндокардита и возраст (Østergaard L. et al., 2022). КоНС — коагулазонегативный стафилококк</w:t>
      </w:r>
    </w:p>
    <w:p w:rsidR="008E3F15" w:rsidRDefault="005F449A">
      <w:pPr>
        <w:ind w:left="2" w:right="90"/>
      </w:pPr>
      <w:r>
        <w:t>Рекомендуется взять из периферической вены не менее трех образцов крови по 10 мл с интервалом в 30 мин и поместить в аэробные и ан</w:t>
      </w:r>
      <w:r>
        <w:t>аэробные условия. С целью ускорения получения результатов используют предварительное определение окраски по Грамму, массспектрометрию. Стойкая бактериемия подтверждается не менее чем двумя положительными результатами. Для оценки эффективности лечения посев</w:t>
      </w:r>
      <w:r>
        <w:t>ы крови повторяют через 48–72 ч. При отрицательном посеве крови используется полимеразная цепная реакция, позволяющая выявить в крови Staph. aureus, стрептококки, энтерококки, E.coli, грибы. У 17% пациентов выявляют культурально-негативный инфекционный энд</w:t>
      </w:r>
      <w:r>
        <w:t>окардит, который характеризуется повышенной смертностью (ESC-EORP EURO-ENDO).</w:t>
      </w:r>
    </w:p>
    <w:p w:rsidR="008E3F15" w:rsidRDefault="005F449A">
      <w:pPr>
        <w:ind w:left="2" w:right="129"/>
      </w:pPr>
      <w:r>
        <w:t>Особую группу пациентов составляют пациенты, употребляющие инъекционные наркотические вещества, у которых в 35% поражаются только левосторонние клапаны, а в каждом третьем случае</w:t>
      </w:r>
      <w:r>
        <w:t xml:space="preserve"> высевают флору, отличную от Staph. aureus (Pericàs M. et al., 2021). С целью стандартизации диагностики рекомендуют использовать модифицированные критерии Дюке.</w:t>
      </w:r>
    </w:p>
    <w:p w:rsidR="008E3F15" w:rsidRDefault="005F449A">
      <w:pPr>
        <w:spacing w:after="0" w:line="259" w:lineRule="auto"/>
        <w:ind w:left="2" w:right="3573"/>
      </w:pPr>
      <w:r>
        <w:rPr>
          <w:b/>
        </w:rPr>
        <w:t xml:space="preserve">Критерии инфекционного эндокардита (ESC, 2023) </w:t>
      </w:r>
      <w:r>
        <w:rPr>
          <w:i/>
        </w:rPr>
        <w:t>Большие критерии.</w:t>
      </w:r>
    </w:p>
    <w:p w:rsidR="008E3F15" w:rsidRDefault="005F449A">
      <w:pPr>
        <w:numPr>
          <w:ilvl w:val="0"/>
          <w:numId w:val="1"/>
        </w:numPr>
        <w:spacing w:after="165"/>
        <w:ind w:right="15" w:hanging="247"/>
      </w:pPr>
      <w:r>
        <w:t>Положительная культура крови.</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823104" behindDoc="0" locked="0" layoutInCell="1" allowOverlap="1">
                <wp:simplePos x="0" y="0"/>
                <wp:positionH relativeFrom="column">
                  <wp:posOffset>214164</wp:posOffset>
                </wp:positionH>
                <wp:positionV relativeFrom="paragraph">
                  <wp:posOffset>34824</wp:posOffset>
                </wp:positionV>
                <wp:extent cx="57150" cy="666750"/>
                <wp:effectExtent l="0" t="0" r="0" b="0"/>
                <wp:wrapSquare wrapText="bothSides"/>
                <wp:docPr id="296551" name="Group 296551"/>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3221" name="Shape 13221"/>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291"/>
                                </a:cubicBezTo>
                                <a:cubicBezTo>
                                  <a:pt x="53525" y="427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763"/>
                                  <a:pt x="2175" y="39291"/>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232" name="Shape 1323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705"/>
                                  <a:pt x="57150" y="28575"/>
                                </a:cubicBezTo>
                                <a:cubicBezTo>
                                  <a:pt x="57150" y="32345"/>
                                  <a:pt x="56425" y="35917"/>
                                  <a:pt x="54975" y="39489"/>
                                </a:cubicBezTo>
                                <a:cubicBezTo>
                                  <a:pt x="53525" y="42863"/>
                                  <a:pt x="51460" y="45938"/>
                                  <a:pt x="48781" y="48716"/>
                                </a:cubicBezTo>
                                <a:cubicBezTo>
                                  <a:pt x="46101" y="51296"/>
                                  <a:pt x="43011" y="53380"/>
                                  <a:pt x="39510" y="54769"/>
                                </a:cubicBezTo>
                                <a:cubicBezTo>
                                  <a:pt x="36009" y="56257"/>
                                  <a:pt x="32364" y="57051"/>
                                  <a:pt x="28575" y="57150"/>
                                </a:cubicBezTo>
                                <a:cubicBezTo>
                                  <a:pt x="24786" y="57051"/>
                                  <a:pt x="21141" y="56257"/>
                                  <a:pt x="17640" y="54769"/>
                                </a:cubicBezTo>
                                <a:cubicBezTo>
                                  <a:pt x="14139" y="53380"/>
                                  <a:pt x="11049" y="51296"/>
                                  <a:pt x="8369" y="48716"/>
                                </a:cubicBezTo>
                                <a:cubicBezTo>
                                  <a:pt x="5690" y="45938"/>
                                  <a:pt x="3625" y="42863"/>
                                  <a:pt x="2175" y="39390"/>
                                </a:cubicBezTo>
                                <a:cubicBezTo>
                                  <a:pt x="725" y="35917"/>
                                  <a:pt x="0" y="32345"/>
                                  <a:pt x="0" y="28575"/>
                                </a:cubicBezTo>
                                <a:cubicBezTo>
                                  <a:pt x="0" y="24705"/>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235" name="Shape 13235"/>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473"/>
                                  <a:pt x="46101" y="5556"/>
                                  <a:pt x="48781" y="8334"/>
                                </a:cubicBezTo>
                                <a:cubicBezTo>
                                  <a:pt x="51460" y="10914"/>
                                  <a:pt x="53525" y="13990"/>
                                  <a:pt x="54975" y="17463"/>
                                </a:cubicBezTo>
                                <a:cubicBezTo>
                                  <a:pt x="56425" y="21034"/>
                                  <a:pt x="57150" y="24606"/>
                                  <a:pt x="57150" y="28575"/>
                                </a:cubicBezTo>
                                <a:cubicBezTo>
                                  <a:pt x="57150" y="32345"/>
                                  <a:pt x="56425" y="35917"/>
                                  <a:pt x="54975" y="39489"/>
                                </a:cubicBezTo>
                                <a:cubicBezTo>
                                  <a:pt x="53525" y="42962"/>
                                  <a:pt x="51460" y="46038"/>
                                  <a:pt x="48781" y="48716"/>
                                </a:cubicBezTo>
                                <a:cubicBezTo>
                                  <a:pt x="46101" y="51395"/>
                                  <a:pt x="43011" y="53479"/>
                                  <a:pt x="39510" y="54967"/>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962"/>
                                  <a:pt x="2175" y="39489"/>
                                </a:cubicBezTo>
                                <a:cubicBezTo>
                                  <a:pt x="725" y="35917"/>
                                  <a:pt x="0" y="32345"/>
                                  <a:pt x="0" y="28575"/>
                                </a:cubicBezTo>
                                <a:cubicBezTo>
                                  <a:pt x="0" y="24606"/>
                                  <a:pt x="725" y="21034"/>
                                  <a:pt x="2175" y="17463"/>
                                </a:cubicBezTo>
                                <a:cubicBezTo>
                                  <a:pt x="3625" y="13990"/>
                                  <a:pt x="5690" y="10914"/>
                                  <a:pt x="8369" y="8334"/>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6551" style="width:4.5pt;height:52.5pt;position:absolute;mso-position-horizontal-relative:text;mso-position-horizontal:absolute;margin-left:16.8633pt;mso-position-vertical-relative:text;margin-top:2.74207pt;" coordsize="571,6667">
                <v:shape id="Shape 13221" style="position:absolute;width:571;height:571;left:0;top:0;" coordsize="57150,57150" path="m28575,0c32364,0,36009,695,39510,2084c43011,3473,46101,5556,48781,8334c51460,10914,53525,13990,54975,17463c56425,21034,57150,24705,57150,28575c57150,32345,56425,35917,54975,39291c53525,42763,51460,45938,48781,48716c46101,51296,43011,53380,39510,54769c36009,56257,32364,57051,28575,57150c24786,57051,21141,56257,17640,54769c14139,53380,11049,51296,8369,48716c5690,45938,3625,42763,2175,39291c725,35917,0,32345,0,28575c0,24705,725,21034,2175,17463c3625,13990,5690,10914,8369,8334c11049,5556,14139,3473,17640,2084c21141,695,24786,0,28575,0x">
                  <v:stroke weight="0pt" endcap="flat" joinstyle="miter" miterlimit="10" on="false" color="#000000" opacity="0"/>
                  <v:fill on="true" color="#333333"/>
                </v:shape>
                <v:shape id="Shape 13232" style="position:absolute;width:571;height:571;left:0;top:3048;" coordsize="57150,57150" path="m28575,0c32364,0,36009,695,39510,2084c43011,3473,46101,5556,48781,8334c51460,10914,53525,13990,54975,17463c56425,21034,57150,24705,57150,28575c57150,32345,56425,35917,54975,39489c53525,42863,51460,45938,48781,48716c46101,51296,43011,53380,39510,54769c36009,56257,32364,57051,28575,57150c24786,57051,21141,56257,17640,54769c14139,53380,11049,51296,8369,48716c5690,45938,3625,42863,2175,39390c725,35917,0,32345,0,28575c0,24705,725,21034,2175,17463c3625,13990,5690,10914,8369,8334c11049,5556,14139,3473,17640,2084c21141,695,24786,0,28575,0x">
                  <v:stroke weight="0pt" endcap="flat" joinstyle="miter" miterlimit="10" on="false" color="#000000" opacity="0"/>
                  <v:fill on="true" color="#333333"/>
                </v:shape>
                <v:shape id="Shape 13235" style="position:absolute;width:571;height:571;left:0;top:6096;" coordsize="57150,57150" path="m28575,0c32364,0,36009,695,39510,2084c43011,3473,46101,5556,48781,8334c51460,10914,53525,13990,54975,17463c56425,21034,57150,24606,57150,28575c57150,32345,56425,35917,54975,39489c53525,42962,51460,46038,48781,48716c46101,51395,43011,53479,39510,54967c36009,56356,32364,57051,28575,57150c24786,57051,21141,56356,17640,54967c14139,53479,11049,51395,8369,48716c5690,46038,3625,42962,2175,39489c725,35917,0,32345,0,28575c0,24606,725,21034,2175,17463c3625,13990,5690,10914,8369,8334c11049,5556,14139,3473,17640,2084c21141,695,24786,0,28575,0x">
                  <v:stroke weight="0pt" endcap="flat" joinstyle="miter" miterlimit="10" on="false" color="#000000" opacity="0"/>
                  <v:fill on="true" color="#333333"/>
                </v:shape>
                <w10:wrap type="square"/>
              </v:group>
            </w:pict>
          </mc:Fallback>
        </mc:AlternateContent>
      </w:r>
      <w:r>
        <w:t xml:space="preserve">Типичные микробы в 2 пробах крови: </w:t>
      </w:r>
      <w:r>
        <w:rPr>
          <w:i/>
        </w:rPr>
        <w:t>Str. viridans</w:t>
      </w:r>
      <w:r>
        <w:t xml:space="preserve">, </w:t>
      </w:r>
      <w:r>
        <w:rPr>
          <w:i/>
        </w:rPr>
        <w:t>Str. gallolyticus</w:t>
      </w:r>
      <w:r>
        <w:t xml:space="preserve"> (</w:t>
      </w:r>
      <w:r>
        <w:rPr>
          <w:i/>
        </w:rPr>
        <w:t>bovis</w:t>
      </w:r>
      <w:r>
        <w:t xml:space="preserve">), </w:t>
      </w:r>
      <w:r>
        <w:rPr>
          <w:i/>
        </w:rPr>
        <w:t>Staph. aureus</w:t>
      </w:r>
      <w:r>
        <w:t>, HACEK группа, внебольничные Enterococci без первичного очага.</w:t>
      </w:r>
    </w:p>
    <w:p w:rsidR="008E3F15" w:rsidRDefault="005F449A">
      <w:pPr>
        <w:ind w:left="347" w:right="15"/>
      </w:pPr>
      <w:r>
        <w:t>Повторные культуры крови, характерные для инфекционного эндокардита: ≥2 культур крови с интервалом &gt;</w:t>
      </w:r>
      <w:r>
        <w:t>12 ч, все 3 культуры крови или большинство из ≥4 проб.</w:t>
      </w:r>
    </w:p>
    <w:p w:rsidR="008E3F15" w:rsidRDefault="005F449A">
      <w:pPr>
        <w:spacing w:after="165"/>
        <w:ind w:left="347" w:right="15"/>
      </w:pPr>
      <w:r>
        <w:t>Культура Coxiella burnetti или IgG в титре &gt;1:800.</w:t>
      </w:r>
    </w:p>
    <w:p w:rsidR="008E3F15" w:rsidRDefault="005F449A">
      <w:pPr>
        <w:numPr>
          <w:ilvl w:val="0"/>
          <w:numId w:val="1"/>
        </w:numPr>
        <w:spacing w:after="186"/>
        <w:ind w:right="15" w:hanging="247"/>
      </w:pPr>
      <w:r>
        <w:t>Визуальные признаки.</w:t>
      </w:r>
    </w:p>
    <w:p w:rsidR="008E3F15" w:rsidRDefault="005F449A">
      <w:pPr>
        <w:spacing w:after="179"/>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552" name="Group 29655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238" name="Shape 13238"/>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6038"/>
                                  <a:pt x="48781" y="48716"/>
                                </a:cubicBezTo>
                                <a:cubicBezTo>
                                  <a:pt x="46101" y="51395"/>
                                  <a:pt x="43011" y="53479"/>
                                  <a:pt x="39510" y="54868"/>
                                </a:cubicBezTo>
                                <a:cubicBezTo>
                                  <a:pt x="36009" y="56356"/>
                                  <a:pt x="32364" y="57051"/>
                                  <a:pt x="28575" y="57150"/>
                                </a:cubicBezTo>
                                <a:cubicBezTo>
                                  <a:pt x="24786" y="57051"/>
                                  <a:pt x="21141" y="56356"/>
                                  <a:pt x="17640" y="54967"/>
                                </a:cubicBezTo>
                                <a:cubicBezTo>
                                  <a:pt x="14139" y="53479"/>
                                  <a:pt x="11049" y="51395"/>
                                  <a:pt x="8369" y="48716"/>
                                </a:cubicBezTo>
                                <a:cubicBezTo>
                                  <a:pt x="5690" y="46038"/>
                                  <a:pt x="3625" y="42863"/>
                                  <a:pt x="2175" y="39390"/>
                                </a:cubicBezTo>
                                <a:cubicBezTo>
                                  <a:pt x="725" y="35917"/>
                                  <a:pt x="0" y="32345"/>
                                  <a:pt x="0" y="28575"/>
                                </a:cubicBezTo>
                                <a:cubicBezTo>
                                  <a:pt x="0" y="24606"/>
                                  <a:pt x="725" y="21034"/>
                                  <a:pt x="2175" y="17463"/>
                                </a:cubicBezTo>
                                <a:cubicBezTo>
                                  <a:pt x="3625" y="13990"/>
                                  <a:pt x="5690" y="10914"/>
                                  <a:pt x="8369"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552" style="width:4.5pt;height:4.5pt;mso-position-horizontal-relative:char;mso-position-vertical-relative:line" coordsize="571,571">
                <v:shape id="Shape 13238" style="position:absolute;width:571;height:571;left:0;top:0;" coordsize="57150,57150" path="m28575,0c32364,0,36009,695,39510,2084c43011,3473,46101,5556,48781,8235c51460,10914,53525,13990,54975,17463c56425,21034,57150,24606,57150,28575c57150,32345,56425,35917,54975,39489c53525,42863,51460,46038,48781,48716c46101,51395,43011,53479,39510,54868c36009,56356,32364,57051,28575,57150c24786,57051,21141,56356,17640,54967c14139,53479,11049,51395,8369,48716c5690,46038,3625,42863,2175,39390c725,35917,0,32345,0,28575c0,24606,725,21034,2175,17463c3625,13990,5690,10914,8369,8235c11049,5556,14139,3473,17640,2084c21141,695,24786,0,28575,0x">
                  <v:stroke weight="0pt" endcap="flat" joinstyle="miter" miterlimit="10" on="false" color="#000000" opacity="0"/>
                  <v:fill on="true" color="#333333"/>
                </v:shape>
              </v:group>
            </w:pict>
          </mc:Fallback>
        </mc:AlternateContent>
      </w:r>
      <w:r>
        <w:t xml:space="preserve"> Характерные для ИЭ анатомические и метаболические повреждения клапанов, околоклапанных/перипротезных областей, инородных материалов, выявляемые любым методом: эхо кардио графия (трансторакальная, чреспищеводная), КТ сердца, позитронно-эмиссионная и КТ (ан</w:t>
      </w:r>
      <w:r>
        <w:t>гиография) с 18F-фтор дезоксиглюкозой, SPECT с мечеными лейкоцитами.</w:t>
      </w:r>
    </w:p>
    <w:p w:rsidR="008E3F15" w:rsidRDefault="005F449A">
      <w:pPr>
        <w:spacing w:after="133" w:line="259" w:lineRule="auto"/>
        <w:ind w:left="17" w:right="0"/>
      </w:pPr>
      <w:r>
        <w:rPr>
          <w:i/>
        </w:rPr>
        <w:t>Малые критерии.</w:t>
      </w:r>
    </w:p>
    <w:p w:rsidR="008E3F15" w:rsidRDefault="005F449A">
      <w:pPr>
        <w:numPr>
          <w:ilvl w:val="0"/>
          <w:numId w:val="2"/>
        </w:numPr>
        <w:spacing w:after="31"/>
        <w:ind w:right="15" w:hanging="247"/>
      </w:pPr>
      <w:r>
        <w:t>Предрасполагающие заболевания сердца, инъекции.</w:t>
      </w:r>
    </w:p>
    <w:p w:rsidR="008E3F15" w:rsidRDefault="005F449A">
      <w:pPr>
        <w:numPr>
          <w:ilvl w:val="0"/>
          <w:numId w:val="2"/>
        </w:numPr>
        <w:spacing w:after="31"/>
        <w:ind w:right="15" w:hanging="247"/>
      </w:pPr>
      <w:r>
        <w:t>Лихорадка &gt;38 °С.</w:t>
      </w:r>
    </w:p>
    <w:p w:rsidR="008E3F15" w:rsidRDefault="005F449A">
      <w:pPr>
        <w:numPr>
          <w:ilvl w:val="0"/>
          <w:numId w:val="2"/>
        </w:numPr>
        <w:ind w:right="15" w:hanging="247"/>
      </w:pPr>
      <w:r>
        <w:t>Сосудистые феномены: эмболии крупных артерий, септические инфаркты легких, микотические аневризмы, внутри</w:t>
      </w:r>
      <w:r>
        <w:t>черепные кровоизлияния, кровоизлияния в конъюнктиву, повреждения Джейуэя.</w:t>
      </w:r>
    </w:p>
    <w:p w:rsidR="008E3F15" w:rsidRDefault="005F449A">
      <w:pPr>
        <w:numPr>
          <w:ilvl w:val="0"/>
          <w:numId w:val="2"/>
        </w:numPr>
        <w:spacing w:after="31"/>
        <w:ind w:right="15" w:hanging="247"/>
      </w:pPr>
      <w:r>
        <w:t>Иммунные нарушения: гломерулонефрит, узелки Ослера, пятна Рота, ревматоидный фактор.</w:t>
      </w:r>
    </w:p>
    <w:p w:rsidR="008E3F15" w:rsidRDefault="005F449A">
      <w:pPr>
        <w:numPr>
          <w:ilvl w:val="0"/>
          <w:numId w:val="2"/>
        </w:numPr>
        <w:ind w:right="15" w:hanging="247"/>
      </w:pPr>
      <w:r>
        <w:t>Культура крови, не соответствующая большим критериям, или серологические признаки активной инфекц</w:t>
      </w:r>
      <w:r>
        <w:t>ии микробом, способным вызвать инфекционный эндокардит. Определенный инфекционный эндокардит устанавливают при наличии 2 больших, или 1 большого + 3 малых, или 5 малых критериев.</w:t>
      </w:r>
    </w:p>
    <w:p w:rsidR="008E3F15" w:rsidRDefault="005F449A">
      <w:pPr>
        <w:spacing w:after="359"/>
        <w:ind w:left="2" w:right="15"/>
      </w:pPr>
      <w:r>
        <w:t>Вероятный инфекционный эндокардит устанавливают при наличии 1 большого + 1 ма</w:t>
      </w:r>
      <w:r>
        <w:t>лого или 3 малых критериев.</w:t>
      </w:r>
    </w:p>
    <w:p w:rsidR="008E3F15" w:rsidRDefault="005F449A">
      <w:pPr>
        <w:pStyle w:val="Heading1"/>
        <w:ind w:left="2"/>
      </w:pPr>
      <w:r>
        <w:t>Часть I. Сердечно-сосудистые болезни</w:t>
      </w:r>
    </w:p>
    <w:p w:rsidR="008E3F15" w:rsidRDefault="005F449A">
      <w:pPr>
        <w:spacing w:after="31"/>
        <w:ind w:left="2" w:right="15"/>
      </w:pPr>
      <w:r>
        <w:t>Лечение</w:t>
      </w:r>
    </w:p>
    <w:p w:rsidR="008E3F15" w:rsidRDefault="005F449A">
      <w:pPr>
        <w:ind w:left="2" w:right="15"/>
      </w:pPr>
      <w:r>
        <w:t>Лечение инфекционного эндокардита рекомендуют проводить мультидисциплинарной команде, которая определяет оптимальный выбор антибактериальных препаратов</w:t>
      </w:r>
    </w:p>
    <w:p w:rsidR="008E3F15" w:rsidRDefault="005F449A">
      <w:pPr>
        <w:ind w:left="2" w:right="211"/>
      </w:pPr>
      <w:r>
        <w:t>(</w:t>
      </w:r>
      <w:r>
        <w:rPr>
          <w:b/>
        </w:rPr>
        <w:t>табл. 10.2</w:t>
      </w:r>
      <w:r>
        <w:t>) и оценивает целесо</w:t>
      </w:r>
      <w:r>
        <w:t>образность хирургического лечения. Эмпирическое лечение следует заменить таргетной терапией, как только возбудитель будет идентифицирован в течение 24–48 ч.</w:t>
      </w:r>
    </w:p>
    <w:p w:rsidR="008E3F15" w:rsidRDefault="005F449A">
      <w:pPr>
        <w:spacing w:after="31"/>
        <w:ind w:left="2" w:right="15"/>
      </w:pPr>
      <w:r>
        <w:rPr>
          <w:b/>
        </w:rPr>
        <w:t xml:space="preserve">Таблица 10.2. </w:t>
      </w:r>
      <w:r>
        <w:t>Антибактериальная терапия эндокардита естественного клапана</w:t>
      </w:r>
    </w:p>
    <w:tbl>
      <w:tblPr>
        <w:tblStyle w:val="TableGrid"/>
        <w:tblW w:w="10485" w:type="dxa"/>
        <w:tblInd w:w="37" w:type="dxa"/>
        <w:tblCellMar>
          <w:top w:w="80" w:type="dxa"/>
          <w:left w:w="41" w:type="dxa"/>
          <w:bottom w:w="0" w:type="dxa"/>
          <w:right w:w="49" w:type="dxa"/>
        </w:tblCellMar>
        <w:tblLook w:val="04A0" w:firstRow="1" w:lastRow="0" w:firstColumn="1" w:lastColumn="0" w:noHBand="0" w:noVBand="1"/>
      </w:tblPr>
      <w:tblGrid>
        <w:gridCol w:w="3135"/>
        <w:gridCol w:w="7350"/>
      </w:tblGrid>
      <w:tr w:rsidR="008E3F15">
        <w:trPr>
          <w:trHeight w:val="33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Возбудитель</w:t>
            </w:r>
          </w:p>
        </w:tc>
        <w:tc>
          <w:tcPr>
            <w:tcW w:w="7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Схема лечения</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Эмпирическое лечение внебольничного эндокардита</w:t>
            </w:r>
          </w:p>
        </w:tc>
        <w:tc>
          <w:tcPr>
            <w:tcW w:w="7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Ампициллин 12 г/сут в 4 приема в/в + цефтриаксон 4 г/сут в 2 приема в/в, в/м + гентамицин 3 мг/кг однократно в/в, в/м</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45" w:firstLine="0"/>
            </w:pPr>
            <w:r>
              <w:t>Эмпирическое лечение госпитального эндокардита</w:t>
            </w:r>
          </w:p>
        </w:tc>
        <w:tc>
          <w:tcPr>
            <w:tcW w:w="7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33" w:firstLine="0"/>
            </w:pPr>
            <w:r>
              <w:t xml:space="preserve">Ванкомицин 30 мг/кг в сутки в 2 приема в/в или даптомицин 10 мг/кг в сутки однократно + рифампин 900–1200 мг в/в, </w:t>
            </w:r>
            <w:r>
              <w:rPr>
                <w:i/>
              </w:rPr>
              <w:t xml:space="preserve">per os </w:t>
            </w:r>
            <w:r>
              <w:t>в 2 приема + гентамицин 3 мг/кг однократно в/в, в/м</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1147" w:firstLine="0"/>
            </w:pPr>
            <w:r>
              <w:t>Стрептококк, чувствительный к пенициллину</w:t>
            </w:r>
          </w:p>
        </w:tc>
        <w:tc>
          <w:tcPr>
            <w:tcW w:w="7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180" w:firstLine="0"/>
            </w:pPr>
            <w:r>
              <w:t>Цефтриаксон 2 г однократно или амоксицил</w:t>
            </w:r>
            <w:r>
              <w:t>лин 100–200 мг/кг в сутки в 4 приема в/в [4 нед]</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Стрептококк, резистентный к пенициллину</w:t>
            </w:r>
          </w:p>
        </w:tc>
        <w:tc>
          <w:tcPr>
            <w:tcW w:w="7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Цефтриаксон 2 г однократно или амоксициллин 2 г/сут в 6 приемов в/в [4 нед] + гентамицин 3 мг/кг однократно в/в [2 нед]</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1147" w:firstLine="0"/>
            </w:pPr>
            <w:r>
              <w:t>Стафилококк, чувствительный к метициллину</w:t>
            </w:r>
          </w:p>
        </w:tc>
        <w:tc>
          <w:tcPr>
            <w:tcW w:w="7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Цефазолин 6 г/сут в 3 приема или оксациллин 12 г/сут в 4 приема в/в [4–6 нед]</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Стафилококк, метициллинрезистентный</w:t>
            </w:r>
          </w:p>
        </w:tc>
        <w:tc>
          <w:tcPr>
            <w:tcW w:w="7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Ванкомицин 30–60 мг/кг в сутки в 2–3 приема в/в [4–6 нед]</w:t>
            </w:r>
          </w:p>
        </w:tc>
      </w:tr>
    </w:tbl>
    <w:p w:rsidR="008E3F15" w:rsidRDefault="005F449A">
      <w:pPr>
        <w:ind w:left="2" w:right="15"/>
      </w:pPr>
      <w:r>
        <w:t>Последнее проводят почти в половине случаев, оно включает удаление инфицированных тканей, инородных материалов, очистку и дренирование паравальвулярной инфекции, удаление источника эмболии, реконструкцию или замену клапана.</w:t>
      </w:r>
    </w:p>
    <w:p w:rsidR="008E3F15" w:rsidRDefault="005F449A">
      <w:pPr>
        <w:ind w:left="2" w:right="15"/>
      </w:pPr>
      <w:r>
        <w:t>Через 10 сут эффективного госпит</w:t>
      </w:r>
      <w:r>
        <w:t>ального лечения левостороннего эндокардита, вызванного стрептококком, энтерококком, золотистым или коагулазо-негативным стафилококком, клинически стабильного, без признаков формирующегося абсцесса или клапанных аномалий, требующих хирургии, можно продолжит</w:t>
      </w:r>
      <w:r>
        <w:t>ь антибактериальную терапию амбулаторно перорально (например, амоксициллин 1 г 4 раза + рифампицин 600 мг 2 раза для стрептококка, чувствительного к пенициллину, и стафилококка, чувствительного к метициллину), что позволит почти на 20 дней уменьшить длител</w:t>
      </w:r>
      <w:r>
        <w:t>ьность госпитализации (POET; POETry).</w:t>
      </w:r>
    </w:p>
    <w:p w:rsidR="008E3F15" w:rsidRDefault="005F449A">
      <w:pPr>
        <w:ind w:left="2" w:right="15"/>
      </w:pPr>
      <w:r>
        <w:t>В случае развития СН, неконтролируемой инфекции и высокого риска крупных эмболий показано своевременное хирургическое лечение.</w:t>
      </w:r>
    </w:p>
    <w:p w:rsidR="008E3F15" w:rsidRDefault="005F449A">
      <w:pPr>
        <w:pStyle w:val="Heading2"/>
        <w:ind w:left="2"/>
      </w:pPr>
      <w:r>
        <w:t>Показания для хирургического лечения (ESC, 2023)</w:t>
      </w:r>
    </w:p>
    <w:p w:rsidR="008E3F15" w:rsidRDefault="005F449A">
      <w:pPr>
        <w:spacing w:line="259" w:lineRule="auto"/>
        <w:ind w:left="347" w:right="0"/>
      </w:pPr>
      <w:r>
        <w:rPr>
          <w:rFonts w:ascii="Calibri" w:eastAsia="Calibri" w:hAnsi="Calibri" w:cs="Calibri"/>
          <w:noProof/>
          <w:color w:val="000000"/>
          <w:sz w:val="22"/>
        </w:rPr>
        <mc:AlternateContent>
          <mc:Choice Requires="wpg">
            <w:drawing>
              <wp:inline distT="0" distB="0" distL="0" distR="0">
                <wp:extent cx="57150" cy="57150"/>
                <wp:effectExtent l="0" t="0" r="0" b="0"/>
                <wp:docPr id="298728" name="Group 29872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349" name="Shape 13349"/>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891"/>
                                  <a:pt x="54975" y="17463"/>
                                </a:cubicBezTo>
                                <a:cubicBezTo>
                                  <a:pt x="56425" y="21034"/>
                                  <a:pt x="57150" y="24705"/>
                                  <a:pt x="57150" y="28575"/>
                                </a:cubicBezTo>
                                <a:cubicBezTo>
                                  <a:pt x="57150" y="32345"/>
                                  <a:pt x="56425" y="35917"/>
                                  <a:pt x="54975" y="39390"/>
                                </a:cubicBezTo>
                                <a:cubicBezTo>
                                  <a:pt x="53525" y="42863"/>
                                  <a:pt x="51460" y="46038"/>
                                  <a:pt x="48781" y="48716"/>
                                </a:cubicBezTo>
                                <a:cubicBezTo>
                                  <a:pt x="46101" y="51395"/>
                                  <a:pt x="43011" y="53479"/>
                                  <a:pt x="39510" y="54868"/>
                                </a:cubicBezTo>
                                <a:cubicBezTo>
                                  <a:pt x="36009" y="56257"/>
                                  <a:pt x="32364" y="57051"/>
                                  <a:pt x="28575" y="57150"/>
                                </a:cubicBezTo>
                                <a:cubicBezTo>
                                  <a:pt x="24786" y="57051"/>
                                  <a:pt x="21141" y="56257"/>
                                  <a:pt x="17640" y="54868"/>
                                </a:cubicBezTo>
                                <a:cubicBezTo>
                                  <a:pt x="14139" y="53479"/>
                                  <a:pt x="11049" y="51395"/>
                                  <a:pt x="8369" y="48716"/>
                                </a:cubicBezTo>
                                <a:cubicBezTo>
                                  <a:pt x="5690" y="46038"/>
                                  <a:pt x="3625" y="42863"/>
                                  <a:pt x="2175" y="39390"/>
                                </a:cubicBezTo>
                                <a:cubicBezTo>
                                  <a:pt x="725" y="35917"/>
                                  <a:pt x="0" y="32345"/>
                                  <a:pt x="0" y="28575"/>
                                </a:cubicBezTo>
                                <a:cubicBezTo>
                                  <a:pt x="0" y="24705"/>
                                  <a:pt x="725" y="21034"/>
                                  <a:pt x="2175" y="17463"/>
                                </a:cubicBezTo>
                                <a:cubicBezTo>
                                  <a:pt x="3625" y="13891"/>
                                  <a:pt x="5690" y="10914"/>
                                  <a:pt x="8369" y="8235"/>
                                </a:cubicBezTo>
                                <a:cubicBezTo>
                                  <a:pt x="11049" y="5556"/>
                                  <a:pt x="14139" y="3473"/>
                                  <a:pt x="17640" y="19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8728" style="width:4.5pt;height:4.5pt;mso-position-horizontal-relative:char;mso-position-vertical-relative:line" coordsize="571,571">
                <v:shape id="Shape 13349" style="position:absolute;width:571;height:571;left:0;top:0;" coordsize="57150,57150" path="m28575,0c32364,0,36009,695,39510,2084c43011,3473,46101,5556,48781,8235c51460,10914,53525,13891,54975,17463c56425,21034,57150,24705,57150,28575c57150,32345,56425,35917,54975,39390c53525,42863,51460,46038,48781,48716c46101,51395,43011,53479,39510,54868c36009,56257,32364,57051,28575,57150c24786,57051,21141,56257,17640,54868c14139,53479,11049,51395,8369,48716c5690,46038,3625,42863,2175,39390c725,35917,0,32345,0,28575c0,24705,725,21034,2175,17463c3625,13891,5690,10914,8369,8235c11049,5556,14139,3473,17640,1984c21141,695,24786,0,28575,0x">
                  <v:stroke weight="0pt" endcap="flat" joinstyle="miter" miterlimit="4" on="false" color="#000000" opacity="0"/>
                  <v:fill on="true" color="#333333"/>
                </v:shape>
              </v:group>
            </w:pict>
          </mc:Fallback>
        </mc:AlternateContent>
      </w:r>
      <w:r>
        <w:rPr>
          <w:i/>
        </w:rPr>
        <w:t xml:space="preserve"> СН.</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02" name="Group 29680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376" name="Shape 13376"/>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1034"/>
                                  <a:pt x="57150" y="24606"/>
                                  <a:pt x="57150" y="28575"/>
                                </a:cubicBezTo>
                                <a:cubicBezTo>
                                  <a:pt x="57150" y="32345"/>
                                  <a:pt x="56425" y="35917"/>
                                  <a:pt x="54975" y="39489"/>
                                </a:cubicBezTo>
                                <a:cubicBezTo>
                                  <a:pt x="53525" y="42863"/>
                                  <a:pt x="51460" y="45938"/>
                                  <a:pt x="48781" y="48716"/>
                                </a:cubicBezTo>
                                <a:cubicBezTo>
                                  <a:pt x="46101" y="51296"/>
                                  <a:pt x="43011" y="53380"/>
                                  <a:pt x="39510" y="54868"/>
                                </a:cubicBezTo>
                                <a:cubicBezTo>
                                  <a:pt x="36009" y="56356"/>
                                  <a:pt x="32364" y="57051"/>
                                  <a:pt x="28575" y="57150"/>
                                </a:cubicBezTo>
                                <a:cubicBezTo>
                                  <a:pt x="24786" y="57051"/>
                                  <a:pt x="21141" y="56356"/>
                                  <a:pt x="17640" y="54967"/>
                                </a:cubicBezTo>
                                <a:cubicBezTo>
                                  <a:pt x="14139" y="53380"/>
                                  <a:pt x="11049" y="51296"/>
                                  <a:pt x="8370" y="48716"/>
                                </a:cubicBezTo>
                                <a:cubicBezTo>
                                  <a:pt x="5690" y="45938"/>
                                  <a:pt x="3625" y="42863"/>
                                  <a:pt x="2175" y="39390"/>
                                </a:cubicBezTo>
                                <a:cubicBezTo>
                                  <a:pt x="725" y="35917"/>
                                  <a:pt x="0" y="32345"/>
                                  <a:pt x="0" y="28575"/>
                                </a:cubicBezTo>
                                <a:cubicBezTo>
                                  <a:pt x="0" y="24606"/>
                                  <a:pt x="725" y="21034"/>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02" style="width:4.50001pt;height:4.5pt;mso-position-horizontal-relative:char;mso-position-vertical-relative:line" coordsize="571,571">
                <v:shape id="Shape 13376" style="position:absolute;width:571;height:571;left:0;top:0;" coordsize="57150,57150" path="m28575,0c32364,0,36009,695,39510,2084c43011,3473,46101,5556,48781,8235c51460,10914,53525,13990,54975,17463c56425,21034,57150,24606,57150,28575c57150,32345,56425,35917,54975,39489c53525,42863,51460,45938,48781,48716c46101,51296,43011,53380,39510,54868c36009,56356,32364,57051,28575,57150c24786,57051,21141,56356,17640,54967c14139,53380,11049,51296,8370,48716c5690,45938,3625,42863,2175,39390c725,35917,0,32345,0,28575c0,24606,725,21034,2175,17463c3625,13990,5690,10914,8370,8235c11049,5556,14139,3473,17640,2084c21141,695,24786,0,28575,0x">
                  <v:stroke weight="0pt" endcap="flat" joinstyle="miter" miterlimit="10" on="false" color="#000000" opacity="0"/>
                  <v:fill on="true" color="#333333"/>
                </v:shape>
              </v:group>
            </w:pict>
          </mc:Fallback>
        </mc:AlternateContent>
      </w:r>
      <w:r>
        <w:t xml:space="preserve"> Экстренное хирургическое лечение р</w:t>
      </w:r>
      <w:r>
        <w:t>екомендуется при эндокардите естественного или искусственного аортального или митрального клапана с тяжелой регургитацией, обструкцией или фистулой, вызывающими рефрактерный отек легких или кардиогенный шок.</w:t>
      </w:r>
    </w:p>
    <w:p w:rsidR="008E3F15" w:rsidRDefault="005F449A">
      <w:pPr>
        <w:ind w:left="1207" w:right="158"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03" name="Group 29680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381" name="Shape 13381"/>
                        <wps:cNvSpPr/>
                        <wps:spPr>
                          <a:xfrm>
                            <a:off x="0" y="0"/>
                            <a:ext cx="57150" cy="57150"/>
                          </a:xfrm>
                          <a:custGeom>
                            <a:avLst/>
                            <a:gdLst/>
                            <a:ahLst/>
                            <a:cxnLst/>
                            <a:rect l="0" t="0" r="0" b="0"/>
                            <a:pathLst>
                              <a:path w="57150" h="57150">
                                <a:moveTo>
                                  <a:pt x="28575" y="0"/>
                                </a:moveTo>
                                <a:cubicBezTo>
                                  <a:pt x="32364" y="0"/>
                                  <a:pt x="36009" y="695"/>
                                  <a:pt x="39510" y="2084"/>
                                </a:cubicBezTo>
                                <a:cubicBezTo>
                                  <a:pt x="43011" y="3473"/>
                                  <a:pt x="46101" y="5556"/>
                                  <a:pt x="48781" y="8235"/>
                                </a:cubicBezTo>
                                <a:cubicBezTo>
                                  <a:pt x="51460" y="10914"/>
                                  <a:pt x="53525" y="13990"/>
                                  <a:pt x="54975" y="174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463"/>
                                </a:cubicBezTo>
                                <a:cubicBezTo>
                                  <a:pt x="3625" y="13990"/>
                                  <a:pt x="5690" y="10914"/>
                                  <a:pt x="8370" y="8235"/>
                                </a:cubicBezTo>
                                <a:cubicBezTo>
                                  <a:pt x="11049" y="5556"/>
                                  <a:pt x="14139" y="34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03" style="width:4.50001pt;height:4.5pt;mso-position-horizontal-relative:char;mso-position-vertical-relative:line" coordsize="571,571">
                <v:shape id="Shape 13381" style="position:absolute;width:571;height:571;left:0;top:0;" coordsize="57150,57150" path="m28575,0c32364,0,36009,695,39510,2084c43011,3473,46101,5556,48781,8235c51460,10914,53525,13990,54975,17463c56425,20935,57150,24705,57150,28575c57150,32246,56425,36016,54975,39390c53525,42863,51460,45839,48781,48617c46101,51197,43011,53280,39510,54769c36009,56257,32364,56952,28575,57150c24786,56952,21141,56257,17640,54769c14139,53280,11049,51197,8370,48617c5690,45839,3625,42664,2175,39291c725,35818,0,32246,0,28575c0,24705,725,20935,2175,17463c3625,13990,5690,10914,8370,8235c11049,5556,14139,3473,17640,2084c21141,695,24786,0,28575,0x">
                  <v:stroke weight="0pt" endcap="flat" joinstyle="miter" miterlimit="10" on="false" color="#000000" opacity="0"/>
                  <v:fill on="true" color="#333333"/>
                </v:shape>
              </v:group>
            </w:pict>
          </mc:Fallback>
        </mc:AlternateContent>
      </w:r>
      <w:r>
        <w:t xml:space="preserve"> Срочное хирургическое лечение рекомендуется пр</w:t>
      </w:r>
      <w:r>
        <w:t>и эндокардите аортального или митрального клапана с тяжелой регургитацией, обструкцией или свищем, вызывающими симптомы СН или эхокардиографические признаки нарушения гемодинамики.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24128" behindDoc="1" locked="0" layoutInCell="1" allowOverlap="1">
                <wp:simplePos x="0" y="0"/>
                <wp:positionH relativeFrom="column">
                  <wp:posOffset>214164</wp:posOffset>
                </wp:positionH>
                <wp:positionV relativeFrom="paragraph">
                  <wp:posOffset>34826</wp:posOffset>
                </wp:positionV>
                <wp:extent cx="438150" cy="209550"/>
                <wp:effectExtent l="0" t="0" r="0" b="0"/>
                <wp:wrapNone/>
                <wp:docPr id="296804" name="Group 296804"/>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3386" name="Shape 13386"/>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388" name="Shape 13388"/>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6804" style="width:34.5pt;height:16.5pt;position:absolute;z-index:-2147483637;mso-position-horizontal-relative:text;mso-position-horizontal:absolute;margin-left:16.8633pt;mso-position-vertical-relative:text;margin-top:2.74219pt;" coordsize="4381,2095">
                <v:shape id="Shape 13386" style="position:absolute;width:571;height:571;left:0;top:0;" coordsize="57150,57150" path="m28575,0c32364,0,36009,695,39510,2084c43011,3572,46101,5655,48781,8334c51460,10815,53525,13990,54975,17562c56425,20935,57150,24705,57150,28575c57150,32246,56425,35818,54975,39390c53525,42863,51460,45938,48781,48617c46101,51296,43011,53380,39510,54868c36009,56257,32364,56952,28575,57150c24786,56952,21141,56257,17640,54868c14139,53380,11049,51296,8369,48617c5690,45938,3625,42863,2175,39390c725,35818,0,32246,0,28575c0,24705,725,20935,2175,17562c3625,13990,5690,10815,8369,8334c11049,5655,14139,3572,17640,2084c21141,695,24786,0,28575,0x">
                  <v:stroke weight="0pt" endcap="flat" joinstyle="miter" miterlimit="10" on="false" color="#000000" opacity="0"/>
                  <v:fill on="true" color="#333333"/>
                </v:shape>
                <v:shape id="Shape 13388" style="position:absolute;width:571;height:571;left:3810;top:1524;" coordsize="57150,57150" path="m28575,0c32364,0,36009,695,39510,2084c43011,3572,46101,5655,48781,8334c51460,10815,53525,13990,54975,17562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562c3625,13990,5690,10815,8370,8334c11049,5655,14139,3572,17640,2084c21141,695,24786,0,28575,0x">
                  <v:stroke weight="0pt" endcap="flat" joinstyle="miter" miterlimit="10" on="false" color="#000000" opacity="0"/>
                  <v:fill on="true" color="#333333"/>
                </v:shape>
              </v:group>
            </w:pict>
          </mc:Fallback>
        </mc:AlternateContent>
      </w:r>
      <w:r>
        <w:rPr>
          <w:i/>
        </w:rPr>
        <w:t>Неконтролируемая инфекция.</w:t>
      </w:r>
    </w:p>
    <w:p w:rsidR="008E3F15" w:rsidRDefault="005F449A">
      <w:pPr>
        <w:ind w:left="1217" w:right="15"/>
      </w:pPr>
      <w:r>
        <w:t>Срочное хирургическое лечение рекомендуется при</w:t>
      </w:r>
      <w:r>
        <w:t xml:space="preserve"> локальной неконтролируемой инфекции (абсцесс, ложная аневризма, свищ, увеличивающаяся вегетация, повреждение протеза, новая атриовентрикулярная блокада).</w:t>
      </w:r>
    </w:p>
    <w:p w:rsidR="008E3F15" w:rsidRDefault="005F449A">
      <w:pPr>
        <w:ind w:left="1207" w:right="173"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05" name="Group 29680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392" name="Shape 1339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05" style="width:4.50001pt;height:4.5pt;mso-position-horizontal-relative:char;mso-position-vertical-relative:line" coordsize="571,571">
                <v:shape id="Shape 13392" style="position:absolute;width:571;height:571;left:0;top:0;" coordsize="57150,57150" path="m28575,0c32364,0,36009,695,39510,2084c43011,3572,46101,5655,48781,8334c51460,10815,53525,13990,54975,17562c56425,20935,57150,24705,57150,28575c57150,32246,56425,35818,54975,39390c53525,42863,51460,45839,48781,48617c46101,51197,43011,53280,39510,54769c36009,56257,32364,56952,28575,57150c24786,56952,21141,56257,17640,54868c14139,53280,11049,51197,8370,48617c5690,45839,3625,42863,2175,39390c725,35818,0,32246,0,28575c0,24705,725,20935,2175,17562c3625,13990,5690,10815,8370,8334c11049,5655,14139,3572,17640,2084c21141,695,24786,0,28575,0x">
                  <v:stroke weight="0pt" endcap="flat" joinstyle="miter" miterlimit="10" on="false" color="#000000" opacity="0"/>
                  <v:fill on="true" color="#333333"/>
                </v:shape>
              </v:group>
            </w:pict>
          </mc:Fallback>
        </mc:AlternateContent>
      </w:r>
      <w:r>
        <w:t xml:space="preserve"> При инфекционном эндокардите, вызванном грибками или мультирезистентными организмами, рекомендуется срочное или несрочное хирургическое лечение в зависимости от состояния гемодинамики.</w:t>
      </w:r>
    </w:p>
    <w:p w:rsidR="008E3F15" w:rsidRDefault="005F449A">
      <w:pPr>
        <w:spacing w:after="31"/>
        <w:ind w:left="947" w:right="15"/>
      </w:pPr>
      <w:r>
        <w:rPr>
          <w:rFonts w:ascii="Calibri" w:eastAsia="Calibri" w:hAnsi="Calibri" w:cs="Calibri"/>
          <w:noProof/>
          <w:color w:val="000000"/>
          <w:sz w:val="22"/>
        </w:rPr>
        <mc:AlternateContent>
          <mc:Choice Requires="wpg">
            <w:drawing>
              <wp:inline distT="0" distB="0" distL="0" distR="0">
                <wp:extent cx="57150" cy="57150"/>
                <wp:effectExtent l="0" t="0" r="0" b="0"/>
                <wp:docPr id="296806" name="Group 29680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396" name="Shape 13396"/>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816"/>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06" style="width:4.50001pt;height:4.5pt;mso-position-horizontal-relative:char;mso-position-vertical-relative:line" coordsize="571,571">
                <v:shape id="Shape 13396" style="position:absolute;width:571;height:571;left:0;top:0;" coordsize="57150,57150" path="m28575,0c32364,0,36009,695,39510,2084c43011,3572,46101,5655,48781,8334c51460,11013,53525,14089,54975,17562c56425,20935,57150,24705,57150,28575c57150,32246,56425,35818,54975,39390c53525,42863,51460,45938,48781,48816c46101,51296,43011,53380,39510,54868c36009,56257,32364,56952,28575,57150c24786,56952,21141,56257,17640,54868c14139,53380,11049,51296,8370,48816c5690,45938,3625,42863,2175,39390c725,35818,0,32246,0,28575c0,24705,725,20935,2175,17562c3625,14089,5690,11013,8370,8334c11049,5655,14139,3572,17640,2084c21141,695,24786,0,28575,0x">
                  <v:stroke weight="0pt" endcap="flat" joinstyle="miter" miterlimit="10" on="false" color="#000000" opacity="0"/>
                  <v:fill on="true" color="#333333"/>
                </v:shape>
              </v:group>
            </w:pict>
          </mc:Fallback>
        </mc:AlternateContent>
      </w:r>
      <w:r>
        <w:t xml:space="preserve"> Следует рассмотреть вопрос о срочном хирургическом лечении при</w:t>
      </w:r>
    </w:p>
    <w:p w:rsidR="008E3F15" w:rsidRDefault="005F449A">
      <w:pPr>
        <w:ind w:left="1217" w:right="15"/>
      </w:pPr>
      <w:r>
        <w:t>инфек</w:t>
      </w:r>
      <w:r>
        <w:t>ционном эндокардите с устойчиво положительными посевами крови &gt;1 нед или персистирующем сепсисе, несмотря на адекватную антибактериальную терапию и контроль метастатических очагов.</w:t>
      </w:r>
    </w:p>
    <w:p w:rsidR="008E3F15" w:rsidRDefault="005F449A">
      <w:pPr>
        <w:ind w:left="12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07" name="Group 29680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401" name="Shape 13401"/>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07" style="width:4.50001pt;height:4.5pt;mso-position-horizontal-relative:char;mso-position-vertical-relative:line" coordsize="571,571">
                <v:shape id="Shape 13401" style="position:absolute;width:571;height:571;left:0;top:0;" coordsize="57150,57150" path="m28575,0c32364,0,36009,695,39510,2084c43011,3572,46101,5655,48781,8334c51460,11013,53525,14089,54975,17562c56425,20935,57150,24705,57150,28575c57150,32246,56425,35818,54975,39291c53525,42863,51460,45938,48781,48617c46101,51296,43011,53380,39510,54769c36009,56356,32364,57150,28575,57150c24786,57150,21141,56356,17640,54769c14139,53380,11049,51296,8370,48617c5690,45938,3625,42863,2175,39291c725,35818,0,32246,0,28575c0,24705,725,20935,2175,17562c3625,14089,5690,11013,8370,8334c11049,5655,14139,3572,17640,2084c21141,695,24786,0,28575,0x">
                  <v:stroke weight="0pt" endcap="flat" joinstyle="miter" miterlimit="10" on="false" color="#000000" opacity="0"/>
                  <v:fill on="true" color="#333333"/>
                </v:shape>
              </v:group>
            </w:pict>
          </mc:Fallback>
        </mc:AlternateContent>
      </w:r>
      <w:r>
        <w:t xml:space="preserve"> Следует рассмотреть вопрос о срочном хирургическом лечении при эндокардит</w:t>
      </w:r>
      <w:r>
        <w:t>е искусственных клапанов, вызванном стафилококками или не-HACEK грамотрицательными бактериями.</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25152" behindDoc="1" locked="0" layoutInCell="1" allowOverlap="1">
                <wp:simplePos x="0" y="0"/>
                <wp:positionH relativeFrom="column">
                  <wp:posOffset>214164</wp:posOffset>
                </wp:positionH>
                <wp:positionV relativeFrom="paragraph">
                  <wp:posOffset>34826</wp:posOffset>
                </wp:positionV>
                <wp:extent cx="438150" cy="209550"/>
                <wp:effectExtent l="0" t="0" r="0" b="0"/>
                <wp:wrapNone/>
                <wp:docPr id="296808" name="Group 296808"/>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3405" name="Shape 1340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07" name="Shape 13407"/>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6808" style="width:34.5pt;height:16.5pt;position:absolute;z-index:-2147483618;mso-position-horizontal-relative:text;mso-position-horizontal:absolute;margin-left:16.8633pt;mso-position-vertical-relative:text;margin-top:2.74219pt;" coordsize="4381,2095">
                <v:shape id="Shape 13405" style="position:absolute;width:571;height:571;left:0;top:0;"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791,5690,10716,8369,8136c11049,5457,14139,3373,17640,2084c21141,695,24786,0,28575,0x">
                  <v:stroke weight="0pt" endcap="flat" joinstyle="miter" miterlimit="10" on="false" color="#000000" opacity="0"/>
                  <v:fill on="true" color="#333333"/>
                </v:shape>
                <v:shape id="Shape 13407" style="position:absolute;width:571;height:571;left:3810;top:1524;"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3791,5690,10716,8370,8136c11049,5457,14139,3373,17640,2084c21141,695,24786,0,28575,0x">
                  <v:stroke weight="0pt" endcap="flat" joinstyle="miter" miterlimit="10" on="false" color="#000000" opacity="0"/>
                  <v:fill on="true" color="#333333"/>
                </v:shape>
              </v:group>
            </w:pict>
          </mc:Fallback>
        </mc:AlternateContent>
      </w:r>
      <w:r>
        <w:rPr>
          <w:i/>
        </w:rPr>
        <w:t>Профилактика эмболий.</w:t>
      </w:r>
    </w:p>
    <w:p w:rsidR="008E3F15" w:rsidRDefault="005F449A">
      <w:pPr>
        <w:ind w:left="1217" w:right="151"/>
      </w:pPr>
      <w:r>
        <w:t>Срочное хирургическое лечение рекомендуется при эндокардите естественного или искусственного аортального или митрального клапана с персист</w:t>
      </w:r>
      <w:r>
        <w:t>ирующими вегетациями ≥10 мм после одного или нескольких эпизодов эмболии, несмотря на адекватную антибактериальную терапию.</w:t>
      </w:r>
    </w:p>
    <w:p w:rsidR="008E3F15" w:rsidRDefault="005F449A">
      <w:pPr>
        <w:ind w:left="1207" w:right="119"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10" name="Group 29681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412" name="Shape 13412"/>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10" style="width:4.50001pt;height:4.5pt;mso-position-horizontal-relative:char;mso-position-vertical-relative:line" coordsize="571,571">
                <v:shape id="Shape 13412"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group>
            </w:pict>
          </mc:Fallback>
        </mc:AlternateContent>
      </w:r>
      <w:r>
        <w:t xml:space="preserve"> Срочное хирургическое лечение рекомендуется при эндокардите естественного или искусственного аортального или митрального клапана с</w:t>
      </w:r>
      <w:r>
        <w:t xml:space="preserve"> вегетациями ≥10 мм и другими показаниями для хирургии.</w:t>
      </w:r>
    </w:p>
    <w:p w:rsidR="008E3F15" w:rsidRDefault="005F449A">
      <w:pPr>
        <w:ind w:left="1207" w:right="47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6811" name="Group 29681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416" name="Shape 1341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6811" style="width:4.50001pt;height:4.5pt;mso-position-horizontal-relative:char;mso-position-vertical-relative:line" coordsize="571,571">
                <v:shape id="Shape 13416"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group>
            </w:pict>
          </mc:Fallback>
        </mc:AlternateContent>
      </w:r>
      <w:r>
        <w:t xml:space="preserve"> Срочное хирургическое лечение может быть рассмотрено при аортальном или митральном инфекционном эндокардите с вегетацией ≥10 мм без тяжелой дисфункции клапана или без клинических признаков эмболии и</w:t>
      </w:r>
      <w:r>
        <w:t xml:space="preserve"> низком хирургическом риске.</w:t>
      </w:r>
    </w:p>
    <w:p w:rsidR="008E3F15" w:rsidRDefault="005F449A">
      <w:pPr>
        <w:ind w:left="2" w:right="15"/>
      </w:pPr>
      <w:r>
        <w:rPr>
          <w:b/>
        </w:rPr>
        <w:t xml:space="preserve">Прогноз. </w:t>
      </w:r>
      <w:r>
        <w:t>В связи с высокой постоперационной заболеваемостью и смертностью для прогнозирования исходов хирургии шкала PALSUSE может быть точнее более универсальных шкал EuroScore II и STS.</w:t>
      </w:r>
    </w:p>
    <w:p w:rsidR="008E3F15" w:rsidRDefault="005F449A">
      <w:pPr>
        <w:spacing w:after="359"/>
        <w:ind w:left="2" w:right="225"/>
      </w:pPr>
      <w:r>
        <w:rPr>
          <w:b/>
        </w:rPr>
        <w:t xml:space="preserve">Профилактика. </w:t>
      </w:r>
      <w:r>
        <w:t>Профилактические мероприя</w:t>
      </w:r>
      <w:r>
        <w:t>тия включают гигиену рта, антибиотики перед стоматологическими вмешательствами высокого риска: экстракция зуба, периодонтальная или имплантационная хирургия, оральная биопсия, манипуляции на десне или периапикальной области.</w:t>
      </w:r>
    </w:p>
    <w:p w:rsidR="008E3F15" w:rsidRDefault="005F449A">
      <w:pPr>
        <w:pStyle w:val="Heading1"/>
        <w:ind w:left="2"/>
      </w:pPr>
      <w:r>
        <w:t>Часть I. Сердечно-сосудистые бо</w:t>
      </w:r>
      <w:r>
        <w:t>лезни</w:t>
      </w:r>
    </w:p>
    <w:p w:rsidR="008E3F15" w:rsidRDefault="005F449A">
      <w:pPr>
        <w:spacing w:after="31"/>
        <w:ind w:left="2" w:right="15"/>
      </w:pPr>
      <w:r>
        <w:t>Вместе с тем до сих пор нет надежных доказательств эффективности</w:t>
      </w:r>
    </w:p>
    <w:p w:rsidR="008E3F15" w:rsidRDefault="005F449A">
      <w:pPr>
        <w:ind w:left="2" w:right="15"/>
      </w:pPr>
      <w:r>
        <w:t>антибиотикопрофилактики бактериального эндокардита у людей из группы риска, которым предстоит инвазивная стоматологическая процедура (Cochrane Reviews).</w:t>
      </w:r>
    </w:p>
    <w:p w:rsidR="008E3F15" w:rsidRDefault="005F449A">
      <w:pPr>
        <w:spacing w:after="133" w:line="259" w:lineRule="auto"/>
        <w:ind w:left="17" w:right="0"/>
      </w:pPr>
      <w:r>
        <w:rPr>
          <w:i/>
        </w:rPr>
        <w:t>Болезни сердца, требующие профилактики при стоматологических процедурах (ESC):</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26176" behindDoc="0" locked="0" layoutInCell="1" allowOverlap="1">
                <wp:simplePos x="0" y="0"/>
                <wp:positionH relativeFrom="column">
                  <wp:posOffset>214164</wp:posOffset>
                </wp:positionH>
                <wp:positionV relativeFrom="paragraph">
                  <wp:posOffset>34826</wp:posOffset>
                </wp:positionV>
                <wp:extent cx="57150" cy="666750"/>
                <wp:effectExtent l="0" t="0" r="0" b="0"/>
                <wp:wrapSquare wrapText="bothSides"/>
                <wp:docPr id="296812" name="Group 296812"/>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3435" name="Shape 1343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37" name="Shape 1343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40" name="Shape 1344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42" name="Shape 13442"/>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6812" style="width:4.5pt;height:52.5pt;position:absolute;mso-position-horizontal-relative:text;mso-position-horizontal:absolute;margin-left:16.8633pt;mso-position-vertical-relative:text;margin-top:2.74219pt;" coordsize="571,6667">
                <v:shape id="Shape 13435" style="position:absolute;width:571;height:571;left:0;top:0;" coordsize="57150,57150" path="m28575,0c32364,0,36009,695,39510,2084c43011,3373,46101,5457,48781,8136c51460,10815,53525,13990,54975,17363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363c3625,13990,5690,10815,8369,8136c11049,5457,14139,3373,17640,2084c21141,695,24786,0,28575,0x">
                  <v:stroke weight="0pt" endcap="flat" joinstyle="miter" miterlimit="10" on="false" color="#000000" opacity="0"/>
                  <v:fill on="true" color="#333333"/>
                </v:shape>
                <v:shape id="Shape 13437" style="position:absolute;width:571;height:571;left:0;top:1524;" coordsize="57150,57150" path="m28575,0c32364,0,36009,695,39510,2084c43011,3373,46101,5457,48781,8136c51460,10815,53525,13990,54975,17363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363c3625,13990,5690,10815,8369,8136c11049,5457,14139,3373,17640,2084c21141,695,24786,0,28575,0x">
                  <v:stroke weight="0pt" endcap="flat" joinstyle="miter" miterlimit="10" on="false" color="#000000" opacity="0"/>
                  <v:fill on="true" color="#333333"/>
                </v:shape>
                <v:shape id="Shape 13440" style="position:absolute;width:571;height:571;left:0;top:4572;"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3442" style="position:absolute;width:571;height:571;left:0;top:6096;"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w10:wrap type="square"/>
              </v:group>
            </w:pict>
          </mc:Fallback>
        </mc:AlternateContent>
      </w:r>
      <w:r>
        <w:t>предшествующий инфекционный эндокардит;</w:t>
      </w:r>
    </w:p>
    <w:p w:rsidR="008E3F15" w:rsidRDefault="005F449A">
      <w:pPr>
        <w:ind w:left="347" w:right="15"/>
      </w:pPr>
      <w:r>
        <w:t>имплантированные искусственные клапаны, хирургия с любыми материалами для коррекции клапана сердца;</w:t>
      </w:r>
    </w:p>
    <w:p w:rsidR="008E3F15" w:rsidRDefault="005F449A">
      <w:pPr>
        <w:ind w:left="347" w:right="15"/>
      </w:pPr>
      <w:r>
        <w:t>транскатетерно имплантированные аорт</w:t>
      </w:r>
      <w:r>
        <w:t>альные или легочные клапаны; некорригированные цианотичные болезни, хирургические или транскатетерные процедуры с послеоперационным паллиативным шунтом, кондуитом или другим протезом;</w:t>
      </w:r>
    </w:p>
    <w:p w:rsidR="008E3F15" w:rsidRDefault="005F449A">
      <w:pPr>
        <w:spacing w:after="179"/>
        <w:ind w:left="347" w:right="2203"/>
      </w:pPr>
      <w:r>
        <w:rPr>
          <w:rFonts w:ascii="Calibri" w:eastAsia="Calibri" w:hAnsi="Calibri" w:cs="Calibri"/>
          <w:noProof/>
          <w:color w:val="000000"/>
          <w:sz w:val="22"/>
        </w:rPr>
        <mc:AlternateContent>
          <mc:Choice Requires="wpg">
            <w:drawing>
              <wp:anchor distT="0" distB="0" distL="114300" distR="114300" simplePos="0" relativeHeight="251827200" behindDoc="0" locked="0" layoutInCell="1" allowOverlap="1">
                <wp:simplePos x="0" y="0"/>
                <wp:positionH relativeFrom="column">
                  <wp:posOffset>214164</wp:posOffset>
                </wp:positionH>
                <wp:positionV relativeFrom="paragraph">
                  <wp:posOffset>34826</wp:posOffset>
                </wp:positionV>
                <wp:extent cx="57150" cy="209550"/>
                <wp:effectExtent l="0" t="0" r="0" b="0"/>
                <wp:wrapSquare wrapText="bothSides"/>
                <wp:docPr id="296813" name="Group 296813"/>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13446" name="Shape 1344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48" name="Shape 1344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6813" style="width:4.5pt;height:16.5pt;position:absolute;mso-position-horizontal-relative:text;mso-position-horizontal:absolute;margin-left:16.8633pt;mso-position-vertical-relative:text;margin-top:2.74219pt;" coordsize="571,2095">
                <v:shape id="Shape 13446" style="position:absolute;width:571;height:571;left:0;top:0;" coordsize="57150,57150" path="m28575,0c32364,0,36009,695,39510,2084c43011,3373,46101,5457,48781,8334c51460,11013,53525,14089,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4089,5690,11013,8369,8334c11049,5457,14139,3373,17640,2084c21141,695,24786,0,28575,0x">
                  <v:stroke weight="0pt" endcap="flat" joinstyle="miter" miterlimit="10" on="false" color="#000000" opacity="0"/>
                  <v:fill on="true" color="#333333"/>
                </v:shape>
                <v:shape id="Shape 13448" style="position:absolute;width:571;height:571;left:0;top:1524;" coordsize="57150,57150" path="m28575,0c32364,0,36009,695,39510,2084c43011,3373,46101,5457,48781,8334c51460,11013,53525,14089,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4089,5690,11013,8369,8334c11049,5457,14139,3373,17640,2084c21141,695,24786,0,28575,0x">
                  <v:stroke weight="0pt" endcap="flat" joinstyle="miter" miterlimit="10" on="false" color="#000000" opacity="0"/>
                  <v:fill on="true" color="#333333"/>
                </v:shape>
                <w10:wrap type="square"/>
              </v:group>
            </w:pict>
          </mc:Fallback>
        </mc:AlternateContent>
      </w:r>
      <w:r>
        <w:t>помощники левого желудочка; транскатетрная коррекция митрального и трик</w:t>
      </w:r>
      <w:r>
        <w:t>успидального клапана.</w:t>
      </w:r>
    </w:p>
    <w:p w:rsidR="008E3F15" w:rsidRDefault="005F449A">
      <w:pPr>
        <w:ind w:left="2" w:right="15"/>
      </w:pPr>
      <w:r>
        <w:t xml:space="preserve">За 30–60 мин до стоматологической процедуры рекомендуют принять один из антибактериальных препаратов: амоксициллин 2 г </w:t>
      </w:r>
      <w:r>
        <w:rPr>
          <w:i/>
        </w:rPr>
        <w:t>per os</w:t>
      </w:r>
      <w:r>
        <w:t xml:space="preserve">, ампициллин 2 г в/м или в/в. В случае аллергии на пенициллины используют: азитромицин 500 мг </w:t>
      </w:r>
      <w:r>
        <w:rPr>
          <w:i/>
        </w:rPr>
        <w:t>per os</w:t>
      </w:r>
      <w:r>
        <w:t xml:space="preserve">, цефалексин 2 г </w:t>
      </w:r>
      <w:r>
        <w:rPr>
          <w:i/>
        </w:rPr>
        <w:t>per os</w:t>
      </w:r>
      <w:r>
        <w:t>, цефазолин 1 г в/м или в/в, цефтриаксон 1 г в/м или в/в.</w:t>
      </w:r>
    </w:p>
    <w:p w:rsidR="008E3F15" w:rsidRDefault="005F449A">
      <w:pPr>
        <w:spacing w:after="359"/>
        <w:ind w:left="2" w:right="15"/>
      </w:pPr>
      <w:r>
        <w:t>Анализ последних исследований американскими экспертами AHA показал, что у пациентов высокого риска ряд нестоматологических процедур (имплантация электронных устройств, бронхос</w:t>
      </w:r>
      <w:r>
        <w:t>копия, желудочно-кишечная эндоскопия, пункция костного мозга, гемотрансфузии) повышают риск инфекционного эндокардита.</w:t>
      </w:r>
    </w:p>
    <w:p w:rsidR="008E3F15" w:rsidRDefault="005F449A">
      <w:pPr>
        <w:pStyle w:val="Heading1"/>
        <w:ind w:left="2"/>
      </w:pPr>
      <w:r>
        <w:t>Часть I. Сердечно-сосудистые болезни</w:t>
      </w:r>
    </w:p>
    <w:p w:rsidR="008E3F15" w:rsidRDefault="005F449A">
      <w:pPr>
        <w:spacing w:after="179"/>
        <w:ind w:left="2" w:right="6578"/>
      </w:pPr>
      <w:r>
        <w:t xml:space="preserve">Глава 11. Мио кардиты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28224" behindDoc="0" locked="0" layoutInCell="1" allowOverlap="1">
                <wp:simplePos x="0" y="0"/>
                <wp:positionH relativeFrom="column">
                  <wp:posOffset>214164</wp:posOffset>
                </wp:positionH>
                <wp:positionV relativeFrom="paragraph">
                  <wp:posOffset>34826</wp:posOffset>
                </wp:positionV>
                <wp:extent cx="57150" cy="1428750"/>
                <wp:effectExtent l="0" t="0" r="0" b="0"/>
                <wp:wrapSquare wrapText="bothSides"/>
                <wp:docPr id="297209" name="Group 297209"/>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13475" name="Shape 1347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77" name="Shape 1347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79" name="Shape 1347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81" name="Shape 13481"/>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83" name="Shape 13483"/>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85" name="Shape 1348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87" name="Shape 1348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89" name="Shape 13489"/>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91" name="Shape 13491"/>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93" name="Shape 13493"/>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209" style="width:4.5pt;height:112.5pt;position:absolute;mso-position-horizontal-relative:text;mso-position-horizontal:absolute;margin-left:16.8633pt;mso-position-vertical-relative:text;margin-top:2.74219pt;" coordsize="571,14287">
                <v:shape id="Shape 13475" style="position:absolute;width:571;height:571;left:0;top:0;"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791,5690,10716,8369,8136c11049,5457,14139,3373,17640,2084c21141,695,24786,0,28575,0x">
                  <v:stroke weight="0pt" endcap="flat" joinstyle="miter" miterlimit="10" on="false" color="#000000" opacity="0"/>
                  <v:fill on="true" color="#333333"/>
                </v:shape>
                <v:shape id="Shape 13477" style="position:absolute;width:571;height:571;left:0;top:1524;"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791,5690,10716,8369,8136c11049,5457,14139,3373,17640,2084c21141,695,24786,0,28575,0x">
                  <v:stroke weight="0pt" endcap="flat" joinstyle="miter" miterlimit="10" on="false" color="#000000" opacity="0"/>
                  <v:fill on="true" color="#333333"/>
                </v:shape>
                <v:shape id="Shape 13479" style="position:absolute;width:571;height:571;left:0;top:3048;"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81" style="position:absolute;width:571;height:571;left:0;top:4572;"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83" style="position:absolute;width:571;height:571;left:0;top:6096;"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85" style="position:absolute;width:571;height:571;left:0;top:7620;"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87" style="position:absolute;width:571;height:571;left:0;top:9144;"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89" style="position:absolute;width:571;height:571;left:0;top:1066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91" style="position:absolute;width:571;height:571;left:0;top:12192;"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493" style="position:absolute;width:571;height:571;left:0;top:13716;" coordsize="57150,57150" path="m28575,0c32364,0,36009,695,39510,2084c43011,3373,46101,5457,48781,8334c51460,10815,53525,13990,54975,17562c56425,20935,57150,24705,57150,28575c57150,32246,56425,35818,54975,39291c53525,42863,51460,45938,48781,48617c46101,51296,43011,53380,39510,54868c36009,56356,32364,57150,28575,57150c24786,57150,21141,56356,17640,54868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ЭКГ.</w:t>
      </w:r>
    </w:p>
    <w:p w:rsidR="008E3F15" w:rsidRDefault="005F449A">
      <w:pPr>
        <w:spacing w:after="31"/>
        <w:ind w:left="347" w:right="15"/>
      </w:pPr>
      <w:r>
        <w:t>Трансторакальная эхокардиография.</w:t>
      </w:r>
    </w:p>
    <w:p w:rsidR="008E3F15" w:rsidRDefault="005F449A">
      <w:pPr>
        <w:spacing w:after="31"/>
        <w:ind w:left="347" w:right="15"/>
      </w:pPr>
      <w:r>
        <w:t>Магнитно-резонансная томог</w:t>
      </w:r>
      <w:r>
        <w:t>рафия сердца.</w:t>
      </w:r>
    </w:p>
    <w:p w:rsidR="008E3F15" w:rsidRDefault="005F449A">
      <w:pPr>
        <w:spacing w:after="31"/>
        <w:ind w:left="347" w:right="15"/>
      </w:pPr>
      <w:r>
        <w:t>Анализ крови.</w:t>
      </w:r>
    </w:p>
    <w:p w:rsidR="008E3F15" w:rsidRDefault="005F449A">
      <w:pPr>
        <w:spacing w:after="31"/>
        <w:ind w:left="347" w:right="15"/>
      </w:pPr>
      <w:r>
        <w:t>Сердечные биомаркеры: тропонины, натрийуретический пептид.</w:t>
      </w:r>
    </w:p>
    <w:p w:rsidR="008E3F15" w:rsidRDefault="005F449A">
      <w:pPr>
        <w:spacing w:after="31"/>
        <w:ind w:left="347" w:right="15"/>
      </w:pPr>
      <w:r>
        <w:t>Серологические тесты: гепатит С, вирус иммунодефицита человека (ВИЧ).</w:t>
      </w:r>
    </w:p>
    <w:p w:rsidR="008E3F15" w:rsidRDefault="005F449A">
      <w:pPr>
        <w:spacing w:after="31"/>
        <w:ind w:left="347" w:right="15"/>
      </w:pPr>
      <w:r>
        <w:t>Сердечные аутоантитела.</w:t>
      </w:r>
    </w:p>
    <w:p w:rsidR="008E3F15" w:rsidRDefault="005F449A">
      <w:pPr>
        <w:spacing w:after="31"/>
        <w:ind w:left="347" w:right="15"/>
      </w:pPr>
      <w:r>
        <w:t>Мониторирование ЭКГ.</w:t>
      </w:r>
    </w:p>
    <w:p w:rsidR="008E3F15" w:rsidRDefault="005F449A">
      <w:pPr>
        <w:spacing w:after="179"/>
        <w:ind w:left="347" w:right="15"/>
      </w:pPr>
      <w:r>
        <w:t>Эндомио кардиальная биопсия, полимеразная цепная реакция для диагностики вирусов. Коронарная ангиография.</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29248"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97210" name="Group 297210"/>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496" name="Shape 1349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498" name="Shape 1349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00" name="Shape 1350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210" style="width:4.5pt;height:28.5pt;position:absolute;mso-position-horizontal-relative:text;mso-position-horizontal:absolute;margin-left:16.8633pt;mso-position-vertical-relative:text;margin-top:2.74219pt;" coordsize="571,3619">
                <v:shape id="Shape 13496" style="position:absolute;width:571;height:571;left:0;top:0;" coordsize="57150,57150" path="m28575,0c32364,0,36009,695,39510,2084c43011,3373,46101,5457,48781,8334c51460,10815,53525,13990,54975,17562c56425,20935,57150,24705,57150,28575c57150,32246,56425,35818,54975,39291c53525,42664,51460,45839,48781,48617c46101,51296,43011,53380,39510,54769c36009,56257,32364,56952,28575,57150c24786,56952,21141,56257,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3498" style="position:absolute;width:571;height:571;left:0;top:1524;" coordsize="57150,57150" path="m28575,0c32364,0,36009,695,39510,2084c43011,3572,46101,5655,48781,8334c51460,10815,53525,13990,54975,17562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562c3625,13990,5690,10815,8369,8334c11049,5655,14139,3572,17640,2084c21141,695,24786,0,28575,0x">
                  <v:stroke weight="0pt" endcap="flat" joinstyle="miter" miterlimit="10" on="false" color="#000000" opacity="0"/>
                  <v:fill on="true" color="#333333"/>
                </v:shape>
                <v:shape id="Shape 13500" style="position:absolute;width:571;height:571;left:0;top:3048;" coordsize="57150,57150" path="m28575,0c32364,0,36009,695,39510,2084c43011,3572,46101,5655,48781,8334c51460,10815,53525,13990,54975,17363c56425,20935,57150,24705,57150,28575c57150,32246,56425,35818,54975,39390c53525,42863,51460,45938,48781,48816c46101,51296,43011,53380,39510,54868c36009,56356,32364,57150,28575,57150c24786,57150,21141,56356,17640,54868c14139,53380,11049,51296,8369,48816c5690,45938,3625,42863,2175,39390c725,35818,0,32246,0,28575c0,24705,725,20935,2175,17363c3625,13990,5690,10815,8369,8334c11049,5655,14139,3572,17640,2084c21141,695,24786,0,28575,0x">
                  <v:stroke weight="0pt" endcap="flat" joinstyle="miter" miterlimit="10" on="false" color="#000000" opacity="0"/>
                  <v:fill on="true" color="#333333"/>
                </v:shape>
                <w10:wrap type="square"/>
              </v:group>
            </w:pict>
          </mc:Fallback>
        </mc:AlternateContent>
      </w:r>
      <w:r>
        <w:t>Лечение СН, аритмий.</w:t>
      </w:r>
    </w:p>
    <w:p w:rsidR="008E3F15" w:rsidRDefault="005F449A">
      <w:pPr>
        <w:spacing w:after="31"/>
        <w:ind w:left="347" w:right="15"/>
      </w:pPr>
      <w:r>
        <w:t>НПВП.</w:t>
      </w:r>
    </w:p>
    <w:p w:rsidR="008E3F15" w:rsidRDefault="005F449A">
      <w:pPr>
        <w:spacing w:after="345"/>
        <w:ind w:left="347" w:right="15"/>
      </w:pPr>
      <w:r>
        <w:t>Глюкокортикоиды.</w:t>
      </w:r>
    </w:p>
    <w:p w:rsidR="008E3F15" w:rsidRDefault="005F449A">
      <w:pPr>
        <w:pStyle w:val="Heading1"/>
        <w:ind w:left="2"/>
      </w:pPr>
      <w:r>
        <w:t>Часть I. Сердечно-сосудистые болезни</w:t>
      </w:r>
    </w:p>
    <w:p w:rsidR="008E3F15" w:rsidRDefault="005F449A">
      <w:pPr>
        <w:spacing w:after="165"/>
        <w:ind w:left="2" w:right="15"/>
      </w:pPr>
      <w:r>
        <w:t>Причины и факторы риска</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30272" behindDoc="1" locked="0" layoutInCell="1" allowOverlap="1">
                <wp:simplePos x="0" y="0"/>
                <wp:positionH relativeFrom="column">
                  <wp:posOffset>214164</wp:posOffset>
                </wp:positionH>
                <wp:positionV relativeFrom="paragraph">
                  <wp:posOffset>34826</wp:posOffset>
                </wp:positionV>
                <wp:extent cx="438150" cy="209550"/>
                <wp:effectExtent l="0" t="0" r="0" b="0"/>
                <wp:wrapNone/>
                <wp:docPr id="297211" name="Group 297211"/>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3504" name="Shape 13504"/>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06" name="Shape 13506"/>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211" style="width:34.5pt;height:16.5pt;position:absolute;z-index:-2147483611;mso-position-horizontal-relative:text;mso-position-horizontal:absolute;margin-left:16.8633pt;mso-position-vertical-relative:text;margin-top:2.74219pt;" coordsize="4381,2095">
                <v:shape id="Shape 13504" style="position:absolute;width:571;height:571;left:0;top:0;" coordsize="57150,57150" path="m28575,0c32364,0,36009,595,39510,1885c43011,3373,46101,5457,48781,8136c51460,10815,53525,13990,54975,17363c56425,20935,57150,24705,57150,28575c57150,32246,56425,36016,54975,39390c53525,42863,51460,45839,48781,48617c46101,51296,43011,53380,39510,54868c36009,56257,32364,56952,28575,57150c24786,56952,21141,56257,17640,54868c14139,53380,11049,51296,8369,48617c5690,45839,3625,42664,2175,39291c725,35818,0,32246,0,28575c0,24705,725,20935,2175,17363c3625,13990,5690,10815,8369,8136c11049,5457,14139,3373,17640,1885c21141,595,24786,0,28575,0x">
                  <v:stroke weight="0pt" endcap="flat" joinstyle="miter" miterlimit="10" on="false" color="#000000" opacity="0"/>
                  <v:fill on="true" color="#333333"/>
                </v:shape>
                <v:shape id="Shape 13506" style="position:absolute;width:571;height:571;left:3810;top:1524;" coordsize="57150,57150" path="m28575,0c32364,0,36009,695,39510,2084c43011,3373,46101,5457,48781,8136c51460,10815,53525,13990,54975,17363c56425,20935,57150,24705,57150,28575c57150,32246,56425,36016,54975,39390c53525,42863,51460,45839,48781,48617c46101,51197,43011,53280,39510,54769c36009,56257,32364,56952,28575,57150c24786,56952,21141,56257,17640,54769c14139,53280,11049,51197,8370,48617c5690,45839,3625,42664,2175,39291c725,35818,0,32246,0,28575c0,24705,725,20935,2175,17363c3625,13990,5690,10815,8370,8136c11049,5457,14139,3373,17640,2084c21141,695,24786,0,28575,0x">
                  <v:stroke weight="0pt" endcap="flat" joinstyle="miter" miterlimit="10" on="false" color="#000000" opacity="0"/>
                  <v:fill on="true" color="#333333"/>
                </v:shape>
              </v:group>
            </w:pict>
          </mc:Fallback>
        </mc:AlternateContent>
      </w:r>
      <w:r>
        <w:rPr>
          <w:i/>
        </w:rPr>
        <w:t>Инфекционный мио кардит.</w:t>
      </w:r>
    </w:p>
    <w:p w:rsidR="008E3F15" w:rsidRDefault="005F449A">
      <w:pPr>
        <w:ind w:left="1217" w:right="15"/>
      </w:pPr>
      <w:r>
        <w:t>Вирусы: па</w:t>
      </w:r>
      <w:r>
        <w:t>рвовирус B19, человеческого герпеса-6, Коксаки A и B, эховирусы, гриппа A и B, респираторно-синциатиальный, гепатита C, ВИЧ-1, аденовирус, цитомегаловирус, Эпштейна–Барр, SARS-CoV-2.</w:t>
      </w:r>
    </w:p>
    <w:p w:rsidR="008E3F15" w:rsidRDefault="005F449A">
      <w:pPr>
        <w:spacing w:line="259" w:lineRule="auto"/>
        <w:ind w:left="1207" w:right="0"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7212" name="Group 29721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510" name="Shape 13510"/>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7212" style="width:4.50001pt;height:4.5pt;mso-position-horizontal-relative:char;mso-position-vertical-relative:line" coordsize="571,571">
                <v:shape id="Shape 13510" style="position:absolute;width:571;height:571;left:0;top:0;" coordsize="57150,57150" path="m28575,0c32364,0,36009,695,39510,2084c43011,3373,46101,5457,48781,8136c51460,10815,53525,13990,54975,17363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363c3625,13990,5690,10815,8370,8136c11049,5457,14139,3373,17640,2084c21141,695,24786,0,28575,0x">
                  <v:stroke weight="0pt" endcap="flat" joinstyle="miter" miterlimit="10" on="false" color="#000000" opacity="0"/>
                  <v:fill on="true" color="#333333"/>
                </v:shape>
              </v:group>
            </w:pict>
          </mc:Fallback>
        </mc:AlternateContent>
      </w:r>
      <w:r>
        <w:t xml:space="preserve"> Бактерии: </w:t>
      </w:r>
      <w:r>
        <w:rPr>
          <w:i/>
        </w:rPr>
        <w:t>Staphylococcus, Streptococcus, Pneumococcus, Meningococcus, G</w:t>
      </w:r>
      <w:r>
        <w:rPr>
          <w:i/>
        </w:rPr>
        <w:t xml:space="preserve">onococcus, Salmonella, Corynebacterium diphtheriae, Haemophilus influenzae, Mycobacterium </w:t>
      </w:r>
      <w:r>
        <w:t>(</w:t>
      </w:r>
      <w:r>
        <w:rPr>
          <w:i/>
        </w:rPr>
        <w:t>tuberculosis</w:t>
      </w:r>
      <w:r>
        <w:t xml:space="preserve">), </w:t>
      </w:r>
      <w:r>
        <w:rPr>
          <w:i/>
        </w:rPr>
        <w:t>Mycoplasma pneumoniae, Brucella</w:t>
      </w:r>
      <w:r>
        <w:t>.</w:t>
      </w:r>
    </w:p>
    <w:p w:rsidR="008E3F15" w:rsidRDefault="005F449A">
      <w:pPr>
        <w:spacing w:after="31"/>
        <w:ind w:left="347" w:right="15"/>
      </w:pPr>
      <w:r>
        <w:t xml:space="preserve">Спирохеты: </w:t>
      </w:r>
      <w:r>
        <w:rPr>
          <w:i/>
        </w:rPr>
        <w:t>Borrelia</w:t>
      </w:r>
      <w:r>
        <w:t xml:space="preserve"> (болезнь Лайма), </w:t>
      </w:r>
      <w:r>
        <w:rPr>
          <w:i/>
        </w:rPr>
        <w:t>Leptospira</w:t>
      </w:r>
      <w:r>
        <w:t>.</w:t>
      </w:r>
    </w:p>
    <w:p w:rsidR="008E3F15" w:rsidRDefault="005F449A">
      <w:pPr>
        <w:spacing w:line="259" w:lineRule="auto"/>
        <w:ind w:left="602" w:right="0"/>
      </w:pPr>
      <w:r>
        <w:t xml:space="preserve">Грибы: </w:t>
      </w:r>
      <w:r>
        <w:rPr>
          <w:i/>
        </w:rPr>
        <w:t>Aspergillus, Actinomyces, Blastomyces, Candida, Coccidioides,</w:t>
      </w:r>
      <w:r>
        <w:rPr>
          <w:i/>
        </w:rPr>
        <w:t xml:space="preserve"> Cryptococcus, Histoplasma, Mucormycoses, Nocardia, Sporothrix</w:t>
      </w:r>
      <w:r>
        <w:t>.</w:t>
      </w:r>
    </w:p>
    <w:p w:rsidR="008E3F15" w:rsidRDefault="005F449A">
      <w:pPr>
        <w:spacing w:line="259" w:lineRule="auto"/>
        <w:ind w:left="602" w:right="0"/>
      </w:pPr>
      <w:r>
        <w:t xml:space="preserve">Простейшие: </w:t>
      </w:r>
      <w:r>
        <w:rPr>
          <w:i/>
        </w:rPr>
        <w:t>Trypanosome cruzii</w:t>
      </w:r>
      <w:r>
        <w:t xml:space="preserve"> (болезнь Чагаса), </w:t>
      </w:r>
      <w:r>
        <w:rPr>
          <w:i/>
        </w:rPr>
        <w:t>Toxoplasma gondii, Entamoeba, Leishmania</w:t>
      </w:r>
      <w:r>
        <w:t>.</w:t>
      </w:r>
    </w:p>
    <w:p w:rsidR="008E3F15" w:rsidRDefault="005F449A">
      <w:pPr>
        <w:spacing w:line="259" w:lineRule="auto"/>
        <w:ind w:left="602" w:right="0"/>
      </w:pPr>
      <w:r>
        <w:t xml:space="preserve">Рикетсии: </w:t>
      </w:r>
      <w:r>
        <w:rPr>
          <w:i/>
        </w:rPr>
        <w:t>Coxiella burnetii, R. rickettsii, R. tsutsugamuschi</w:t>
      </w:r>
      <w:r>
        <w:t>.</w:t>
      </w:r>
    </w:p>
    <w:p w:rsidR="008E3F15" w:rsidRDefault="005F449A">
      <w:pPr>
        <w:spacing w:line="259" w:lineRule="auto"/>
        <w:ind w:left="602" w:right="0"/>
      </w:pPr>
      <w:r>
        <w:t xml:space="preserve">Гельминты: </w:t>
      </w:r>
      <w:r>
        <w:rPr>
          <w:i/>
        </w:rPr>
        <w:t>Trichinella spiralis, Echinococcus granulosus, Taenia solium</w:t>
      </w:r>
      <w:r>
        <w:t>.</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31296" behindDoc="0" locked="0" layoutInCell="1" allowOverlap="1">
                <wp:simplePos x="0" y="0"/>
                <wp:positionH relativeFrom="column">
                  <wp:posOffset>214164</wp:posOffset>
                </wp:positionH>
                <wp:positionV relativeFrom="paragraph">
                  <wp:posOffset>-1031973</wp:posOffset>
                </wp:positionV>
                <wp:extent cx="438150" cy="1581150"/>
                <wp:effectExtent l="0" t="0" r="0" b="0"/>
                <wp:wrapSquare wrapText="bothSides"/>
                <wp:docPr id="297213" name="Group 297213"/>
                <wp:cNvGraphicFramePr/>
                <a:graphic xmlns:a="http://schemas.openxmlformats.org/drawingml/2006/main">
                  <a:graphicData uri="http://schemas.microsoft.com/office/word/2010/wordprocessingGroup">
                    <wpg:wgp>
                      <wpg:cNvGrpSpPr/>
                      <wpg:grpSpPr>
                        <a:xfrm>
                          <a:off x="0" y="0"/>
                          <a:ext cx="438150" cy="1581150"/>
                          <a:chOff x="0" y="0"/>
                          <a:chExt cx="438150" cy="1581150"/>
                        </a:xfrm>
                      </wpg:grpSpPr>
                      <wps:wsp>
                        <wps:cNvPr id="13519" name="Shape 13519"/>
                        <wps:cNvSpPr/>
                        <wps:spPr>
                          <a:xfrm>
                            <a:off x="38100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25" name="Shape 13525"/>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30" name="Shape 13530"/>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37" name="Shape 13537"/>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41" name="Shape 13541"/>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45" name="Shape 13545"/>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47" name="Shape 13547"/>
                        <wps:cNvSpPr/>
                        <wps:spPr>
                          <a:xfrm>
                            <a:off x="38100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50" name="Shape 13550"/>
                        <wps:cNvSpPr/>
                        <wps:spPr>
                          <a:xfrm>
                            <a:off x="381000" y="1524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213" style="width:34.5pt;height:124.5pt;position:absolute;mso-position-horizontal-relative:text;mso-position-horizontal:absolute;margin-left:16.8633pt;mso-position-vertical-relative:text;margin-top:-81.2578pt;" coordsize="4381,15811">
                <v:shape id="Shape 13519" style="position:absolute;width:571;height:571;left:3810;top:0;" coordsize="57150,57150" path="m28575,0c32364,0,36009,695,39510,2084c43011,3572,46101,5655,48781,8334c51460,10815,53525,13990,54975,17562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562c3625,13990,5690,10815,8370,8334c11049,5655,14139,3572,17640,2084c21141,695,24786,0,28575,0x">
                  <v:stroke weight="0pt" endcap="flat" joinstyle="miter" miterlimit="10" on="false" color="#000000" opacity="0"/>
                  <v:fill on="true" color="#333333"/>
                </v:shape>
                <v:shape id="Shape 13525" style="position:absolute;width:571;height:571;left:3810;top:1524;" coordsize="57150,57150" path="m28575,0c32364,0,36009,695,39510,2084c43011,3572,46101,5655,48781,8334c51460,10815,53525,13990,54975,17562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562c3625,13990,5690,10815,8370,8334c11049,5655,14139,3572,17640,2084c21141,695,24786,0,28575,0x">
                  <v:stroke weight="0pt" endcap="flat" joinstyle="miter" miterlimit="10" on="false" color="#000000" opacity="0"/>
                  <v:fill on="true" color="#333333"/>
                </v:shape>
                <v:shape id="Shape 13530" style="position:absolute;width:571;height:571;left:3810;top:4572;" coordsize="57150,57150" path="m28575,0c32364,0,36009,695,39510,2084c43011,3572,46101,5655,48781,8334c51460,10815,53525,13990,54975,17562c56425,20935,57150,24705,57150,28575c57150,32246,56425,35818,54975,39390c53525,42863,51460,45839,48781,48617c46101,51197,43011,53280,39510,54769c36009,56257,32364,56952,28575,57150c24786,56952,21141,56257,17640,54868c14139,53280,11049,51197,8370,48617c5690,45839,3625,42863,2175,39390c725,35818,0,32246,0,28575c0,24705,725,20935,2175,17562c3625,13990,5690,10815,8370,8334c11049,5655,14139,3572,17640,2084c21141,695,24786,0,28575,0x">
                  <v:stroke weight="0pt" endcap="flat" joinstyle="miter" miterlimit="10" on="false" color="#000000" opacity="0"/>
                  <v:fill on="true" color="#333333"/>
                </v:shape>
                <v:shape id="Shape 13537" style="position:absolute;width:571;height:571;left:3810;top:7620;" coordsize="57150,57150" path="m28575,0c32364,0,36009,695,39510,2084c43011,3572,46101,5655,48781,8334c51460,11013,53525,14089,54975,17562c56425,20935,57150,24705,57150,28575c57150,32246,56425,35818,54975,39390c53525,42863,51460,45839,48781,48617c46101,51296,43011,53380,39510,54868c36009,56257,32364,56952,28575,57150c24786,56952,21141,56257,17640,54868c14139,53380,11049,51296,8370,48617c5690,45839,3625,42863,2175,39390c725,35818,0,32246,0,28575c0,24705,725,20935,2175,17562c3625,14089,5690,11013,8370,8334c11049,5655,14139,3572,17640,2084c21141,695,24786,0,28575,0x">
                  <v:stroke weight="0pt" endcap="flat" joinstyle="miter" miterlimit="10" on="false" color="#000000" opacity="0"/>
                  <v:fill on="true" color="#333333"/>
                </v:shape>
                <v:shape id="Shape 13541" style="position:absolute;width:571;height:571;left:3810;top:9144;" coordsize="57150,57150" path="m28575,0c32364,0,36009,695,39510,2084c43011,3572,46101,5655,48781,8334c51460,11013,53525,14089,54975,17562c56425,20935,57150,24705,57150,28575c57150,32246,56425,35818,54975,39390c53525,42863,51460,45938,48781,48617c46101,51296,43011,53380,39510,54769c36009,56257,32364,56952,28575,57150c24786,56952,21141,56257,17640,54769c14139,53380,11049,51296,8370,48617c5690,45938,3625,42863,2175,39390c725,35818,0,32246,0,28575c0,24705,725,20935,2175,17562c3625,14089,5690,11013,8370,8334c11049,5655,14139,3572,17640,2084c21141,695,24786,0,28575,0x">
                  <v:stroke weight="0pt" endcap="flat" joinstyle="miter" miterlimit="10" on="false" color="#000000" opacity="0"/>
                  <v:fill on="true" color="#333333"/>
                </v:shape>
                <v:shape id="Shape 13545" style="position:absolute;width:571;height:571;left:0;top:10668;" coordsize="57150,57150" path="m28575,0c32364,0,36009,695,39510,2084c43011,3572,46101,5655,48781,8334c51460,11013,53525,14089,54975,17562c56425,20935,57150,24705,57150,28575c57150,32246,56425,35818,54975,39390c53525,42863,51460,45938,48781,48617c46101,51197,43011,53280,39510,54769c36009,56257,32364,56952,28575,57150c24786,56952,21141,56257,17640,54769c14139,53280,11049,51197,8369,48617c5690,45938,3625,42863,2175,39390c725,35818,0,32246,0,28575c0,24705,725,20935,2175,17562c3625,14089,5690,11013,8369,8334c11049,5655,14139,3572,17640,2084c21141,695,24786,0,28575,0x">
                  <v:stroke weight="0pt" endcap="flat" joinstyle="miter" miterlimit="10" on="false" color="#000000" opacity="0"/>
                  <v:fill on="true" color="#333333"/>
                </v:shape>
                <v:shape id="Shape 13547" style="position:absolute;width:571;height:571;left:3810;top:12192;" coordsize="57150,57150" path="m28575,0c32364,0,36009,695,39510,2084c43011,3572,46101,5655,48781,8334c51460,11013,53525,14089,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4089,5690,11013,8370,8334c11049,5655,14139,3572,17640,2084c21141,695,24786,0,28575,0x">
                  <v:stroke weight="0pt" endcap="flat" joinstyle="miter" miterlimit="10" on="false" color="#000000" opacity="0"/>
                  <v:fill on="true" color="#333333"/>
                </v:shape>
                <v:shape id="Shape 13550" style="position:absolute;width:571;height:571;left:3810;top:15240;" coordsize="57150,57150" path="m28575,0c32364,0,36009,695,39510,2084c43011,3373,46101,5457,48781,8334c51460,11013,53525,14089,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4089,5690,11013,8370,8334c11049,5457,14139,3373,17640,2084c21141,695,24786,0,28575,0x">
                  <v:stroke weight="0pt" endcap="flat" joinstyle="miter" miterlimit="10" on="false" color="#000000" opacity="0"/>
                  <v:fill on="true" color="#333333"/>
                </v:shape>
                <w10:wrap type="square"/>
              </v:group>
            </w:pict>
          </mc:Fallback>
        </mc:AlternateContent>
      </w:r>
      <w:r>
        <w:rPr>
          <w:i/>
        </w:rPr>
        <w:t>Иммуноопосредованный мио кардит.</w:t>
      </w:r>
    </w:p>
    <w:p w:rsidR="008E3F15" w:rsidRDefault="005F449A">
      <w:pPr>
        <w:ind w:left="347" w:right="86"/>
      </w:pPr>
      <w:r>
        <w:t>Аллергены: вакцины, лекарства (амитриптилин, изониазид, колхицин, метилдопа, пенициллин, сульфонамиды, тетрациклин, тиазиды, фуросемид). Аутоантигены: лимофцитарный, гигантоклеточный, ассоциированный с иммунными заболеваниями (ревматоидный артрит, воспалит</w:t>
      </w:r>
      <w:r>
        <w:t>ельные болезни кишечника, системная красная волчанка, склеродермия, полимиозит, СД 1-го типа, болезнь Грейвса, ревматическая лихорадка).</w:t>
      </w:r>
    </w:p>
    <w:p w:rsidR="008E3F15" w:rsidRDefault="005F449A">
      <w:pPr>
        <w:spacing w:after="31"/>
        <w:ind w:left="347" w:right="15"/>
      </w:pPr>
      <w:r>
        <w:t>Аллоантигены: реакция отторжения трансплантата.</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32320" behindDoc="0" locked="0" layoutInCell="1" allowOverlap="1">
                <wp:simplePos x="0" y="0"/>
                <wp:positionH relativeFrom="column">
                  <wp:posOffset>214164</wp:posOffset>
                </wp:positionH>
                <wp:positionV relativeFrom="paragraph">
                  <wp:posOffset>-117573</wp:posOffset>
                </wp:positionV>
                <wp:extent cx="438150" cy="819150"/>
                <wp:effectExtent l="0" t="0" r="0" b="0"/>
                <wp:wrapSquare wrapText="bothSides"/>
                <wp:docPr id="297214" name="Group 297214"/>
                <wp:cNvGraphicFramePr/>
                <a:graphic xmlns:a="http://schemas.openxmlformats.org/drawingml/2006/main">
                  <a:graphicData uri="http://schemas.microsoft.com/office/word/2010/wordprocessingGroup">
                    <wpg:wgp>
                      <wpg:cNvGrpSpPr/>
                      <wpg:grpSpPr>
                        <a:xfrm>
                          <a:off x="0" y="0"/>
                          <a:ext cx="438150" cy="819150"/>
                          <a:chOff x="0" y="0"/>
                          <a:chExt cx="438150" cy="819150"/>
                        </a:xfrm>
                      </wpg:grpSpPr>
                      <wps:wsp>
                        <wps:cNvPr id="13555" name="Shape 13555"/>
                        <wps:cNvSpPr/>
                        <wps:spPr>
                          <a:xfrm>
                            <a:off x="38100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57" name="Shape 1355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59" name="Shape 13559"/>
                        <wps:cNvSpPr/>
                        <wps:spPr>
                          <a:xfrm>
                            <a:off x="38100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61" name="Shape 13561"/>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63" name="Shape 13563"/>
                        <wps:cNvSpPr/>
                        <wps:spPr>
                          <a:xfrm>
                            <a:off x="38100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565" name="Shape 13565"/>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7214" style="width:34.5pt;height:64.5pt;position:absolute;mso-position-horizontal-relative:text;mso-position-horizontal:absolute;margin-left:16.8633pt;mso-position-vertical-relative:text;margin-top:-9.25781pt;" coordsize="4381,8191">
                <v:shape id="Shape 13555" style="position:absolute;width:571;height:571;left:3810;top:0;" coordsize="57150,57150" path="m28575,0c32364,0,36009,695,39510,2084c43011,3373,46101,5457,48781,8334c51460,10815,53525,13990,54975,17562c56425,20935,57150,24705,57150,28575c57150,32246,56425,35818,54975,39291c53525,42863,51460,45938,48781,48816c46101,51296,43011,53380,39510,54868c36009,56257,32364,56952,28575,57150c24786,56952,21141,56257,17640,54868c14139,53380,11049,51296,8370,48816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3557" style="position:absolute;width:571;height:571;left:0;top:1524;"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559" style="position:absolute;width:571;height:571;left:381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3561" style="position:absolute;width:571;height:571;left:3810;top:4572;" coordsize="57150,57150" path="m28575,0c32364,0,36009,695,39510,2084c43011,3373,46101,5457,48781,8334c51460,10815,53525,13990,54975,17562c56425,20935,57150,24705,57150,28575c57150,32246,56425,35818,54975,39291c53525,42863,51460,45938,48781,48617c46101,51296,43011,53380,39510,54868c36009,56356,32364,57150,28575,57150c24786,57150,21141,56356,17640,54868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3563" style="position:absolute;width:571;height:571;left:3810;top:6096;" coordsize="57150,57150" path="m28575,0c32364,0,36009,695,39510,2084c43011,3373,46101,5457,48781,8334c51460,10815,53525,13990,54975,17562c56425,20935,57150,24705,57150,28575c57150,32246,56425,35818,54975,39291c53525,42863,51460,45938,48781,48617c46101,51296,43011,53380,39510,54868c36009,56356,32364,57150,28575,57150c24786,57150,21141,56356,17640,54868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3565" style="position:absolute;width:571;height:571;left:3810;top:7620;" coordsize="57150,57150" path="m28575,0c32364,0,36009,695,39510,2084c43011,3373,46101,5457,48781,8136c51460,10815,53525,13990,54975,17562c56425,20935,57150,24705,57150,28575c57150,32246,56425,35818,54975,39291c53525,42863,51460,45938,48781,48617c46101,51296,43011,53380,39510,54868c36009,56356,32364,57150,28575,57150c24786,57150,21141,56356,17640,54868c14139,53380,11049,51296,8370,48617c5690,45938,3625,42863,2175,39291c725,35818,0,32246,0,28575c0,24705,725,20935,2175,17562c3625,13990,5690,10815,8370,8136c11049,5457,14139,3373,17640,2084c21141,695,24786,0,28575,0x">
                  <v:stroke weight="0pt" endcap="flat" joinstyle="miter" miterlimit="10" on="false" color="#000000" opacity="0"/>
                  <v:fill on="true" color="#333333"/>
                </v:shape>
                <w10:wrap type="square"/>
              </v:group>
            </w:pict>
          </mc:Fallback>
        </mc:AlternateContent>
      </w:r>
      <w:r>
        <w:rPr>
          <w:i/>
        </w:rPr>
        <w:t>Токсический мио кардит.</w:t>
      </w:r>
    </w:p>
    <w:p w:rsidR="008E3F15" w:rsidRDefault="005F449A">
      <w:pPr>
        <w:spacing w:after="31"/>
        <w:ind w:left="347" w:right="15"/>
      </w:pPr>
      <w:r>
        <w:t>Лекарства: антрациклины, циклофосфамид, литий,</w:t>
      </w:r>
      <w:r>
        <w:t xml:space="preserve"> интерлейкин-2, клозапин.</w:t>
      </w:r>
    </w:p>
    <w:p w:rsidR="008E3F15" w:rsidRDefault="005F449A">
      <w:pPr>
        <w:spacing w:after="31"/>
        <w:ind w:left="347" w:right="15"/>
      </w:pPr>
      <w:r>
        <w:t>Тяжелые металлы: медь, железо, свинец.</w:t>
      </w:r>
    </w:p>
    <w:p w:rsidR="008E3F15" w:rsidRDefault="005F449A">
      <w:pPr>
        <w:spacing w:after="31"/>
        <w:ind w:left="347" w:right="15"/>
      </w:pPr>
      <w:r>
        <w:t>Физические агенты: радиация, электрический шок.</w:t>
      </w:r>
    </w:p>
    <w:p w:rsidR="008E3F15" w:rsidRDefault="005F449A">
      <w:pPr>
        <w:spacing w:after="179"/>
        <w:ind w:left="347" w:right="15"/>
      </w:pPr>
      <w:r>
        <w:t>Разные агенты: укусы животных (змей, скорпиона, насекомых), фосфор, мышьяк, феохромоцитома.</w:t>
      </w:r>
    </w:p>
    <w:p w:rsidR="008E3F15" w:rsidRDefault="005F449A">
      <w:pPr>
        <w:ind w:left="2" w:right="543"/>
      </w:pPr>
      <w:r>
        <w:t>Несмотря на большое число факторов, вызывающих восп</w:t>
      </w:r>
      <w:r>
        <w:t>аление мио карда, мио кардиты в значительном большинстве случаев вызываются вирусами (</w:t>
      </w:r>
      <w:r>
        <w:rPr>
          <w:b/>
        </w:rPr>
        <w:t>рис. 11.1</w:t>
      </w:r>
      <w:r>
        <w:t>). Исследования инфекции, вызванной вирусом SARS-CoV-2, выявили редкие случаи мио кардита</w:t>
      </w:r>
    </w:p>
    <w:p w:rsidR="008E3F15" w:rsidRDefault="005F449A">
      <w:pPr>
        <w:ind w:left="2" w:right="15"/>
      </w:pPr>
      <w:r>
        <w:t>у госпитализированных (2–4 на 1000) и после вакцинации (1 на 100 000) (</w:t>
      </w:r>
      <w:r>
        <w:t>Ammirati E. et al., 2022; Sattar Y. et al., 2023; Cho J. et al., 2023).</w:t>
      </w:r>
    </w:p>
    <w:p w:rsidR="008E3F15" w:rsidRDefault="005F449A">
      <w:pPr>
        <w:spacing w:after="65" w:line="259" w:lineRule="auto"/>
        <w:ind w:left="7" w:right="0" w:firstLine="0"/>
      </w:pPr>
      <w:r>
        <w:rPr>
          <w:noProof/>
        </w:rPr>
        <w:drawing>
          <wp:inline distT="0" distB="0" distL="0" distR="0">
            <wp:extent cx="5057775" cy="3152775"/>
            <wp:effectExtent l="0" t="0" r="0" b="0"/>
            <wp:docPr id="13599" name="Picture 13599"/>
            <wp:cNvGraphicFramePr/>
            <a:graphic xmlns:a="http://schemas.openxmlformats.org/drawingml/2006/main">
              <a:graphicData uri="http://schemas.openxmlformats.org/drawingml/2006/picture">
                <pic:pic xmlns:pic="http://schemas.openxmlformats.org/drawingml/2006/picture">
                  <pic:nvPicPr>
                    <pic:cNvPr id="13599" name="Picture 13599"/>
                    <pic:cNvPicPr/>
                  </pic:nvPicPr>
                  <pic:blipFill>
                    <a:blip r:embed="rId121"/>
                    <a:stretch>
                      <a:fillRect/>
                    </a:stretch>
                  </pic:blipFill>
                  <pic:spPr>
                    <a:xfrm>
                      <a:off x="0" y="0"/>
                      <a:ext cx="5057775" cy="3152775"/>
                    </a:xfrm>
                    <a:prstGeom prst="rect">
                      <a:avLst/>
                    </a:prstGeom>
                  </pic:spPr>
                </pic:pic>
              </a:graphicData>
            </a:graphic>
          </wp:inline>
        </w:drawing>
      </w:r>
    </w:p>
    <w:p w:rsidR="008E3F15" w:rsidRDefault="005F449A">
      <w:pPr>
        <w:spacing w:after="359"/>
        <w:ind w:left="2" w:right="15"/>
      </w:pPr>
      <w:r>
        <w:rPr>
          <w:b/>
        </w:rPr>
        <w:t xml:space="preserve">Рис. 11.1. </w:t>
      </w:r>
      <w:r>
        <w:t>Вирусы в мио карде при изолированной диастолической дисфункции левого желудочка (Tschope C. et al., 2005)</w:t>
      </w:r>
    </w:p>
    <w:p w:rsidR="008E3F15" w:rsidRDefault="005F449A">
      <w:pPr>
        <w:pStyle w:val="Heading1"/>
        <w:ind w:left="2"/>
      </w:pPr>
      <w:r>
        <w:t>Часть I. Сердечно-сосудистые болезни</w:t>
      </w:r>
    </w:p>
    <w:p w:rsidR="008E3F15" w:rsidRDefault="005F449A">
      <w:pPr>
        <w:spacing w:after="165"/>
        <w:ind w:left="2" w:right="15"/>
      </w:pPr>
      <w:r>
        <w:t>Классификация</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33344" behindDoc="0" locked="0" layoutInCell="1" allowOverlap="1">
                <wp:simplePos x="0" y="0"/>
                <wp:positionH relativeFrom="column">
                  <wp:posOffset>214164</wp:posOffset>
                </wp:positionH>
                <wp:positionV relativeFrom="paragraph">
                  <wp:posOffset>34826</wp:posOffset>
                </wp:positionV>
                <wp:extent cx="57150" cy="514350"/>
                <wp:effectExtent l="0" t="0" r="0" b="0"/>
                <wp:wrapSquare wrapText="bothSides"/>
                <wp:docPr id="299261" name="Group 299261"/>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3605" name="Shape 1360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607" name="Shape 1360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610" name="Shape 1361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9261" style="width:4.5pt;height:40.5pt;position:absolute;mso-position-horizontal-relative:text;mso-position-horizontal:absolute;margin-left:16.8633pt;mso-position-vertical-relative:text;margin-top:2.74219pt;" coordsize="571,5143">
                <v:shape id="Shape 13605" style="position:absolute;width:571;height:571;left:0;top:0;"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607" style="position:absolute;width:571;height:571;left:0;top:1524;"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610" style="position:absolute;width:571;height:571;left:0;top:4572;"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Этиология: ви</w:t>
      </w:r>
      <w:r>
        <w:t>русы, бактерии, лекарства и др.</w:t>
      </w:r>
    </w:p>
    <w:p w:rsidR="008E3F15" w:rsidRDefault="005F449A">
      <w:pPr>
        <w:ind w:left="347" w:right="15"/>
      </w:pPr>
      <w:r>
        <w:t>Морфология: лимфоцитарный, эозинофильный, гигантоклеточный, гранулематозный (саркоидоз).</w:t>
      </w:r>
    </w:p>
    <w:p w:rsidR="008E3F15" w:rsidRDefault="005F449A">
      <w:pPr>
        <w:spacing w:after="165"/>
        <w:ind w:left="347" w:right="15"/>
      </w:pPr>
      <w:r>
        <w:t>Течение: фульминантный, острый (до 1 мес), хронический.</w:t>
      </w:r>
    </w:p>
    <w:p w:rsidR="008E3F15" w:rsidRDefault="005F449A">
      <w:pPr>
        <w:ind w:left="2" w:right="169"/>
      </w:pPr>
      <w:r>
        <w:t>Примеры оформления диагноза у пациентов с инфекционным эндокардитом представлены в</w:t>
      </w:r>
      <w:r>
        <w:rPr>
          <w:b/>
        </w:rPr>
        <w:t xml:space="preserve"> табл. 11.1</w:t>
      </w:r>
      <w:r>
        <w:t>.</w:t>
      </w:r>
    </w:p>
    <w:p w:rsidR="008E3F15" w:rsidRDefault="005F449A">
      <w:pPr>
        <w:spacing w:after="31"/>
        <w:ind w:left="2" w:right="15"/>
      </w:pPr>
      <w:r>
        <w:rPr>
          <w:b/>
        </w:rPr>
        <w:t xml:space="preserve">Таблица 11.1. </w:t>
      </w:r>
      <w:r>
        <w:t>Примеры оформления диагноза</w:t>
      </w:r>
    </w:p>
    <w:tbl>
      <w:tblPr>
        <w:tblStyle w:val="TableGrid"/>
        <w:tblW w:w="10485" w:type="dxa"/>
        <w:tblInd w:w="37" w:type="dxa"/>
        <w:tblCellMar>
          <w:top w:w="80" w:type="dxa"/>
          <w:left w:w="45" w:type="dxa"/>
          <w:bottom w:w="0" w:type="dxa"/>
          <w:right w:w="115" w:type="dxa"/>
        </w:tblCellMar>
        <w:tblLook w:val="04A0" w:firstRow="1" w:lastRow="0" w:firstColumn="1" w:lastColumn="0" w:noHBand="0" w:noVBand="1"/>
      </w:tblPr>
      <w:tblGrid>
        <w:gridCol w:w="9015"/>
        <w:gridCol w:w="1470"/>
      </w:tblGrid>
      <w:tr w:rsidR="008E3F15">
        <w:trPr>
          <w:trHeight w:val="570"/>
        </w:trPr>
        <w:tc>
          <w:tcPr>
            <w:tcW w:w="90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Код</w:t>
            </w:r>
          </w:p>
          <w:p w:rsidR="008E3F15" w:rsidRDefault="005F449A">
            <w:pPr>
              <w:spacing w:after="0" w:line="259" w:lineRule="auto"/>
              <w:ind w:left="6" w:right="0" w:firstLine="0"/>
            </w:pPr>
            <w:r>
              <w:rPr>
                <w:b/>
              </w:rPr>
              <w:t>МКБ-10</w:t>
            </w:r>
          </w:p>
        </w:tc>
      </w:tr>
      <w:tr w:rsidR="008E3F15">
        <w:trPr>
          <w:trHeight w:val="330"/>
        </w:trPr>
        <w:tc>
          <w:tcPr>
            <w:tcW w:w="90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Острый мио кардит, фибрилляция предсердий, сердечная недостаточность</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I40.9</w:t>
            </w:r>
          </w:p>
        </w:tc>
      </w:tr>
      <w:tr w:rsidR="008E3F15">
        <w:trPr>
          <w:trHeight w:val="570"/>
        </w:trPr>
        <w:tc>
          <w:tcPr>
            <w:tcW w:w="90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Острый вирусный мио кардит, АВ-блокада 2 степени, тип II, сердечная недостаточность.</w:t>
            </w:r>
          </w:p>
        </w:tc>
        <w:tc>
          <w:tcPr>
            <w:tcW w:w="1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I40.0</w:t>
            </w:r>
          </w:p>
        </w:tc>
      </w:tr>
      <w:tr w:rsidR="008E3F15">
        <w:trPr>
          <w:trHeight w:val="330"/>
        </w:trPr>
        <w:tc>
          <w:tcPr>
            <w:tcW w:w="9015"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pPr>
            <w:r>
              <w:rPr>
                <w:bdr w:val="single" w:sz="12" w:space="0" w:color="000000"/>
              </w:rPr>
              <w:t>Хронический мио кардит, сердечная недостаточность с ФВЛЖ 40–45%, NYHA III</w:t>
            </w:r>
          </w:p>
        </w:tc>
        <w:tc>
          <w:tcPr>
            <w:tcW w:w="147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6" w:right="0" w:firstLine="0"/>
            </w:pPr>
            <w:r>
              <w:t>I40.1</w:t>
            </w:r>
          </w:p>
        </w:tc>
      </w:tr>
      <w:tr w:rsidR="008E3F15">
        <w:trPr>
          <w:trHeight w:val="330"/>
        </w:trPr>
        <w:tc>
          <w:tcPr>
            <w:tcW w:w="90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CОVID-19, двусторонняя пневмония, мио кардит, фибрилляция предсердий</w:t>
            </w:r>
          </w:p>
        </w:tc>
        <w:tc>
          <w:tcPr>
            <w:tcW w:w="1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U07.2</w:t>
            </w:r>
          </w:p>
        </w:tc>
      </w:tr>
    </w:tbl>
    <w:p w:rsidR="008E3F15" w:rsidRDefault="005F449A">
      <w:pPr>
        <w:pStyle w:val="Heading1"/>
        <w:ind w:left="2"/>
      </w:pPr>
      <w:r>
        <w:t>Часть I. Сердечно-сосудистые болезни</w:t>
      </w:r>
    </w:p>
    <w:p w:rsidR="008E3F15" w:rsidRDefault="005F449A">
      <w:pPr>
        <w:spacing w:after="31"/>
        <w:ind w:left="2" w:right="15"/>
      </w:pPr>
      <w:r>
        <w:t>Диагностика</w:t>
      </w:r>
    </w:p>
    <w:p w:rsidR="008E3F15" w:rsidRDefault="005F449A">
      <w:pPr>
        <w:ind w:left="2" w:right="15"/>
      </w:pPr>
      <w:r>
        <w:t>Клиническая картина мио кардита обычно появляется в течение 1–4 нед после респираторной или гастроинтестинальной инфекции. Можно обнаружить признаки инфекции вирусом Коксаки А (бессимптомная мелкопузырчатая сыпь горла, конечностей, геморрагический конъюнкт</w:t>
      </w:r>
      <w:r>
        <w:t>ивит), Коксаки В (боли в горле, гастроинтестинальные симптомы, плевродиния — схваткообразная боль межреберных мышц), парвовируса В19 (сыпь на щеках и конечностях, симметричный полиартрит кистей рук).</w:t>
      </w:r>
    </w:p>
    <w:p w:rsidR="008E3F15" w:rsidRDefault="005F449A">
      <w:pPr>
        <w:ind w:left="2" w:right="15"/>
      </w:pPr>
      <w:r>
        <w:t xml:space="preserve">Проявления мио кардита варьируют от малосимптомных форм </w:t>
      </w:r>
      <w:r>
        <w:t>до кардиогенного шока и внезапной смерти. Пациенты могут испытывать дискомфорт и боли в груди, чаще связанные с перикардитом, симптомы СН (одышка в покое/нагрузке, утомляемость, отеки ног), аритмии (сердцебиение, перебои, предобморок, обморок).</w:t>
      </w:r>
    </w:p>
    <w:p w:rsidR="008E3F15" w:rsidRDefault="005F449A">
      <w:pPr>
        <w:ind w:left="2" w:right="15"/>
      </w:pPr>
      <w:r>
        <w:t>При выражен</w:t>
      </w:r>
      <w:r>
        <w:t>ной воспалительной реакции могут выявляться системные признаки: лихорадка, повышение скорости оседания эритроцитов, С-реактивный белок.</w:t>
      </w:r>
    </w:p>
    <w:p w:rsidR="008E3F15" w:rsidRDefault="005F449A">
      <w:pPr>
        <w:ind w:left="2" w:right="15"/>
      </w:pPr>
      <w:r>
        <w:t>Основным неинвазивным методом диагностики заболеваний мио карда является магнитнорезонансная томография. Для острого мио</w:t>
      </w:r>
      <w:r>
        <w:t xml:space="preserve"> кардита характерен субэпикардиальный отек с некоронарным распределением и вовлечением боковой стенки. Наиболее информативным методом диагностики мио кардита считается Т1 магнитно-резонансное картирование</w:t>
      </w:r>
    </w:p>
    <w:p w:rsidR="008E3F15" w:rsidRDefault="005F449A">
      <w:pPr>
        <w:spacing w:after="31"/>
        <w:ind w:left="2" w:right="15"/>
      </w:pPr>
      <w:r>
        <w:t>(Khanna S. et al., 2022).</w:t>
      </w:r>
    </w:p>
    <w:p w:rsidR="008E3F15" w:rsidRDefault="005F449A">
      <w:pPr>
        <w:ind w:left="2" w:right="15"/>
      </w:pPr>
      <w:r>
        <w:t>С целью исключения корона</w:t>
      </w:r>
      <w:r>
        <w:t>рной болезни часто проводят коронарную ангиографию. Высокая частота антител к кардиотропным вирусам в популяции при отсутствии мио кардита ограничивает информативность тестирования.</w:t>
      </w:r>
    </w:p>
    <w:p w:rsidR="008E3F15" w:rsidRDefault="005F449A">
      <w:pPr>
        <w:ind w:left="2" w:right="15"/>
      </w:pPr>
      <w:r>
        <w:t>На ЭКГ покоя или при длительном мониторировании могут определяться АВ-блок</w:t>
      </w:r>
      <w:r>
        <w:t xml:space="preserve">ада 1–3-й степени, блокады ножек пучка Гиса, фрагментация </w:t>
      </w:r>
      <w:r>
        <w:rPr>
          <w:i/>
        </w:rPr>
        <w:t>QRS</w:t>
      </w:r>
      <w:r>
        <w:t xml:space="preserve">, желудочковые тахиаритмии, аномальный </w:t>
      </w:r>
      <w:r>
        <w:rPr>
          <w:i/>
        </w:rPr>
        <w:t>Q</w:t>
      </w:r>
      <w:r>
        <w:t xml:space="preserve">, изменения </w:t>
      </w:r>
      <w:r>
        <w:rPr>
          <w:i/>
        </w:rPr>
        <w:t>ST–T</w:t>
      </w:r>
      <w:r>
        <w:t>.</w:t>
      </w:r>
    </w:p>
    <w:p w:rsidR="008E3F15" w:rsidRDefault="005F449A">
      <w:pPr>
        <w:ind w:left="2" w:right="15"/>
      </w:pPr>
      <w:r>
        <w:t>Эхокардиография позволяет выявить дилатационную кардиомиопатию с быстрой динамикой, локальные нарушения сократимости, перикардит, внутрис</w:t>
      </w:r>
      <w:r>
        <w:t>ердечные тромбы.</w:t>
      </w:r>
    </w:p>
    <w:p w:rsidR="008E3F15" w:rsidRDefault="005F449A">
      <w:pPr>
        <w:ind w:left="2" w:right="15"/>
      </w:pPr>
      <w:r>
        <w:t>Структурные и ЭКГ-признаки могут изменяться, и часто требуются оценки в динамике. Обратное ремоделирование левого желудочка встречается в 9–31% при невоспалительной, неишемической кардиомиопатии, обычно на фоне активного лечения и характер</w:t>
      </w:r>
      <w:r>
        <w:t>изуется лучшим прогнозом (Cho J. et al., 2018; MADIT-CRT).</w:t>
      </w:r>
    </w:p>
    <w:p w:rsidR="008E3F15" w:rsidRDefault="005F449A">
      <w:pPr>
        <w:ind w:left="2" w:right="15"/>
      </w:pPr>
      <w:r>
        <w:t>В случае неясного диагноза и тяжелого заболевания мио карда рекомендуют эндомио кардиальную биопсию с использованием полимеразной цепной реакции для выявления возбудителей.</w:t>
      </w:r>
    </w:p>
    <w:p w:rsidR="008E3F15" w:rsidRDefault="005F449A">
      <w:pPr>
        <w:spacing w:after="133" w:line="259" w:lineRule="auto"/>
        <w:ind w:left="17" w:right="0"/>
      </w:pPr>
      <w:r>
        <w:rPr>
          <w:i/>
        </w:rPr>
        <w:t>Показания для эндомио кардиальной биопсии (HFA/HFSA/JHFS):</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834368" behindDoc="0" locked="0" layoutInCell="1" allowOverlap="1">
                <wp:simplePos x="0" y="0"/>
                <wp:positionH relativeFrom="column">
                  <wp:posOffset>214164</wp:posOffset>
                </wp:positionH>
                <wp:positionV relativeFrom="paragraph">
                  <wp:posOffset>34826</wp:posOffset>
                </wp:positionV>
                <wp:extent cx="57150" cy="514350"/>
                <wp:effectExtent l="0" t="0" r="0" b="0"/>
                <wp:wrapSquare wrapText="bothSides"/>
                <wp:docPr id="298578" name="Group 29857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3689" name="Shape 13689"/>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692" name="Shape 1369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694" name="Shape 13694"/>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578" style="width:4.5pt;height:40.5pt;position:absolute;mso-position-horizontal-relative:text;mso-position-horizontal:absolute;margin-left:16.8633pt;mso-position-vertical-relative:text;margin-top:2.74219pt;" coordsize="571,5143">
                <v:shape id="Shape 13689" style="position:absolute;width:571;height:571;left:0;top:0;" coordsize="57150,57150" path="m28575,0c32364,0,36009,695,39510,2084c43011,3572,46101,5655,48781,8334c51460,10815,53525,13990,54975,17562c56425,20935,57150,24705,57150,28575c57150,32246,56425,35818,54975,39390c53525,42863,51460,45938,48781,48617c46101,51197,43011,53280,39510,54769c36009,56257,32364,56952,28575,57150c24786,56952,21141,56257,17640,54868c14139,53280,11049,51197,8369,48617c5690,45938,3625,42863,2175,39390c725,35818,0,32246,0,28575c0,24705,725,20935,2175,17562c3625,13990,5690,10815,8369,8334c11049,5655,14139,3572,17640,2084c21141,695,24786,0,28575,0x">
                  <v:stroke weight="0pt" endcap="flat" joinstyle="miter" miterlimit="10" on="false" color="#000000" opacity="0"/>
                  <v:fill on="true" color="#333333"/>
                </v:shape>
                <v:shape id="Shape 13692" style="position:absolute;width:571;height:571;left:0;top:3048;" coordsize="57150,57150" path="m28575,0c32364,0,36009,695,39510,2084c43011,3572,46101,5655,48781,8334c51460,10815,53525,13990,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3990,5690,10815,8369,8334c11049,5655,14139,3572,17640,2084c21141,695,24786,0,28575,0x">
                  <v:stroke weight="0pt" endcap="flat" joinstyle="miter" miterlimit="10" on="false" color="#000000" opacity="0"/>
                  <v:fill on="true" color="#333333"/>
                </v:shape>
                <v:shape id="Shape 13694" style="position:absolute;width:571;height:571;left:0;top:4572;" coordsize="57150,57150" path="m28575,0c32364,0,36009,695,39510,2084c43011,3572,46101,5655,48781,8334c51460,10815,53525,13990,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3990,5690,10815,8369,8334c11049,5655,14139,3572,17640,2084c21141,695,24786,0,28575,0x">
                  <v:stroke weight="0pt" endcap="flat" joinstyle="miter" miterlimit="10" on="false" color="#000000" opacity="0"/>
                  <v:fill on="true" color="#333333"/>
                </v:shape>
                <w10:wrap type="square"/>
              </v:group>
            </w:pict>
          </mc:Fallback>
        </mc:AlternateContent>
      </w:r>
      <w:r>
        <w:t>подозрение на фульминантный мио кардит или острый мио кардит с острой СН, дисфункцией левого желудочка и/или аритмией;</w:t>
      </w:r>
    </w:p>
    <w:p w:rsidR="008E3F15" w:rsidRDefault="005F449A">
      <w:pPr>
        <w:ind w:left="347" w:right="515"/>
      </w:pPr>
      <w:r>
        <w:t>подозрение на мио кардит у гемодинамически стабильного пациента; дилатационна</w:t>
      </w:r>
      <w:r>
        <w:t>я кардиомиопатия с недавней СН, умеренной-тяжелой дисфункцией левого желудочка, рефрактерностью к стандартному лечению (для исключения специфической этиологии);</w:t>
      </w:r>
    </w:p>
    <w:p w:rsidR="008E3F15" w:rsidRDefault="005F449A">
      <w:pPr>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8579" name="Group 29857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698" name="Shape 13698"/>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8579" style="width:4.5pt;height:4.5pt;mso-position-horizontal-relative:char;mso-position-vertical-relative:line" coordsize="571,571">
                <v:shape id="Shape 13698" style="position:absolute;width:571;height:571;left:0;top:0;" coordsize="57150,57150" path="m28575,0c32364,0,36009,695,39510,2084c43011,3572,46101,5655,48781,8334c51460,11013,53525,14089,54975,17562c56425,20935,57150,24705,57150,28575c57150,32246,56425,35818,54975,39390c53525,42863,51460,45839,48781,48617c46101,51296,43011,53380,39510,54868c36009,56257,32364,56952,28575,57150c24786,56952,21141,56257,17640,54868c14139,53380,11049,51296,8369,48617c5690,45839,3625,42863,2175,39390c725,35818,0,32246,0,28575c0,24705,725,20935,2175,17562c3625,14089,5690,11013,8369,8334c11049,5655,14139,3572,17640,2084c21141,695,24786,0,28575,0x">
                  <v:stroke weight="0pt" endcap="flat" joinstyle="miter" miterlimit="10" on="false" color="#000000" opacity="0"/>
                  <v:fill on="true" color="#333333"/>
                </v:shape>
              </v:group>
            </w:pict>
          </mc:Fallback>
        </mc:AlternateContent>
      </w:r>
      <w:r>
        <w:t xml:space="preserve"> подозрение на кардиотоксичность, ассоциированную с ингибиторами контрольных точек: острая СН </w:t>
      </w:r>
      <w:r>
        <w:t>с наличием гемодинамической нестабильности или без нее после начала лечения (первые ~4 цикла);</w:t>
      </w:r>
    </w:p>
    <w:p w:rsidR="008E3F15" w:rsidRDefault="005F449A">
      <w:pPr>
        <w:ind w:left="607" w:right="521"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298580" name="Group 29858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3702" name="Shape 13702"/>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298580" style="width:4.5pt;height:4.5pt;mso-position-horizontal-relative:char;mso-position-vertical-relative:line" coordsize="571,571">
                <v:shape id="Shape 13702" style="position:absolute;width:571;height:571;left:0;top:0;" coordsize="57150,57150" path="m28575,0c32364,0,36009,695,39510,2084c43011,3373,46101,5457,48781,8136c51460,10815,53525,13990,54975,17363c56425,20935,57150,24705,57150,28575c57150,32246,56425,35818,54975,39291c53525,42863,51460,45938,48781,48617c46101,51296,43011,53380,39510,54769c36009,56356,32364,57150,28575,57150c24786,57150,21141,56356,17640,54769c14139,53380,11049,51296,8369,48617c5690,45938,3625,42863,2175,39291c725,35818,0,32246,0,28575c0,24705,725,20935,2175,17562c3625,13990,5690,10815,8369,8136c11049,5457,14139,3373,17640,2084c21141,695,24786,0,28575,0x">
                  <v:stroke weight="0pt" endcap="flat" joinstyle="miter" miterlimit="10" on="false" color="#000000" opacity="0"/>
                  <v:fill on="true" color="#333333"/>
                </v:shape>
              </v:group>
            </w:pict>
          </mc:Fallback>
        </mc:AlternateContent>
      </w:r>
      <w:r>
        <w:t xml:space="preserve"> атриовентрикулярная блокада высокой степени, обморок и/или необъяснимая желудочковая аритмия (ФЖ, ЖТ, многофокусные желудочковые ЭС), рефрактерные к лечению, б</w:t>
      </w:r>
      <w:r>
        <w:t>ез очевидной болезни сердца или с минимальными структурными аномалиями;</w:t>
      </w:r>
    </w:p>
    <w:p w:rsidR="008E3F15" w:rsidRDefault="005F449A">
      <w:pPr>
        <w:ind w:left="347" w:right="296"/>
      </w:pPr>
      <w:r>
        <w:rPr>
          <w:rFonts w:ascii="Calibri" w:eastAsia="Calibri" w:hAnsi="Calibri" w:cs="Calibri"/>
          <w:noProof/>
          <w:color w:val="000000"/>
          <w:sz w:val="22"/>
        </w:rPr>
        <mc:AlternateContent>
          <mc:Choice Requires="wpg">
            <w:drawing>
              <wp:anchor distT="0" distB="0" distL="114300" distR="114300" simplePos="0" relativeHeight="251835392"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98581" name="Group 29858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707" name="Shape 13707"/>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10" name="Shape 1371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581" style="width:4.5pt;height:28.5pt;position:absolute;mso-position-horizontal-relative:text;mso-position-horizontal:absolute;margin-left:16.8633pt;mso-position-vertical-relative:text;margin-top:2.74219pt;" coordsize="571,3619">
                <v:shape id="Shape 13707" style="position:absolute;width:571;height:571;left:0;top:0;"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791,5690,10716,8369,8136c11049,5457,14139,3373,17640,2084c21141,695,24786,0,28575,0x">
                  <v:stroke weight="0pt" endcap="flat" joinstyle="miter" miterlimit="10" on="false" color="#000000" opacity="0"/>
                  <v:fill on="true" color="#333333"/>
                </v:shape>
                <v:shape id="Shape 13710" style="position:absolute;width:571;height:571;left:0;top:3048;"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363c3625,13791,5690,10716,8369,8136c11049,5457,14139,3373,17640,2084c21141,695,24786,0,28575,0x">
                  <v:stroke weight="0pt" endcap="flat" joinstyle="miter" miterlimit="10" on="false" color="#000000" opacity="0"/>
                  <v:fill on="true" color="#333333"/>
                </v:shape>
                <w10:wrap type="square"/>
              </v:group>
            </w:pict>
          </mc:Fallback>
        </mc:AlternateContent>
      </w:r>
      <w:r>
        <w:t>аутоиммунные болезни с прогрессирующей СН, рефрактерной к лечению, с наличием или без устойчивой желудочковой аритмии и/или аномалиями проведения; ИМ без обструкции коронарных артерий</w:t>
      </w:r>
      <w:r>
        <w:t>/синдром Такоцубо с прогрессирующей дисфункцией левого желудочка и СН, с наличием или без устойчивой желудочковой аритмии и/или аномалиями проведения;</w:t>
      </w:r>
    </w:p>
    <w:p w:rsidR="008E3F15" w:rsidRDefault="005F449A">
      <w:pPr>
        <w:spacing w:after="179"/>
        <w:ind w:left="347" w:right="2079"/>
      </w:pPr>
      <w:r>
        <w:rPr>
          <w:rFonts w:ascii="Calibri" w:eastAsia="Calibri" w:hAnsi="Calibri" w:cs="Calibri"/>
          <w:noProof/>
          <w:color w:val="000000"/>
          <w:sz w:val="22"/>
        </w:rPr>
        <mc:AlternateContent>
          <mc:Choice Requires="wpg">
            <w:drawing>
              <wp:anchor distT="0" distB="0" distL="114300" distR="114300" simplePos="0" relativeHeight="251836416"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98582" name="Group 298582"/>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714" name="Shape 13714"/>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16" name="Shape 1371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18" name="Shape 1371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582" style="width:4.5pt;height:28.5pt;position:absolute;mso-position-horizontal-relative:text;mso-position-horizontal:absolute;margin-left:16.8633pt;mso-position-vertical-relative:text;margin-top:2.74219pt;" coordsize="571,3619">
                <v:shape id="Shape 13714"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16" style="position:absolute;width:571;height:571;left:0;top:1524;"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18" style="position:absolute;width:571;height:571;left: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необъяснимая рестриктивная или гипертрофическая кардиомиопатия; опухоль сердца; трансплантация сердца (р</w:t>
      </w:r>
      <w:r>
        <w:t>утинный контроль отторжения, симптомы).</w:t>
      </w:r>
    </w:p>
    <w:p w:rsidR="008E3F15" w:rsidRDefault="005F449A">
      <w:pPr>
        <w:spacing w:after="133" w:line="259" w:lineRule="auto"/>
        <w:ind w:left="17" w:right="0"/>
      </w:pPr>
      <w:r>
        <w:rPr>
          <w:i/>
        </w:rPr>
        <w:t>Противопоказания для эндомио кардиальной биопсии (HFA/HFSA/JHFS):</w:t>
      </w:r>
    </w:p>
    <w:p w:rsidR="008E3F15" w:rsidRDefault="005F449A">
      <w:pPr>
        <w:spacing w:after="31"/>
        <w:ind w:left="617" w:right="15"/>
      </w:pPr>
      <w:r>
        <w:rPr>
          <w:rFonts w:ascii="Calibri" w:eastAsia="Calibri" w:hAnsi="Calibri" w:cs="Calibri"/>
          <w:noProof/>
          <w:color w:val="000000"/>
          <w:sz w:val="22"/>
        </w:rPr>
        <mc:AlternateContent>
          <mc:Choice Requires="wpg">
            <w:drawing>
              <wp:anchor distT="0" distB="0" distL="114300" distR="114300" simplePos="0" relativeHeight="251837440" behindDoc="0" locked="0" layoutInCell="1" allowOverlap="1">
                <wp:simplePos x="0" y="0"/>
                <wp:positionH relativeFrom="column">
                  <wp:posOffset>214164</wp:posOffset>
                </wp:positionH>
                <wp:positionV relativeFrom="paragraph">
                  <wp:posOffset>34826</wp:posOffset>
                </wp:positionV>
                <wp:extent cx="438150" cy="2343150"/>
                <wp:effectExtent l="0" t="0" r="0" b="0"/>
                <wp:wrapSquare wrapText="bothSides"/>
                <wp:docPr id="298583" name="Group 298583"/>
                <wp:cNvGraphicFramePr/>
                <a:graphic xmlns:a="http://schemas.openxmlformats.org/drawingml/2006/main">
                  <a:graphicData uri="http://schemas.microsoft.com/office/word/2010/wordprocessingGroup">
                    <wpg:wgp>
                      <wpg:cNvGrpSpPr/>
                      <wpg:grpSpPr>
                        <a:xfrm>
                          <a:off x="0" y="0"/>
                          <a:ext cx="438150" cy="2343150"/>
                          <a:chOff x="0" y="0"/>
                          <a:chExt cx="438150" cy="2343150"/>
                        </a:xfrm>
                      </wpg:grpSpPr>
                      <wps:wsp>
                        <wps:cNvPr id="13721" name="Shape 13721"/>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23" name="Shape 13723"/>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25" name="Shape 13725"/>
                        <wps:cNvSpPr/>
                        <wps:spPr>
                          <a:xfrm>
                            <a:off x="38100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27" name="Shape 13727"/>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29" name="Shape 13729"/>
                        <wps:cNvSpPr/>
                        <wps:spPr>
                          <a:xfrm>
                            <a:off x="38100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31" name="Shape 13731"/>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33" name="Shape 13733"/>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35" name="Shape 13735"/>
                        <wps:cNvSpPr/>
                        <wps:spPr>
                          <a:xfrm>
                            <a:off x="38100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37" name="Shape 13737"/>
                        <wps:cNvSpPr/>
                        <wps:spPr>
                          <a:xfrm>
                            <a:off x="381000" y="1219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39" name="Shape 13739"/>
                        <wps:cNvSpPr/>
                        <wps:spPr>
                          <a:xfrm>
                            <a:off x="38100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41" name="Shape 13741"/>
                        <wps:cNvSpPr/>
                        <wps:spPr>
                          <a:xfrm>
                            <a:off x="381000" y="1524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43" name="Shape 13743"/>
                        <wps:cNvSpPr/>
                        <wps:spPr>
                          <a:xfrm>
                            <a:off x="381000" y="1676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45" name="Shape 13745"/>
                        <wps:cNvSpPr/>
                        <wps:spPr>
                          <a:xfrm>
                            <a:off x="381000" y="1828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47" name="Shape 13747"/>
                        <wps:cNvSpPr/>
                        <wps:spPr>
                          <a:xfrm>
                            <a:off x="381000" y="19812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49" name="Shape 13749"/>
                        <wps:cNvSpPr/>
                        <wps:spPr>
                          <a:xfrm>
                            <a:off x="381000" y="21336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51" name="Shape 13751"/>
                        <wps:cNvSpPr/>
                        <wps:spPr>
                          <a:xfrm>
                            <a:off x="381000" y="22860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8583" style="width:34.5pt;height:184.5pt;position:absolute;mso-position-horizontal-relative:text;mso-position-horizontal:absolute;margin-left:16.8633pt;mso-position-vertical-relative:text;margin-top:2.74219pt;" coordsize="4381,23431">
                <v:shape id="Shape 13721" style="position:absolute;width:571;height:571;left:0;top:0;" coordsize="57150,57150" path="m28575,0c32364,0,36009,695,39510,2084c43011,3572,46101,5655,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v:shape id="Shape 13723" style="position:absolute;width:571;height:571;left:3810;top:1524;" coordsize="57150,57150" path="m28575,0c32364,0,36009,695,39510,2084c43011,3572,46101,5655,48781,8334c51460,10815,53525,13990,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990,5690,10815,8370,8334c11049,5655,14139,3572,17640,2084c21141,695,24786,0,28575,0x">
                  <v:stroke weight="0pt" endcap="flat" joinstyle="miter" miterlimit="10" on="false" color="#000000" opacity="0"/>
                  <v:fill on="true" color="#333333"/>
                </v:shape>
                <v:shape id="Shape 13725" style="position:absolute;width:571;height:571;left:3810;top:3048;" coordsize="57150,57150" path="m28575,0c32364,0,36009,695,39510,2084c43011,3572,46101,5655,48781,8334c51460,10815,53525,13990,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990,5690,10815,8370,8334c11049,5655,14139,3572,17640,2084c21141,695,24786,0,28575,0x">
                  <v:stroke weight="0pt" endcap="flat" joinstyle="miter" miterlimit="10" on="false" color="#000000" opacity="0"/>
                  <v:fill on="true" color="#333333"/>
                </v:shape>
                <v:shape id="Shape 13727" style="position:absolute;width:571;height:571;left:3810;top:4572;" coordsize="57150,57150" path="m28575,0c32364,0,36009,695,39510,2084c43011,3572,46101,5655,48781,8334c51460,10815,53525,13990,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990,5690,10815,8370,8334c11049,5655,14139,3572,17640,2084c21141,695,24786,0,28575,0x">
                  <v:stroke weight="0pt" endcap="flat" joinstyle="miter" miterlimit="10" on="false" color="#000000" opacity="0"/>
                  <v:fill on="true" color="#333333"/>
                </v:shape>
                <v:shape id="Shape 13729" style="position:absolute;width:571;height:571;left:3810;top:6096;" coordsize="57150,57150" path="m28575,0c32364,0,36009,695,39510,2084c43011,3373,46101,5457,48781,8334c51460,10815,53525,13990,54975,17363c56425,20935,57150,24705,57150,28575c57150,32246,56425,36016,54975,39390c53525,42863,51460,45938,48781,48816c46101,51296,43011,53380,39510,54868c36009,56356,32364,57150,28575,57150c24786,57150,21141,56356,17640,54868c14139,53380,11049,51296,8370,48816c5690,45938,3625,42863,2175,39390c725,36016,0,32246,0,28575c0,24705,725,20935,2175,17363c3625,13990,5690,10815,8370,8334c11049,5457,14139,3373,17640,2084c21141,695,24786,0,28575,0x">
                  <v:stroke weight="0pt" endcap="flat" joinstyle="miter" miterlimit="10" on="false" color="#000000" opacity="0"/>
                  <v:fill on="true" color="#333333"/>
                </v:shape>
                <v:shape id="Shape 13731" style="position:absolute;width:571;height:571;left:0;top:7620;" coordsize="57150,57150" path="m28575,0c32364,0,36009,695,39510,2084c43011,3373,46101,5457,48781,8334c51460,10815,53525,13990,54975,17363c56425,20935,57150,24705,57150,28575c57150,32246,56425,36016,54975,39390c53525,42863,51460,45938,48781,48816c46101,51296,43011,53380,39510,54868c36009,56257,32364,56952,28575,57150c24786,56952,21141,56257,17640,54868c14139,53380,11049,51296,8369,48816c5690,45938,3625,42863,2175,39390c725,36016,0,32246,0,28575c0,24705,725,20935,2175,17363c3625,13990,5690,10815,8369,8334c11049,5457,14139,3373,17640,2084c21141,695,24786,0,28575,0x">
                  <v:stroke weight="0pt" endcap="flat" joinstyle="miter" miterlimit="10" on="false" color="#000000" opacity="0"/>
                  <v:fill on="true" color="#333333"/>
                </v:shape>
                <v:shape id="Shape 13733" style="position:absolute;width:571;height:571;left:3810;top:9144;" coordsize="57150,57150" path="m28575,0c32364,0,36009,695,39510,2084c43011,3373,46101,5457,48781,8334c51460,10815,53525,13990,54975,17363c56425,20935,57150,24705,57150,28575c57150,32246,56425,36016,54975,39390c53525,42863,51460,45938,48781,48816c46101,51296,43011,53380,39510,54868c36009,56257,32364,56952,28575,57150c24786,56952,21141,56257,17640,54868c14139,53380,11049,51296,8370,48816c5690,45938,3625,42863,2175,39390c725,36016,0,32246,0,28575c0,24705,725,20935,2175,17363c3625,13990,5690,10815,8370,8334c11049,5457,14139,3373,17640,2084c21141,695,24786,0,28575,0x">
                  <v:stroke weight="0pt" endcap="flat" joinstyle="miter" miterlimit="10" on="false" color="#000000" opacity="0"/>
                  <v:fill on="true" color="#333333"/>
                </v:shape>
                <v:shape id="Shape 13735" style="position:absolute;width:571;height:571;left:3810;top:10668;" coordsize="57150,57150" path="m28575,0c32364,0,36009,695,39510,2084c43011,3373,46101,5457,48781,8334c51460,10815,53525,13990,54975,17363c56425,20935,57150,24705,57150,28575c57150,32246,56425,36016,54975,39390c53525,42863,51460,45839,48781,48617c46101,51296,43011,53380,39510,54868c36009,56257,32364,56952,28575,57150c24786,56952,21141,56257,17640,54868c14139,53380,11049,51296,8370,48617c5690,45839,3625,42664,2175,39291c725,35818,0,32246,0,28575c0,24705,725,20935,2175,17363c3625,13990,5690,10815,8370,8334c11049,5457,14139,3373,17640,2084c21141,695,24786,0,28575,0x">
                  <v:stroke weight="0pt" endcap="flat" joinstyle="miter" miterlimit="10" on="false" color="#000000" opacity="0"/>
                  <v:fill on="true" color="#333333"/>
                </v:shape>
                <v:shape id="Shape 13737" style="position:absolute;width:571;height:571;left:3810;top:12192;" coordsize="57150,57150" path="m28575,0c32364,0,36009,695,39510,2084c43011,3373,46101,5457,48781,8334c51460,10815,53525,13990,54975,17363c56425,20935,57150,24705,57150,28575c57150,32246,56425,36016,54975,39390c53525,42863,51460,45839,48781,48617c46101,51296,43011,53380,39510,54868c36009,56257,32364,56952,28575,57150c24786,56952,21141,56257,17640,54868c14139,53380,11049,51296,8370,48617c5690,45839,3625,42664,2175,39291c725,35818,0,32246,0,28575c0,24705,725,20935,2175,17363c3625,13990,5690,10815,8370,8334c11049,5457,14139,3373,17640,2084c21141,695,24786,0,28575,0x">
                  <v:stroke weight="0pt" endcap="flat" joinstyle="miter" miterlimit="10" on="false" color="#000000" opacity="0"/>
                  <v:fill on="true" color="#333333"/>
                </v:shape>
                <v:shape id="Shape 13739" style="position:absolute;width:571;height:571;left:3810;top:13716;" coordsize="57150,57150" path="m28575,0c32364,0,36009,695,39510,2084c43011,3572,46101,5655,48781,8334c51460,10815,53525,13990,54975,17562c56425,20935,57150,24705,57150,28575c57150,32246,56425,36016,54975,39390c53525,42863,51460,45839,48781,48617c46101,51296,43011,53380,39510,54868c36009,56257,32364,56952,28575,57150c24786,56952,21141,56257,17640,54868c14139,53380,11049,51296,8370,48617c5690,45839,3625,42664,2175,39291c725,35818,0,32246,0,28575c0,24705,725,20935,2175,17562c3625,13990,5690,10815,8370,8334c11049,5655,14139,3572,17640,2084c21141,695,24786,0,28575,0x">
                  <v:stroke weight="0pt" endcap="flat" joinstyle="miter" miterlimit="10" on="false" color="#000000" opacity="0"/>
                  <v:fill on="true" color="#333333"/>
                </v:shape>
                <v:shape id="Shape 13741" style="position:absolute;width:571;height:571;left:3810;top:15240;" coordsize="57150,57150" path="m28575,0c32364,0,36009,695,39510,2084c43011,3572,46101,5655,48781,8334c51460,10815,53525,13990,54975,17562c56425,20935,57150,24705,57150,28575c57150,32246,56425,35818,54975,39390c53525,42863,51460,45839,48781,48617c46101,51296,43011,53380,39510,54868c36009,56257,32364,56952,28575,57150c24786,56952,21141,56257,17640,54868c14139,53380,11049,51296,8370,48617c5690,45839,3625,42664,2175,39291c725,35818,0,32246,0,28575c0,24705,725,20935,2175,17562c3625,13990,5690,10815,8370,8334c11049,5655,14139,3572,17640,2084c21141,695,24786,0,28575,0x">
                  <v:stroke weight="0pt" endcap="flat" joinstyle="miter" miterlimit="10" on="false" color="#000000" opacity="0"/>
                  <v:fill on="true" color="#333333"/>
                </v:shape>
                <v:shape id="Shape 13743" style="position:absolute;width:571;height:571;left:3810;top:16764;" coordsize="57150,57150" path="m28575,0c32364,0,36009,695,39510,2084c43011,3373,46101,5457,48781,8136c51460,10815,53525,13990,54975,17363c56425,20935,57150,24705,57150,28575c57150,32246,56425,35818,54975,39390c53525,42863,51460,45938,48781,48617c46101,51296,43011,53380,39510,54868c36009,56257,32364,56952,28575,57150c24786,56952,21141,56257,17640,54868c14139,53380,11049,51296,8370,48617c5690,45938,3625,42863,2175,39390c725,35818,0,32246,0,28575c0,24705,725,20935,2175,17363c3625,13990,5690,10815,8370,8136c11049,5457,14139,3373,17640,2084c21141,695,24786,0,28575,0x">
                  <v:stroke weight="0pt" endcap="flat" joinstyle="miter" miterlimit="10" on="false" color="#000000" opacity="0"/>
                  <v:fill on="true" color="#333333"/>
                </v:shape>
                <v:shape id="Shape 13745" style="position:absolute;width:571;height:571;left:3810;top:18288;" coordsize="57150,57150" path="m28575,0c32364,0,36009,695,39510,2084c43011,3373,46101,5457,48781,8136c51460,10815,53525,13990,54975,17363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363c3625,13990,5690,10815,8370,8136c11049,5457,14139,3373,17640,2084c21141,695,24786,0,28575,0x">
                  <v:stroke weight="0pt" endcap="flat" joinstyle="miter" miterlimit="10" on="false" color="#000000" opacity="0"/>
                  <v:fill on="true" color="#333333"/>
                </v:shape>
                <v:shape id="Shape 13747" style="position:absolute;width:571;height:571;left:3810;top:19812;" coordsize="57150,57150" path="m28575,0c32364,0,36009,695,39510,2084c43011,3373,46101,5457,48781,8136c51460,10815,53525,13990,54975,17363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363c3625,13990,5690,10815,8370,8136c11049,5457,14139,3373,17640,2084c21141,695,24786,0,28575,0x">
                  <v:stroke weight="0pt" endcap="flat" joinstyle="miter" miterlimit="10" on="false" color="#000000" opacity="0"/>
                  <v:fill on="true" color="#333333"/>
                </v:shape>
                <v:shape id="Shape 13749" style="position:absolute;width:571;height:571;left:3810;top:21336;" coordsize="57150,57150" path="m28575,0c32364,0,36009,695,39510,2084c43011,3373,46101,5457,48781,8136c51460,10815,53525,13990,54975,17363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363c3625,13990,5690,10815,8370,8136c11049,5457,14139,3373,17640,2084c21141,695,24786,0,28575,0x">
                  <v:stroke weight="0pt" endcap="flat" joinstyle="miter" miterlimit="10" on="false" color="#000000" opacity="0"/>
                  <v:fill on="true" color="#333333"/>
                </v:shape>
                <v:shape id="Shape 13751" style="position:absolute;width:571;height:571;left:3810;top:22860;" coordsize="57150,57150" path="m28575,0c32364,0,36009,695,39510,2084c43011,3373,46101,5457,48781,8136c51460,10815,53525,13990,54975,17363c56425,20935,57150,24705,57150,28575c57150,32246,56425,35818,54975,39390c53525,42863,51460,45938,48781,48617c46101,51197,43011,53280,39510,54769c36009,56257,32364,56952,28575,57150c24786,56952,21141,56257,17640,54868c14139,53280,11049,51197,8370,48617c5690,45938,3625,42863,2175,39390c725,35818,0,32246,0,28575c0,24705,725,20935,2175,17363c3625,13990,5690,10815,8370,8136c11049,5457,14139,3373,17640,2084c21141,695,24786,0,28575,0x">
                  <v:stroke weight="0pt" endcap="flat" joinstyle="miter" miterlimit="10" on="false" color="#000000" opacity="0"/>
                  <v:fill on="true" color="#333333"/>
                </v:shape>
                <w10:wrap type="square"/>
              </v:group>
            </w:pict>
          </mc:Fallback>
        </mc:AlternateContent>
      </w:r>
      <w:r>
        <w:t>абсолютные:</w:t>
      </w:r>
    </w:p>
    <w:p w:rsidR="008E3F15" w:rsidRDefault="005F449A">
      <w:pPr>
        <w:ind w:left="347" w:right="5369"/>
      </w:pPr>
      <w:r>
        <w:t>внутрисердечный тромб; аневризма желудочка;</w:t>
      </w:r>
    </w:p>
    <w:p w:rsidR="008E3F15" w:rsidRDefault="005F449A">
      <w:pPr>
        <w:ind w:left="347" w:right="911"/>
      </w:pPr>
      <w:r>
        <w:t>тяжелый трикуспидальный, легочный или аортальный стеноз; механический протез аортального, три</w:t>
      </w:r>
      <w:r>
        <w:t>куспидального клапана;</w:t>
      </w:r>
    </w:p>
    <w:p w:rsidR="008E3F15" w:rsidRDefault="005F449A">
      <w:pPr>
        <w:spacing w:after="31"/>
        <w:ind w:left="617" w:right="15"/>
      </w:pPr>
      <w:r>
        <w:t>относительные:</w:t>
      </w:r>
    </w:p>
    <w:p w:rsidR="008E3F15" w:rsidRDefault="005F449A">
      <w:pPr>
        <w:ind w:left="347" w:right="5567"/>
      </w:pPr>
      <w:r>
        <w:t>активное кровотечение; инфекция и лихорадка; инфекционный эндокардит; беременность;</w:t>
      </w:r>
    </w:p>
    <w:p w:rsidR="008E3F15" w:rsidRDefault="005F449A">
      <w:pPr>
        <w:ind w:left="347" w:right="15"/>
      </w:pPr>
      <w:r>
        <w:t>недавнее (&lt;1 мес) цереброваскулярное событие/транзиторная ишемическая атака; неконтролируемая гипертензия; тонкая стенка левого желудо</w:t>
      </w:r>
      <w:r>
        <w:t>чка; коагулопатия;</w:t>
      </w:r>
    </w:p>
    <w:p w:rsidR="008E3F15" w:rsidRDefault="005F449A">
      <w:pPr>
        <w:spacing w:after="359"/>
        <w:ind w:left="347" w:right="3000"/>
      </w:pPr>
      <w:r>
        <w:t>гиперчувствительность к контрастам; несотрудничающий пациент.</w:t>
      </w:r>
    </w:p>
    <w:p w:rsidR="008E3F15" w:rsidRDefault="005F449A">
      <w:pPr>
        <w:pStyle w:val="Heading1"/>
        <w:ind w:left="2"/>
      </w:pPr>
      <w:r>
        <w:t>Часть I. Сердечно-сосудистые болезни</w:t>
      </w:r>
    </w:p>
    <w:p w:rsidR="008E3F15" w:rsidRDefault="005F449A">
      <w:pPr>
        <w:spacing w:after="31"/>
        <w:ind w:left="2" w:right="15"/>
      </w:pPr>
      <w:r>
        <w:t>Лечение</w:t>
      </w:r>
    </w:p>
    <w:p w:rsidR="008E3F15" w:rsidRDefault="005F449A">
      <w:pPr>
        <w:ind w:left="2" w:right="15"/>
      </w:pPr>
      <w:r>
        <w:t>В половине случаев острый мио кардит спонтанно разрешается в течение 2–4 нед, а в 12–25% наблюдается прогрессирование заболевания.</w:t>
      </w:r>
    </w:p>
    <w:p w:rsidR="008E3F15" w:rsidRDefault="005F449A">
      <w:pPr>
        <w:ind w:left="2" w:right="822"/>
      </w:pPr>
      <w:r>
        <w:t>В период острой фазы ограничивают физические нагрузки. Спортсменов отстраняют от тренировок и соревнований не менее чем на 6 мес.</w:t>
      </w:r>
    </w:p>
    <w:p w:rsidR="008E3F15" w:rsidRDefault="005F449A">
      <w:pPr>
        <w:ind w:left="2" w:right="15"/>
      </w:pPr>
      <w:r>
        <w:t>Целесообразно исключить дополнительные повреждающие мио кард факторы: алкоголь, другие лекарства.</w:t>
      </w:r>
    </w:p>
    <w:p w:rsidR="008E3F15" w:rsidRDefault="005F449A">
      <w:pPr>
        <w:ind w:left="2" w:right="15"/>
      </w:pPr>
      <w:r>
        <w:t>Эффект противовирусной тера</w:t>
      </w:r>
      <w:r>
        <w:t>пии не доказан, поэтому обычно ограничиваются симптоматической терапией.</w:t>
      </w:r>
    </w:p>
    <w:p w:rsidR="008E3F15" w:rsidRDefault="005F449A">
      <w:pPr>
        <w:ind w:left="2" w:right="206"/>
      </w:pPr>
      <w:r>
        <w:t>Лечение СН традиционное и включает иАПФ/БРА, β-адреноблока торы, диуретики, дигоксин. При наджелудочковых тахиаритмиях ограничиваются контролем ЧСС, при брадикардии с выраженными симп</w:t>
      </w:r>
      <w:r>
        <w:t>томами можно рассмотреть кардиостимуляцию.</w:t>
      </w:r>
    </w:p>
    <w:p w:rsidR="008E3F15" w:rsidRDefault="005F449A">
      <w:pPr>
        <w:ind w:left="2" w:right="15"/>
      </w:pPr>
      <w:r>
        <w:t>Для контроля болей в груди, связанных с миоперикардитом, используют АСК 1500–3000 мг/ сут, ибупрофен 1200–2400 мг/сут.</w:t>
      </w:r>
    </w:p>
    <w:p w:rsidR="008E3F15" w:rsidRDefault="005F449A">
      <w:pPr>
        <w:ind w:left="2" w:right="464"/>
      </w:pPr>
      <w:r>
        <w:t>Глюкокортикоиды применяют при эозинофильном, гигантоклеточном, ассоциированном с системными за</w:t>
      </w:r>
      <w:r>
        <w:t>болеваниями соединительной ткани, вирус-негативном мио кардитах, саркоидозе сердца.</w:t>
      </w:r>
    </w:p>
    <w:p w:rsidR="008E3F15" w:rsidRDefault="005F449A">
      <w:pPr>
        <w:ind w:left="2" w:right="533"/>
      </w:pPr>
      <w:r>
        <w:t>В случаях тяжелого гигантоклеточного мио кардита применяют глюкокортикоиды вместе с циклоспорином, механический помощник левого желудочка с последующей трансплантацией серд</w:t>
      </w:r>
      <w:r>
        <w:t>ца.</w:t>
      </w:r>
    </w:p>
    <w:p w:rsidR="008E3F15" w:rsidRDefault="005F449A">
      <w:pPr>
        <w:spacing w:after="359"/>
        <w:ind w:left="2" w:right="15"/>
      </w:pPr>
      <w:r>
        <w:t>В настоящее время нет надежных данных, подтверждающих эффективность глюкокортикоидов и иммуноглобулина у пациентов с вирусным мио кардитом (Cochrane Reviews).</w:t>
      </w:r>
    </w:p>
    <w:p w:rsidR="008E3F15" w:rsidRDefault="005F449A">
      <w:pPr>
        <w:pStyle w:val="Heading1"/>
        <w:ind w:left="2"/>
      </w:pPr>
      <w:r>
        <w:t>Часть I. Сердечно-сосудистые болезни</w:t>
      </w:r>
    </w:p>
    <w:p w:rsidR="008E3F15" w:rsidRDefault="005F449A">
      <w:pPr>
        <w:spacing w:after="179"/>
        <w:ind w:left="2" w:right="5012"/>
      </w:pPr>
      <w:r>
        <w:t xml:space="preserve">Глава 12. Артериальная гипертензия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38464" behindDoc="0" locked="0" layoutInCell="1" allowOverlap="1">
                <wp:simplePos x="0" y="0"/>
                <wp:positionH relativeFrom="column">
                  <wp:posOffset>214164</wp:posOffset>
                </wp:positionH>
                <wp:positionV relativeFrom="paragraph">
                  <wp:posOffset>34826</wp:posOffset>
                </wp:positionV>
                <wp:extent cx="57150" cy="971550"/>
                <wp:effectExtent l="0" t="0" r="0" b="0"/>
                <wp:wrapSquare wrapText="bothSides"/>
                <wp:docPr id="299533" name="Group 299533"/>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3791" name="Shape 13791"/>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93" name="Shape 13793"/>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95" name="Shape 1379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97" name="Shape 13797"/>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799" name="Shape 13799"/>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01" name="Shape 13801"/>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03" name="Shape 13803"/>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9533" style="width:4.5pt;height:76.5pt;position:absolute;mso-position-horizontal-relative:text;mso-position-horizontal:absolute;margin-left:16.8633pt;mso-position-vertical-relative:text;margin-top:2.74219pt;" coordsize="571,9715">
                <v:shape id="Shape 13791"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93" style="position:absolute;width:571;height:571;left:0;top:1524;"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95" style="position:absolute;width:571;height:571;left: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97" style="position:absolute;width:571;height:571;left:0;top:4572;"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799" style="position:absolute;width:571;height:571;left:0;top:6096;"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3801" style="position:absolute;width:571;height:571;left:0;top:7620;" coordsize="57150,57150" path="m28575,0c32364,0,36009,695,39510,2084c43011,3373,46101,5457,48781,8334c51460,10815,53525,13990,54975,17562c56425,20935,57150,24705,57150,28575c57150,32246,56425,35818,54975,39291c53525,42664,51460,45839,48781,48617c46101,51296,43011,53380,39510,54769c36009,56257,32364,56952,28575,57150c24786,56952,21141,56257,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3803" style="position:absolute;width:571;height:571;left:0;top:9144;" coordsize="57150,57150" path="m28575,0c32364,0,36009,695,39510,2084c43011,3373,46101,5457,48781,8334c51460,10815,53525,13990,54975,17562c56425,20935,57150,24705,57150,28575c57150,32246,56425,35818,54975,39390c53525,42863,51460,45938,48781,48816c46101,51495,43011,53578,39510,54868c36009,56356,32364,57150,28575,57150c24786,57150,21141,56356,17640,54868c14139,53578,11049,51495,8369,48816c5690,45938,3625,42863,2175,39390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Мониторирование АД: суточное, домашнее.</w:t>
      </w:r>
    </w:p>
    <w:p w:rsidR="008E3F15" w:rsidRDefault="005F449A">
      <w:pPr>
        <w:spacing w:after="31"/>
        <w:ind w:left="347" w:right="15"/>
      </w:pPr>
      <w:r>
        <w:t>ЭКГ.</w:t>
      </w:r>
    </w:p>
    <w:p w:rsidR="008E3F15" w:rsidRDefault="005F449A">
      <w:pPr>
        <w:spacing w:after="31"/>
        <w:ind w:left="347" w:right="15"/>
      </w:pPr>
      <w:r>
        <w:t>Глюкоза, липидограмма.</w:t>
      </w:r>
    </w:p>
    <w:p w:rsidR="008E3F15" w:rsidRDefault="005F449A">
      <w:pPr>
        <w:spacing w:after="31"/>
        <w:ind w:left="347" w:right="15"/>
      </w:pPr>
      <w:r>
        <w:t>Креатинин, рСКФ.</w:t>
      </w:r>
    </w:p>
    <w:p w:rsidR="008E3F15" w:rsidRDefault="005F449A">
      <w:pPr>
        <w:spacing w:after="31"/>
        <w:ind w:left="347" w:right="15"/>
      </w:pPr>
      <w:r>
        <w:t>Анализ мочи.</w:t>
      </w:r>
    </w:p>
    <w:p w:rsidR="008E3F15" w:rsidRDefault="005F449A">
      <w:pPr>
        <w:spacing w:after="31"/>
        <w:ind w:left="347" w:right="15"/>
      </w:pPr>
      <w:r>
        <w:t>Шкалы SCORE2, SCORE2-OP, PCE.</w:t>
      </w:r>
    </w:p>
    <w:p w:rsidR="008E3F15" w:rsidRDefault="005F449A">
      <w:pPr>
        <w:spacing w:after="165"/>
        <w:ind w:left="347" w:right="15"/>
      </w:pPr>
      <w:r>
        <w:t>Тесты на вторичную гипертензию по показаниям.</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39488" behindDoc="0" locked="0" layoutInCell="1" allowOverlap="1">
                <wp:simplePos x="0" y="0"/>
                <wp:positionH relativeFrom="column">
                  <wp:posOffset>214164</wp:posOffset>
                </wp:positionH>
                <wp:positionV relativeFrom="paragraph">
                  <wp:posOffset>34826</wp:posOffset>
                </wp:positionV>
                <wp:extent cx="57150" cy="361950"/>
                <wp:effectExtent l="0" t="0" r="0" b="0"/>
                <wp:wrapSquare wrapText="bothSides"/>
                <wp:docPr id="299534" name="Group 299534"/>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3806" name="Shape 13806"/>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356"/>
                                  <a:pt x="32364" y="57150"/>
                                  <a:pt x="28575" y="57150"/>
                                </a:cubicBezTo>
                                <a:cubicBezTo>
                                  <a:pt x="24786" y="57150"/>
                                  <a:pt x="21141" y="56356"/>
                                  <a:pt x="17640" y="54868"/>
                                </a:cubicBezTo>
                                <a:cubicBezTo>
                                  <a:pt x="14139" y="53280"/>
                                  <a:pt x="11049" y="51197"/>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08" name="Shape 1380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10" name="Shape 1381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9534" style="width:4.5pt;height:28.5pt;position:absolute;mso-position-horizontal-relative:text;mso-position-horizontal:absolute;margin-left:16.8633pt;mso-position-vertical-relative:text;margin-top:2.74219pt;" coordsize="571,3619">
                <v:shape id="Shape 13806" style="position:absolute;width:571;height:571;left:0;top:0;" coordsize="57150,57150" path="m28575,0c32364,0,36009,695,39510,2084c43011,3572,46101,5655,48781,8334c51460,10815,53525,13990,54975,17363c56425,20935,57150,24705,57150,28575c57150,32246,56425,36016,54975,39390c53525,42863,51460,45839,48781,48617c46101,51197,43011,53280,39510,54769c36009,56356,32364,57150,28575,57150c24786,57150,21141,56356,17640,54868c14139,53280,11049,51197,8369,48617c5690,45839,3625,42863,2175,39390c725,36016,0,32246,0,28575c0,24705,725,20935,2175,17363c3625,13990,5690,10815,8369,8334c11049,5655,14139,3572,17640,2084c21141,695,24786,0,28575,0x">
                  <v:stroke weight="0pt" endcap="flat" joinstyle="miter" miterlimit="10" on="false" color="#000000" opacity="0"/>
                  <v:fill on="true" color="#333333"/>
                </v:shape>
                <v:shape id="Shape 13808" style="position:absolute;width:571;height:571;left:0;top:1524;" coordsize="57150,57150" path="m28575,0c32364,0,36009,695,39510,2084c43011,3572,46101,5655,48781,8334c51460,10815,53525,13990,54975,17363c56425,20935,57150,24705,57150,28575c57150,32246,56425,36016,54975,39390c53525,42863,51460,45839,48781,48617c46101,51296,43011,53380,39510,54868c36009,56356,32364,57150,28575,57150c24786,57150,21141,56356,17640,54868c14139,53380,11049,51296,8369,48617c5690,45839,3625,42664,2175,39291c725,35818,0,32246,0,28575c0,24705,725,20935,2175,17363c3625,13990,5690,10815,8369,8334c11049,5655,14139,3572,17640,2084c21141,695,24786,0,28575,0x">
                  <v:stroke weight="0pt" endcap="flat" joinstyle="miter" miterlimit="10" on="false" color="#000000" opacity="0"/>
                  <v:fill on="true" color="#333333"/>
                </v:shape>
                <v:shape id="Shape 13810" style="position:absolute;width:571;height:571;left:0;top:3048;" coordsize="57150,57150" path="m28575,0c32364,0,36009,695,39510,2084c43011,3373,46101,5457,48781,8334c51460,10815,53525,13990,54975,17363c56425,20935,57150,24705,57150,28575c57150,32246,56425,36016,54975,39390c53525,42863,51460,45839,48781,48617c46101,51296,43011,53380,39510,54868c36009,56257,32364,56952,28575,57150c24786,56952,21141,56257,17640,54868c14139,53380,11049,51296,8369,48617c5690,45839,3625,42664,2175,39291c725,35818,0,32246,0,28575c0,24705,725,20935,2175,17363c3625,13990,5690,10815,8369,8334c11049,5457,14139,3373,17640,2084c21141,695,24786,0,28575,0x">
                  <v:stroke weight="0pt" endcap="flat" joinstyle="miter" miterlimit="10" on="false" color="#000000" opacity="0"/>
                  <v:fill on="true" color="#333333"/>
                </v:shape>
                <w10:wrap type="square"/>
              </v:group>
            </w:pict>
          </mc:Fallback>
        </mc:AlternateContent>
      </w:r>
      <w:r>
        <w:t>Диета: DASH, средиземноморская.</w:t>
      </w:r>
    </w:p>
    <w:p w:rsidR="008E3F15" w:rsidRDefault="005F449A">
      <w:pPr>
        <w:spacing w:after="31"/>
        <w:ind w:left="347" w:right="15"/>
      </w:pPr>
      <w:r>
        <w:t>Физические нагрузки.</w:t>
      </w:r>
    </w:p>
    <w:p w:rsidR="008E3F15" w:rsidRDefault="005F449A">
      <w:pPr>
        <w:spacing w:after="165"/>
        <w:ind w:left="347" w:right="15"/>
      </w:pPr>
      <w:r>
        <w:t>БРА, иАПФ, блокаторы кальциевых каналов, диуретики, β-адрено блокаторы.</w:t>
      </w:r>
    </w:p>
    <w:p w:rsidR="008E3F15" w:rsidRDefault="005F449A">
      <w:pPr>
        <w:spacing w:after="359"/>
        <w:ind w:left="2" w:right="15"/>
      </w:pPr>
      <w:r>
        <w:t>Хроническое повышение АД увеличивает риск ИМ, СН, инсульта, болезни периферических артерий, почечной недостаточности и ВСС.</w:t>
      </w:r>
    </w:p>
    <w:p w:rsidR="008E3F15" w:rsidRDefault="005F449A">
      <w:pPr>
        <w:pStyle w:val="Heading1"/>
        <w:ind w:left="2"/>
      </w:pPr>
      <w:r>
        <w:t>Часть I. Сердечно-сосудистые болезни</w:t>
      </w:r>
    </w:p>
    <w:p w:rsidR="008E3F15" w:rsidRDefault="005F449A">
      <w:pPr>
        <w:spacing w:after="31"/>
        <w:ind w:left="2" w:right="15"/>
      </w:pPr>
      <w:r>
        <w:t>Классификация</w:t>
      </w:r>
    </w:p>
    <w:p w:rsidR="008E3F15" w:rsidRDefault="005F449A">
      <w:pPr>
        <w:spacing w:after="133" w:line="259" w:lineRule="auto"/>
        <w:ind w:left="2" w:right="0"/>
      </w:pPr>
      <w:r>
        <w:rPr>
          <w:b/>
        </w:rPr>
        <w:t>Виды арте</w:t>
      </w:r>
      <w:r>
        <w:rPr>
          <w:b/>
        </w:rPr>
        <w:t>риальной гипертензии:</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840512" behindDoc="0" locked="0" layoutInCell="1" allowOverlap="1">
                <wp:simplePos x="0" y="0"/>
                <wp:positionH relativeFrom="column">
                  <wp:posOffset>214164</wp:posOffset>
                </wp:positionH>
                <wp:positionV relativeFrom="paragraph">
                  <wp:posOffset>34826</wp:posOffset>
                </wp:positionV>
                <wp:extent cx="57150" cy="819150"/>
                <wp:effectExtent l="0" t="0" r="0" b="0"/>
                <wp:wrapSquare wrapText="bothSides"/>
                <wp:docPr id="299535" name="Group 299535"/>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13817" name="Shape 13817"/>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19" name="Shape 13819"/>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22" name="Shape 13822"/>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3825" name="Shape 1382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9535" style="width:4.5pt;height:64.5pt;position:absolute;mso-position-horizontal-relative:text;mso-position-horizontal:absolute;margin-left:16.8633pt;mso-position-vertical-relative:text;margin-top:2.74219pt;" coordsize="571,8191">
                <v:shape id="Shape 13817" style="position:absolute;width:571;height:571;left:0;top:0;" coordsize="57150,57150" path="m28575,0c32364,0,36009,695,39510,2084c43011,3572,46101,5655,48781,8334c51460,10815,53525,13990,54975,17562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562c3625,13990,5690,10815,8369,8334c11049,5655,14139,3572,17640,2084c21141,695,24786,0,28575,0x">
                  <v:stroke weight="0pt" endcap="flat" joinstyle="miter" miterlimit="10" on="false" color="#000000" opacity="0"/>
                  <v:fill on="true" color="#333333"/>
                </v:shape>
                <v:shape id="Shape 13819" style="position:absolute;width:571;height:571;left:0;top:1524;" coordsize="57150,57150" path="m28575,0c32364,0,36009,695,39510,2084c43011,3572,46101,5655,48781,8334c51460,10815,53525,13990,54975,17562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562c3625,13990,5690,10815,8369,8334c11049,5655,14139,3572,17640,2084c21141,695,24786,0,28575,0x">
                  <v:stroke weight="0pt" endcap="flat" joinstyle="miter" miterlimit="10" on="false" color="#000000" opacity="0"/>
                  <v:fill on="true" color="#333333"/>
                </v:shape>
                <v:shape id="Shape 13822" style="position:absolute;width:571;height:571;left:0;top:4572;" coordsize="57150,57150" path="m28575,0c32364,0,36009,695,39510,2084c43011,3572,46101,5655,48781,8334c51460,11013,53525,14089,54975,17562c56425,20935,57150,24705,57150,28575c57150,32246,56425,35818,54975,39390c53525,42863,51460,45839,48781,48617c46101,51296,43011,53380,39510,54868c36009,56257,32364,56952,28575,57150c24786,56952,21141,56257,17640,54868c14139,53380,11049,51296,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3825" style="position:absolute;width:571;height:571;left:0;top:7620;" coordsize="57150,57150" path="m28575,0c32364,0,36009,695,39510,2084c43011,3572,46101,5655,48781,8334c51460,11013,53525,14089,54975,17562c56425,20935,57150,24705,57150,28575c57150,32246,56425,35818,54975,39390c53525,42863,51460,45938,48781,48617c46101,51197,43011,53280,39510,54769c36009,56257,32364,56952,28575,57150c24786,56952,21141,56257,17640,54769c14139,53280,11049,51197,8369,48617c5690,45938,3625,42863,2175,39390c725,35818,0,32246,0,28575c0,24705,725,20935,2175,17562c3625,14089,5690,11013,8369,8334c11049,5655,14139,3572,17640,2084c21141,695,24786,0,28575,0x">
                  <v:stroke weight="0pt" endcap="flat" joinstyle="miter" miterlimit="10" on="false" color="#000000" opacity="0"/>
                  <v:fill on="true" color="#333333"/>
                </v:shape>
                <w10:wrap type="square"/>
              </v:group>
            </w:pict>
          </mc:Fallback>
        </mc:AlternateContent>
      </w:r>
      <w:r>
        <w:t>систолическая: АДс ≥140 мм рт.ст., АДд &lt;90 мм рт.ст.;</w:t>
      </w:r>
    </w:p>
    <w:p w:rsidR="008E3F15" w:rsidRDefault="005F449A">
      <w:pPr>
        <w:ind w:left="347" w:right="15"/>
      </w:pPr>
      <w:r>
        <w:t>клиническая (офисная, белого халата): АД измеренное врачом ≥140/90 мм рт.ст. ≥3 раз, АД измеренное дома &lt;135/85 мм рт.ст. или среднесуточное &lt;130/80 мм рт.ст.; амбулаторная: АД из</w:t>
      </w:r>
      <w:r>
        <w:t>меренное врачом &lt;140/90 мм рт.ст., АД измеренное дома</w:t>
      </w:r>
    </w:p>
    <w:p w:rsidR="008E3F15" w:rsidRDefault="005F449A">
      <w:pPr>
        <w:spacing w:after="31"/>
        <w:ind w:left="347" w:right="15"/>
      </w:pPr>
      <w:r>
        <w:t>≥135/85 мм рт.ст. или среднесуточное ≥130/80 мм рт.ст.;</w:t>
      </w:r>
    </w:p>
    <w:p w:rsidR="008E3F15" w:rsidRDefault="005F449A">
      <w:pPr>
        <w:spacing w:after="179"/>
        <w:ind w:left="347" w:right="15"/>
      </w:pPr>
      <w:r>
        <w:t>резистентная: оптимальный образ жизни и ≥3 антигипертензивных препарата в адекватных/переносимых дозах не снижают АД до уровня &lt;140/90 мм рт.ст. н</w:t>
      </w:r>
      <w:r>
        <w:t>а приеме врача, подтвержденное неконтролируемым среднесуточным АД (систолическое ≥130 и/ или диастолическое ≥80 мм рт.ст.).</w:t>
      </w:r>
    </w:p>
    <w:p w:rsidR="008E3F15" w:rsidRDefault="005F449A">
      <w:pPr>
        <w:ind w:left="2" w:right="15"/>
      </w:pPr>
      <w:r>
        <w:t xml:space="preserve">В </w:t>
      </w:r>
      <w:r>
        <w:rPr>
          <w:b/>
        </w:rPr>
        <w:t>табл. 12.1</w:t>
      </w:r>
      <w:r>
        <w:t xml:space="preserve"> приведены варианты оформления диагнозов из медицинских документов авторитетных медицинских учреждений, приемлемые для практической работы. Излишне</w:t>
      </w:r>
    </w:p>
    <w:p w:rsidR="008E3F15" w:rsidRDefault="008E3F15">
      <w:pPr>
        <w:sectPr w:rsidR="008E3F15">
          <w:headerReference w:type="even" r:id="rId122"/>
          <w:headerReference w:type="default" r:id="rId123"/>
          <w:footerReference w:type="even" r:id="rId124"/>
          <w:footerReference w:type="default" r:id="rId125"/>
          <w:headerReference w:type="first" r:id="rId126"/>
          <w:footerReference w:type="first" r:id="rId127"/>
          <w:pgSz w:w="11899" w:h="16838"/>
          <w:pgMar w:top="365" w:right="665" w:bottom="518" w:left="683" w:header="334" w:footer="290" w:gutter="0"/>
          <w:cols w:space="720"/>
        </w:sectPr>
      </w:pPr>
    </w:p>
    <w:p w:rsidR="008E3F15" w:rsidRDefault="005F449A">
      <w:pPr>
        <w:spacing w:after="31"/>
        <w:ind w:left="2" w:right="339"/>
      </w:pPr>
      <w:r>
        <w:t xml:space="preserve">детализированные формулировки диагнозов затрудняют работу практикующих врачей. Исследования не подтверждают существенного влияния оформления диагноза на качество лечения, прогноз и исходы заболевания. </w:t>
      </w:r>
      <w:r>
        <w:rPr>
          <w:b/>
        </w:rPr>
        <w:t xml:space="preserve">Таблица 12.1. </w:t>
      </w:r>
      <w:r>
        <w:t>Примеры оформления диагноза</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9075"/>
        <w:gridCol w:w="1410"/>
      </w:tblGrid>
      <w:tr w:rsidR="008E3F15">
        <w:trPr>
          <w:trHeight w:val="570"/>
        </w:trPr>
        <w:tc>
          <w:tcPr>
            <w:tcW w:w="90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Диагноз</w:t>
            </w:r>
          </w:p>
        </w:tc>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Код</w:t>
            </w:r>
          </w:p>
          <w:p w:rsidR="008E3F15" w:rsidRDefault="005F449A">
            <w:pPr>
              <w:spacing w:after="0" w:line="259" w:lineRule="auto"/>
              <w:ind w:left="1" w:right="0" w:firstLine="0"/>
            </w:pPr>
            <w:r>
              <w:rPr>
                <w:b/>
              </w:rPr>
              <w:t>М</w:t>
            </w:r>
            <w:r>
              <w:rPr>
                <w:b/>
              </w:rPr>
              <w:t>КБ-10</w:t>
            </w:r>
          </w:p>
        </w:tc>
      </w:tr>
      <w:tr w:rsidR="008E3F15">
        <w:trPr>
          <w:trHeight w:val="81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Стабильная стенокардия II ФК.</w:t>
            </w:r>
          </w:p>
          <w:p w:rsidR="008E3F15" w:rsidRDefault="005F449A">
            <w:pPr>
              <w:spacing w:after="0" w:line="259" w:lineRule="auto"/>
              <w:ind w:left="0" w:right="0" w:firstLine="0"/>
            </w:pPr>
            <w:r>
              <w:t>Гипертоническая болезнь 3 стадии.</w:t>
            </w:r>
          </w:p>
          <w:p w:rsidR="008E3F15" w:rsidRDefault="005F449A">
            <w:pPr>
              <w:spacing w:after="0" w:line="259" w:lineRule="auto"/>
              <w:ind w:left="0" w:right="0" w:firstLine="0"/>
            </w:pPr>
            <w:r>
              <w:t>Курение 30 пачка-лет. Хроническая обструктивная болезнь легких, GOLD Е</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I20.8</w:t>
            </w:r>
          </w:p>
        </w:tc>
      </w:tr>
      <w:tr w:rsidR="008E3F15">
        <w:trPr>
          <w:trHeight w:val="57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Гипертоническая болезнь. Гиперхолестеринемия. ХСН с сохраненной ФВЛЖ, NYHA II</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I11</w:t>
            </w:r>
          </w:p>
        </w:tc>
      </w:tr>
      <w:tr w:rsidR="008E3F15">
        <w:trPr>
          <w:trHeight w:val="33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Гипертоническая болезнь, криз с энцефалопатией</w:t>
            </w:r>
          </w:p>
        </w:tc>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I10</w:t>
            </w:r>
          </w:p>
        </w:tc>
      </w:tr>
      <w:tr w:rsidR="008E3F15">
        <w:trPr>
          <w:trHeight w:val="57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Изолированная клиническая гипертензия. SCORE2 4%. Хроническая головная боль напряжения.</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R03.0</w:t>
            </w:r>
          </w:p>
        </w:tc>
      </w:tr>
      <w:tr w:rsidR="008E3F15">
        <w:trPr>
          <w:trHeight w:val="33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Инциденталома правого надпочечника. Артериальная гипертензия</w:t>
            </w:r>
          </w:p>
        </w:tc>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D35.0</w:t>
            </w:r>
          </w:p>
        </w:tc>
      </w:tr>
    </w:tbl>
    <w:p w:rsidR="008E3F15" w:rsidRDefault="005F449A">
      <w:pPr>
        <w:spacing w:after="359"/>
        <w:ind w:left="2" w:right="89"/>
      </w:pPr>
      <w:r>
        <w:t>В ряде случаев формулировка диагноза должна учитывать требования документов по оценке профессиональной деятельности или степени трудоспособности, которые могут не соответствовать современному уровню развития медицины.</w:t>
      </w:r>
    </w:p>
    <w:p w:rsidR="008E3F15" w:rsidRDefault="005F449A">
      <w:pPr>
        <w:pStyle w:val="Heading1"/>
        <w:ind w:left="2"/>
      </w:pPr>
      <w:r>
        <w:t>Часть I. Сердечно-сосудистые болезни</w:t>
      </w:r>
    </w:p>
    <w:p w:rsidR="008E3F15" w:rsidRDefault="005F449A">
      <w:pPr>
        <w:spacing w:after="31"/>
        <w:ind w:left="2" w:right="15"/>
      </w:pPr>
      <w:r>
        <w:t>Д</w:t>
      </w:r>
      <w:r>
        <w:t>иагностика</w:t>
      </w:r>
    </w:p>
    <w:p w:rsidR="008E3F15" w:rsidRDefault="005F449A">
      <w:pPr>
        <w:spacing w:after="179"/>
        <w:ind w:left="2" w:right="15"/>
      </w:pPr>
      <w:r>
        <w:t>Рекомендованы следующие критерии артериальной гипертензии в зависимости от способа измерения, основанные на оценках сердечно-сосудистого риска (ESC):</w:t>
      </w:r>
    </w:p>
    <w:p w:rsidR="008E3F15" w:rsidRDefault="005F449A">
      <w:pPr>
        <w:spacing w:after="179"/>
        <w:ind w:left="340" w:right="4045"/>
      </w:pPr>
      <w:r>
        <w:rPr>
          <w:rFonts w:ascii="Calibri" w:eastAsia="Calibri" w:hAnsi="Calibri" w:cs="Calibri"/>
          <w:noProof/>
          <w:color w:val="000000"/>
          <w:sz w:val="22"/>
        </w:rPr>
        <mc:AlternateContent>
          <mc:Choice Requires="wpg">
            <w:drawing>
              <wp:anchor distT="0" distB="0" distL="114300" distR="114300" simplePos="0" relativeHeight="251841536"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301297" name="Group 30129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3884" name="Shape 13884"/>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886" name="Shape 1388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888" name="Shape 1388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815"/>
                                  <a:pt x="53525" y="13990"/>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136"/>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890" name="Shape 1389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390"/>
                                </a:cubicBezTo>
                                <a:cubicBezTo>
                                  <a:pt x="725" y="35818"/>
                                  <a:pt x="0" y="32246"/>
                                  <a:pt x="0" y="28575"/>
                                </a:cubicBezTo>
                                <a:cubicBezTo>
                                  <a:pt x="0" y="24705"/>
                                  <a:pt x="725" y="20935"/>
                                  <a:pt x="2175" y="17562"/>
                                </a:cubicBezTo>
                                <a:cubicBezTo>
                                  <a:pt x="3625" y="13990"/>
                                  <a:pt x="5690" y="10815"/>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3892" name="Shape 13892"/>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1297" style="width:4.5pt;height:52.5pt;position:absolute;mso-position-horizontal-relative:text;mso-position-horizontal:absolute;margin-left:16.5pt;mso-position-vertical-relative:text;margin-top:2.74219pt;" coordsize="571,6667">
                <v:shape id="Shape 13884" style="position:absolute;width:571;height:571;left:0;top:0;" coordsize="57150,57150" path="m28575,0c32364,0,36009,695,39510,2084c43011,3572,46101,5655,48781,8334c51460,11013,53525,14089,54975,17562c56425,20935,57150,24705,57150,28575c57150,32246,56425,35818,54975,39390c53525,42863,51460,45839,48781,48617c46101,51296,43011,53380,39510,54868c36009,56257,32364,56952,28575,57150c24786,56952,21141,56257,17640,54868c14139,53380,11049,51296,8369,48617c5690,45839,3625,42863,2175,39390c725,35818,0,32246,0,28575c0,24705,725,20935,2175,17562c3625,14089,5690,11013,8369,8334c11049,5655,14139,3572,17640,2084c21141,695,24786,0,28575,0x">
                  <v:stroke weight="0pt" endcap="flat" joinstyle="miter" miterlimit="4" on="false" color="#000000" opacity="0"/>
                  <v:fill on="true" color="#333333"/>
                </v:shape>
                <v:shape id="Shape 13886" style="position:absolute;width:571;height:571;left:0;top:1524;" coordsize="57150,57150" path="m28575,0c32364,0,36009,695,39510,2084c43011,3373,46101,5457,48781,8136c51460,10815,53525,13990,54975,17363c56425,20935,57150,24705,57150,28575c57150,32246,56425,35818,54975,39390c53525,42863,51460,45938,48781,48617c46101,51296,43011,53380,39510,54868c36009,56257,32364,56952,28575,57150c24786,56952,21141,56257,17640,54868c14139,53380,11049,51296,8369,48617c5690,45938,3625,42863,2175,39390c725,35818,0,32246,0,28575c0,24705,725,20935,2175,17562c3625,13990,5690,10815,8369,8136c11049,5457,14139,3373,17640,2084c21141,695,24786,0,28575,0x">
                  <v:stroke weight="0pt" endcap="flat" joinstyle="miter" miterlimit="4" on="false" color="#000000" opacity="0"/>
                  <v:fill on="true" color="#333333"/>
                </v:shape>
                <v:shape id="Shape 13888" style="position:absolute;width:571;height:571;left:0;top:3048;" coordsize="57150,57150" path="m28575,0c32364,0,36009,695,39510,2084c43011,3572,46101,5655,48781,8136c51460,10815,53525,13990,54975,17562c56425,20935,57150,24705,57150,28575c57150,32246,56425,35818,54975,39390c53525,42863,51460,45938,48781,48617c46101,51197,43011,53280,39510,54570c36009,56257,32364,56952,28575,57150c24786,56952,21141,56257,17640,54769c14139,53280,11049,51197,8369,48617c5690,45938,3625,42863,2175,39390c725,35818,0,32246,0,28575c0,24705,725,20935,2175,17562c3625,13990,5690,10815,8369,8136c11049,5655,14139,3572,17640,2084c21141,695,24786,0,28575,0x">
                  <v:stroke weight="0pt" endcap="flat" joinstyle="miter" miterlimit="4" on="false" color="#000000" opacity="0"/>
                  <v:fill on="true" color="#333333"/>
                </v:shape>
                <v:shape id="Shape 13890" style="position:absolute;width:571;height:571;left:0;top:4572;" coordsize="57150,57150" path="m28575,0c32364,0,36009,695,39510,2084c43011,3373,46101,5358,48781,8136c51460,10815,53525,13990,54975,17363c56425,20935,57150,24705,57150,28575c57150,32246,56425,35818,54975,39390c53525,42863,51460,45938,48781,48617c46101,51296,43011,53380,39510,54769c36009,56257,32364,56952,28575,57150c24786,56952,21141,56257,17640,54769c14139,53380,11049,51296,8369,48617c5690,45938,3625,42863,2175,39390c725,35818,0,32246,0,28575c0,24705,725,20935,2175,17562c3625,13990,5690,10815,8369,8136c11049,5358,14139,3373,17640,2084c21141,695,24786,0,28575,0x">
                  <v:stroke weight="0pt" endcap="flat" joinstyle="miter" miterlimit="4" on="false" color="#000000" opacity="0"/>
                  <v:fill on="true" color="#333333"/>
                </v:shape>
                <v:shape id="Shape 13892" style="position:absolute;width:571;height:571;left:0;top:6096;" coordsize="57150,57150" path="m28575,0c32364,0,36009,695,39510,2084c43011,3373,46101,5457,48781,8136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136c11049,5457,14139,3373,17640,2084c21141,695,24786,0,28575,0x">
                  <v:stroke weight="0pt" endcap="flat" joinstyle="miter" miterlimit="4" on="false" color="#000000" opacity="0"/>
                  <v:fill on="true" color="#333333"/>
                </v:shape>
                <w10:wrap type="square"/>
              </v:group>
            </w:pict>
          </mc:Fallback>
        </mc:AlternateContent>
      </w:r>
      <w:r>
        <w:t xml:space="preserve">клиническое (офисное): ≥140 и/или ≥90 мм рт.ст.; домашнее: ≥135 и/или ≥85 мм рт.ст.; суточное </w:t>
      </w:r>
      <w:r>
        <w:t>среднее: ≥130 и/или ≥80 мм рт.ст.; суточное среднее дневное: ≥135 и/или ≥85 мм рт.ст.; суточное среднее ночное: ≥120 и/или ≥70 мм рт.ст.</w:t>
      </w:r>
    </w:p>
    <w:p w:rsidR="008E3F15" w:rsidRDefault="005F449A">
      <w:pPr>
        <w:ind w:left="2" w:right="607"/>
      </w:pPr>
      <w:r>
        <w:t xml:space="preserve">Артериальная гипертензии определяется по уровню АДс и/или АДд, превышающего референтные значения. Важно учитывать, что </w:t>
      </w:r>
      <w:r>
        <w:t>целью лечения артериальной гипертензии может быть уровень АД ниже нормального, в зависимости от коморбидной ситуации и рисков.</w:t>
      </w:r>
    </w:p>
    <w:p w:rsidR="008E3F15" w:rsidRDefault="005F449A">
      <w:pPr>
        <w:ind w:left="2" w:right="565"/>
      </w:pPr>
      <w:r>
        <w:t>Скрининг артериальной гипертензии считают целесообразным каждые 3–5 лет, начиная с возраста 18 лет, а после достижения 40 лет — е</w:t>
      </w:r>
      <w:r>
        <w:t>жегодно (USPSTF).</w:t>
      </w:r>
    </w:p>
    <w:p w:rsidR="008E3F15" w:rsidRDefault="005F449A">
      <w:pPr>
        <w:ind w:left="2" w:right="665"/>
      </w:pPr>
      <w:r>
        <w:t>Учитывая различную реакцию пациентов на врача, длительное ожидание приема в поликлинике, более надежными считаются домашнее измерение АД (при соблюдении рекомендаций) или результаты суточного мониторирования.</w:t>
      </w:r>
    </w:p>
    <w:p w:rsidR="008E3F15" w:rsidRDefault="005F449A">
      <w:pPr>
        <w:ind w:left="2" w:right="119"/>
      </w:pPr>
      <w:r>
        <w:t>Важно измерить АД сидя, в усл</w:t>
      </w:r>
      <w:r>
        <w:t>овиях покоя, без воздействия факторов, влияющих на уровень АД, манжетку соответствующих размеров накладывать на плечо без одежды (рукав не закатывать). Использование обычной манжетки вместо малой снижает АДс на 4 мм рт.ст., вместо большой — повышает на 5 м</w:t>
      </w:r>
      <w:r>
        <w:t>м рт.ст. (Ishigami J. et al., 2023). АД измеряется на обеих руках, и, если разница составляет 15 мм рт.ст. и более, последующие измерения проводят на руке с более высоким АД (NICE).</w:t>
      </w:r>
    </w:p>
    <w:p w:rsidR="008E3F15" w:rsidRDefault="005F449A">
      <w:pPr>
        <w:ind w:left="2" w:right="15"/>
      </w:pPr>
      <w:r>
        <w:t>Целесообразно использовать аппараты автоматического измерения АД, соответс</w:t>
      </w:r>
      <w:r>
        <w:t>твующие существующим критериям точности (ANSI/AAMI/ISO 81060-2:2013, ESH-IP, BHS), которые будут заменены на единый стандарт AAMI/ESH/ISO. Проверить приборы для измерения АД на соответствие существующим стандартам можно на сайте STRIDE BP.</w:t>
      </w:r>
    </w:p>
    <w:p w:rsidR="008E3F15" w:rsidRDefault="005F449A">
      <w:pPr>
        <w:ind w:left="2" w:right="87"/>
      </w:pPr>
      <w:r>
        <w:t>Если на приеме в</w:t>
      </w:r>
      <w:r>
        <w:t>рача определяется АД ≥140/90 мм рт.ст., следует повторить измерение в период консультации и ориентироваться на более низкий уровень (Национальный институт клинического усовершенствования). Самоизмерение АДс пациентом в больнице также превышает домашнее АДс</w:t>
      </w:r>
      <w:r>
        <w:t xml:space="preserve"> в среднем на 10 мм рт.ст.</w:t>
      </w:r>
    </w:p>
    <w:p w:rsidR="008E3F15" w:rsidRDefault="005F449A">
      <w:pPr>
        <w:ind w:left="2" w:right="15"/>
      </w:pPr>
      <w:r>
        <w:t>Для подтверждения артериальной гипертензии, выявленной при осмотре врача, используют суточное или домашнее мониторирование АД.</w:t>
      </w:r>
    </w:p>
    <w:p w:rsidR="008E3F15" w:rsidRDefault="005F449A">
      <w:pPr>
        <w:ind w:left="2" w:right="15"/>
      </w:pPr>
      <w:r>
        <w:t>Важно отметить, что суточное АД лучше прогнозирует общую и сердечно-сосудистую смертность, чем клиниче</w:t>
      </w:r>
      <w:r>
        <w:t>ское АД (Banegas J. et al., 2018; Staplin N. et al., 2023).</w:t>
      </w:r>
    </w:p>
    <w:p w:rsidR="008E3F15" w:rsidRDefault="005F449A">
      <w:pPr>
        <w:ind w:left="2" w:right="15"/>
      </w:pPr>
      <w:r>
        <w:t>У пациентов с гипертензией белого халата выявляют повышение риска ССЗ, хотя и меньшее, чем при стойком повышении АД (Cohen J. et al., 2019).</w:t>
      </w:r>
    </w:p>
    <w:p w:rsidR="008E3F15" w:rsidRDefault="005F449A">
      <w:pPr>
        <w:spacing w:after="0" w:line="259" w:lineRule="auto"/>
        <w:ind w:left="-210" w:right="-189" w:firstLine="0"/>
      </w:pPr>
      <w:r>
        <w:rPr>
          <w:noProof/>
        </w:rPr>
        <w:drawing>
          <wp:inline distT="0" distB="0" distL="0" distR="0">
            <wp:extent cx="6949440" cy="454152"/>
            <wp:effectExtent l="0" t="0" r="0" b="0"/>
            <wp:docPr id="352714" name="Picture 352714"/>
            <wp:cNvGraphicFramePr/>
            <a:graphic xmlns:a="http://schemas.openxmlformats.org/drawingml/2006/main">
              <a:graphicData uri="http://schemas.openxmlformats.org/drawingml/2006/picture">
                <pic:pic xmlns:pic="http://schemas.openxmlformats.org/drawingml/2006/picture">
                  <pic:nvPicPr>
                    <pic:cNvPr id="352714" name="Picture 352714"/>
                    <pic:cNvPicPr/>
                  </pic:nvPicPr>
                  <pic:blipFill>
                    <a:blip r:embed="rId128"/>
                    <a:stretch>
                      <a:fillRect/>
                    </a:stretch>
                  </pic:blipFill>
                  <pic:spPr>
                    <a:xfrm>
                      <a:off x="0" y="0"/>
                      <a:ext cx="6949440" cy="454152"/>
                    </a:xfrm>
                    <a:prstGeom prst="rect">
                      <a:avLst/>
                    </a:prstGeom>
                  </pic:spPr>
                </pic:pic>
              </a:graphicData>
            </a:graphic>
          </wp:inline>
        </w:drawing>
      </w:r>
    </w:p>
    <w:p w:rsidR="008E3F15" w:rsidRDefault="005F449A">
      <w:pPr>
        <w:tabs>
          <w:tab w:val="center" w:pos="501"/>
          <w:tab w:val="center" w:pos="1661"/>
          <w:tab w:val="center" w:pos="2964"/>
          <w:tab w:val="center" w:pos="3543"/>
          <w:tab w:val="center" w:pos="4306"/>
          <w:tab w:val="center" w:pos="6584"/>
          <w:tab w:val="center" w:pos="7538"/>
          <w:tab w:val="center" w:pos="9132"/>
        </w:tabs>
        <w:spacing w:after="31"/>
        <w:ind w:left="0" w:right="0" w:firstLine="0"/>
      </w:pPr>
      <w:r>
        <w:rPr>
          <w:rFonts w:ascii="Calibri" w:eastAsia="Calibri" w:hAnsi="Calibri" w:cs="Calibri"/>
          <w:color w:val="000000"/>
          <w:sz w:val="22"/>
        </w:rPr>
        <w:tab/>
      </w:r>
      <w:r>
        <w:t>д ц</w:t>
      </w:r>
      <w:r>
        <w:tab/>
        <w:t>р</w:t>
      </w:r>
      <w:r>
        <w:tab/>
        <w:t>,</w:t>
      </w:r>
      <w:r>
        <w:tab/>
        <w:t>ду</w:t>
      </w:r>
      <w:r>
        <w:tab/>
        <w:t>р</w:t>
      </w:r>
      <w:r>
        <w:tab/>
        <w:t>р</w:t>
      </w:r>
      <w:r>
        <w:tab/>
        <w:t>д</w:t>
      </w:r>
      <w:r>
        <w:tab/>
        <w:t>р</w:t>
      </w:r>
    </w:p>
    <w:p w:rsidR="008E3F15" w:rsidRDefault="005F449A">
      <w:pPr>
        <w:ind w:left="2" w:right="128"/>
      </w:pPr>
      <w:r>
        <w:t>профессиональными организациями критерий ≥130/80 мм рт.ст., основанный на результатах современных исследований, позволяющий предупредить больше сердечно-сосудистых событий. Пациентам с АД 130–139/80–89 мм рт.ст. и высоким сердечно-сосудистым риском по шкал</w:t>
      </w:r>
      <w:r>
        <w:t>е PCE ≥10% или наличием атеросклеротического заболевания рекомендуют, наряду с изменением образа жизни, назначать лекарственные препараты.</w:t>
      </w:r>
    </w:p>
    <w:p w:rsidR="008E3F15" w:rsidRDefault="005F449A">
      <w:pPr>
        <w:spacing w:after="31"/>
        <w:ind w:left="2" w:right="15"/>
      </w:pPr>
      <w:r>
        <w:t>Соответствие уровня АД при разных методиках измерения представлено в</w:t>
      </w:r>
      <w:r>
        <w:rPr>
          <w:b/>
        </w:rPr>
        <w:t xml:space="preserve"> табл. 12.2</w:t>
      </w:r>
      <w:r>
        <w:t>.</w:t>
      </w:r>
    </w:p>
    <w:p w:rsidR="008E3F15" w:rsidRDefault="005F449A">
      <w:pPr>
        <w:spacing w:after="31"/>
        <w:ind w:left="2" w:right="15"/>
      </w:pPr>
      <w:r>
        <w:rPr>
          <w:b/>
        </w:rPr>
        <w:t xml:space="preserve">Таблица 12.2. </w:t>
      </w:r>
      <w:r>
        <w:t>Соответствие артериаль</w:t>
      </w:r>
      <w:r>
        <w:t>ного давления при разных методиках измерения (ACC/AHA)</w:t>
      </w:r>
    </w:p>
    <w:tbl>
      <w:tblPr>
        <w:tblStyle w:val="TableGrid"/>
        <w:tblW w:w="6285" w:type="dxa"/>
        <w:tblInd w:w="30" w:type="dxa"/>
        <w:tblCellMar>
          <w:top w:w="58" w:type="dxa"/>
          <w:left w:w="21" w:type="dxa"/>
          <w:bottom w:w="0" w:type="dxa"/>
          <w:right w:w="39" w:type="dxa"/>
        </w:tblCellMar>
        <w:tblLook w:val="04A0" w:firstRow="1" w:lastRow="0" w:firstColumn="1" w:lastColumn="0" w:noHBand="0" w:noVBand="1"/>
      </w:tblPr>
      <w:tblGrid>
        <w:gridCol w:w="1650"/>
        <w:gridCol w:w="1350"/>
        <w:gridCol w:w="1088"/>
        <w:gridCol w:w="1035"/>
        <w:gridCol w:w="1163"/>
      </w:tblGrid>
      <w:tr w:rsidR="008E3F15">
        <w:trPr>
          <w:trHeight w:val="308"/>
        </w:trPr>
        <w:tc>
          <w:tcPr>
            <w:tcW w:w="6285" w:type="dxa"/>
            <w:gridSpan w:val="5"/>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4" w:right="0" w:firstLine="0"/>
            </w:pPr>
            <w:r>
              <w:rPr>
                <w:b/>
              </w:rPr>
              <w:t>АД, мм рт.ст.</w:t>
            </w:r>
          </w:p>
        </w:tc>
      </w:tr>
      <w:tr w:rsidR="008E3F15">
        <w:trPr>
          <w:trHeight w:val="375"/>
        </w:trPr>
        <w:tc>
          <w:tcPr>
            <w:tcW w:w="6285" w:type="dxa"/>
            <w:gridSpan w:val="5"/>
            <w:tcBorders>
              <w:top w:val="single" w:sz="6" w:space="0" w:color="000000"/>
              <w:left w:val="single" w:sz="6" w:space="0" w:color="000000"/>
              <w:bottom w:val="nil"/>
              <w:right w:val="single" w:sz="6" w:space="0" w:color="000000"/>
            </w:tcBorders>
          </w:tcPr>
          <w:p w:rsidR="008E3F15" w:rsidRDefault="005F449A">
            <w:pPr>
              <w:spacing w:after="0" w:line="259" w:lineRule="auto"/>
              <w:ind w:left="24" w:right="0" w:firstLine="0"/>
              <w:jc w:val="both"/>
            </w:pPr>
            <w:r>
              <w:rPr>
                <w:b/>
                <w:bdr w:val="single" w:sz="12" w:space="0" w:color="000000"/>
              </w:rPr>
              <w:t>Клиническое Домашнее Дневное Ночное Суточное</w:t>
            </w:r>
          </w:p>
        </w:tc>
      </w:tr>
      <w:tr w:rsidR="008E3F15">
        <w:trPr>
          <w:trHeight w:val="308"/>
        </w:trPr>
        <w:tc>
          <w:tcPr>
            <w:tcW w:w="16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4" w:right="0" w:firstLine="0"/>
            </w:pPr>
            <w:r>
              <w:t>120/80</w:t>
            </w:r>
          </w:p>
        </w:tc>
        <w:tc>
          <w:tcPr>
            <w:tcW w:w="13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8" w:right="0" w:firstLine="0"/>
            </w:pPr>
            <w:r>
              <w:t>120/80</w:t>
            </w:r>
          </w:p>
        </w:tc>
        <w:tc>
          <w:tcPr>
            <w:tcW w:w="1088"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19" w:right="0" w:firstLine="0"/>
            </w:pPr>
            <w:r>
              <w:t>120/80</w:t>
            </w:r>
          </w:p>
        </w:tc>
        <w:tc>
          <w:tcPr>
            <w:tcW w:w="1035" w:type="dxa"/>
            <w:vMerge w:val="restart"/>
            <w:tcBorders>
              <w:top w:val="nil"/>
              <w:left w:val="nil"/>
              <w:bottom w:val="single" w:sz="6" w:space="0" w:color="000000"/>
              <w:right w:val="nil"/>
            </w:tcBorders>
          </w:tcPr>
          <w:p w:rsidR="008E3F15" w:rsidRDefault="005F449A">
            <w:pPr>
              <w:spacing w:after="0" w:line="259" w:lineRule="auto"/>
              <w:ind w:left="47" w:right="0" w:firstLine="0"/>
            </w:pPr>
            <w:r>
              <w:rPr>
                <w:bdr w:val="single" w:sz="12" w:space="0" w:color="000000"/>
              </w:rPr>
              <w:t>100/65</w:t>
            </w:r>
          </w:p>
          <w:p w:rsidR="008E3F15" w:rsidRDefault="005F449A">
            <w:pPr>
              <w:spacing w:after="0" w:line="259" w:lineRule="auto"/>
              <w:ind w:left="47" w:right="0" w:firstLine="0"/>
            </w:pPr>
            <w:r>
              <w:rPr>
                <w:bdr w:val="single" w:sz="12" w:space="0" w:color="000000"/>
              </w:rPr>
              <w:t>110/65</w:t>
            </w:r>
          </w:p>
          <w:p w:rsidR="008E3F15" w:rsidRDefault="005F449A">
            <w:pPr>
              <w:spacing w:after="0" w:line="259" w:lineRule="auto"/>
              <w:ind w:left="47" w:right="0" w:firstLine="0"/>
            </w:pPr>
            <w:r>
              <w:rPr>
                <w:bdr w:val="single" w:sz="12" w:space="0" w:color="000000"/>
              </w:rPr>
              <w:t>120/70</w:t>
            </w:r>
          </w:p>
          <w:p w:rsidR="008E3F15" w:rsidRDefault="005F449A">
            <w:pPr>
              <w:spacing w:after="0" w:line="259" w:lineRule="auto"/>
              <w:ind w:left="47" w:right="0" w:firstLine="0"/>
            </w:pPr>
            <w:r>
              <w:rPr>
                <w:bdr w:val="single" w:sz="12" w:space="0" w:color="000000"/>
              </w:rPr>
              <w:t>140/85</w:t>
            </w:r>
          </w:p>
        </w:tc>
        <w:tc>
          <w:tcPr>
            <w:tcW w:w="1163"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115/75</w:t>
            </w:r>
          </w:p>
        </w:tc>
      </w:tr>
      <w:tr w:rsidR="008E3F15">
        <w:trPr>
          <w:trHeight w:val="330"/>
        </w:trPr>
        <w:tc>
          <w:tcPr>
            <w:tcW w:w="1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4" w:right="0" w:firstLine="0"/>
            </w:pPr>
            <w:r>
              <w:t>130/80</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8" w:right="0" w:firstLine="0"/>
            </w:pPr>
            <w:r>
              <w:t>130/80</w:t>
            </w:r>
          </w:p>
        </w:tc>
        <w:tc>
          <w:tcPr>
            <w:tcW w:w="1088"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9" w:right="0" w:firstLine="0"/>
            </w:pPr>
            <w:r>
              <w:t>130/80</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163"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125/75</w:t>
            </w:r>
          </w:p>
        </w:tc>
      </w:tr>
      <w:tr w:rsidR="008E3F15">
        <w:trPr>
          <w:trHeight w:val="330"/>
        </w:trPr>
        <w:tc>
          <w:tcPr>
            <w:tcW w:w="1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4" w:right="0" w:firstLine="0"/>
            </w:pPr>
            <w:r>
              <w:t>140/90</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8" w:right="0" w:firstLine="0"/>
            </w:pPr>
            <w:r>
              <w:t>135/85</w:t>
            </w:r>
          </w:p>
        </w:tc>
        <w:tc>
          <w:tcPr>
            <w:tcW w:w="1088"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9" w:right="0" w:firstLine="0"/>
            </w:pPr>
            <w:r>
              <w:t>135/85</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163"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130/80</w:t>
            </w:r>
          </w:p>
        </w:tc>
      </w:tr>
      <w:tr w:rsidR="008E3F15">
        <w:trPr>
          <w:trHeight w:val="330"/>
        </w:trPr>
        <w:tc>
          <w:tcPr>
            <w:tcW w:w="16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4" w:right="0" w:firstLine="0"/>
            </w:pPr>
            <w:r>
              <w:t>160/100</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8" w:right="0" w:firstLine="0"/>
            </w:pPr>
            <w:r>
              <w:t>145/90</w:t>
            </w:r>
          </w:p>
        </w:tc>
        <w:tc>
          <w:tcPr>
            <w:tcW w:w="1088"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19" w:right="0" w:firstLine="0"/>
            </w:pPr>
            <w:r>
              <w:t>145/90</w:t>
            </w:r>
          </w:p>
        </w:tc>
        <w:tc>
          <w:tcPr>
            <w:tcW w:w="0" w:type="auto"/>
            <w:vMerge/>
            <w:tcBorders>
              <w:top w:val="nil"/>
              <w:left w:val="nil"/>
              <w:bottom w:val="single" w:sz="6" w:space="0" w:color="000000"/>
              <w:right w:val="nil"/>
            </w:tcBorders>
          </w:tcPr>
          <w:p w:rsidR="008E3F15" w:rsidRDefault="008E3F15">
            <w:pPr>
              <w:spacing w:after="160" w:line="259" w:lineRule="auto"/>
              <w:ind w:left="0" w:right="0" w:firstLine="0"/>
            </w:pPr>
          </w:p>
        </w:tc>
        <w:tc>
          <w:tcPr>
            <w:tcW w:w="1163"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145/90</w:t>
            </w:r>
          </w:p>
        </w:tc>
      </w:tr>
    </w:tbl>
    <w:p w:rsidR="008E3F15" w:rsidRDefault="005F449A">
      <w:pPr>
        <w:ind w:left="2" w:right="15"/>
      </w:pPr>
      <w:r>
        <w:t>Часто пациенты и врачи связывают головную боль с первичным повышением АД. Однако такая головная боль встречается намного реже, чем другие виды головной боли (</w:t>
      </w:r>
      <w:r>
        <w:rPr>
          <w:b/>
        </w:rPr>
        <w:t>рис. 12.1</w:t>
      </w:r>
      <w:r>
        <w:t xml:space="preserve">). </w:t>
      </w:r>
      <w:r>
        <w:t>Обычно повышенное АД хорошо переносится пациентом в связи с эффективной работой системы ауторегуляции мозгового кровообращения. Головные боли чаще обусловленны напряжением мышц скальпа или мигренью, требующими специфической терапии.</w:t>
      </w:r>
    </w:p>
    <w:p w:rsidR="008E3F15" w:rsidRDefault="005F449A">
      <w:pPr>
        <w:spacing w:after="65" w:line="259" w:lineRule="auto"/>
        <w:ind w:left="0" w:right="0" w:firstLine="0"/>
      </w:pPr>
      <w:r>
        <w:rPr>
          <w:noProof/>
        </w:rPr>
        <w:drawing>
          <wp:inline distT="0" distB="0" distL="0" distR="0">
            <wp:extent cx="5057775" cy="3648075"/>
            <wp:effectExtent l="0" t="0" r="0" b="0"/>
            <wp:docPr id="14014" name="Picture 14014"/>
            <wp:cNvGraphicFramePr/>
            <a:graphic xmlns:a="http://schemas.openxmlformats.org/drawingml/2006/main">
              <a:graphicData uri="http://schemas.openxmlformats.org/drawingml/2006/picture">
                <pic:pic xmlns:pic="http://schemas.openxmlformats.org/drawingml/2006/picture">
                  <pic:nvPicPr>
                    <pic:cNvPr id="14014" name="Picture 14014"/>
                    <pic:cNvPicPr/>
                  </pic:nvPicPr>
                  <pic:blipFill>
                    <a:blip r:embed="rId129"/>
                    <a:stretch>
                      <a:fillRect/>
                    </a:stretch>
                  </pic:blipFill>
                  <pic:spPr>
                    <a:xfrm>
                      <a:off x="0" y="0"/>
                      <a:ext cx="5057775" cy="3648075"/>
                    </a:xfrm>
                    <a:prstGeom prst="rect">
                      <a:avLst/>
                    </a:prstGeom>
                  </pic:spPr>
                </pic:pic>
              </a:graphicData>
            </a:graphic>
          </wp:inline>
        </w:drawing>
      </w:r>
    </w:p>
    <w:p w:rsidR="008E3F15" w:rsidRDefault="005F449A">
      <w:pPr>
        <w:spacing w:after="31"/>
        <w:ind w:left="2" w:right="15"/>
      </w:pPr>
      <w:r>
        <w:rPr>
          <w:b/>
        </w:rPr>
        <w:t xml:space="preserve">Рис. 12.1. </w:t>
      </w:r>
      <w:r>
        <w:t>Распростра</w:t>
      </w:r>
      <w:r>
        <w:t>ненность головных болей (Stovner L. et al., 2022)</w:t>
      </w:r>
    </w:p>
    <w:p w:rsidR="008E3F15" w:rsidRDefault="005F449A">
      <w:pPr>
        <w:spacing w:after="186"/>
        <w:ind w:left="2" w:right="15"/>
      </w:pPr>
      <w:r>
        <w:t>Рекомендуется использовать следующие диагностические критерии головных болей (ICHD-3).</w:t>
      </w:r>
    </w:p>
    <w:p w:rsidR="008E3F15" w:rsidRDefault="005F449A">
      <w:pPr>
        <w:spacing w:line="259" w:lineRule="auto"/>
        <w:ind w:left="340" w:right="0"/>
      </w:pPr>
      <w:r>
        <w:rPr>
          <w:rFonts w:ascii="Calibri" w:eastAsia="Calibri" w:hAnsi="Calibri" w:cs="Calibri"/>
          <w:noProof/>
          <w:color w:val="000000"/>
          <w:sz w:val="22"/>
        </w:rPr>
        <mc:AlternateContent>
          <mc:Choice Requires="wpg">
            <w:drawing>
              <wp:inline distT="0" distB="0" distL="0" distR="0">
                <wp:extent cx="57150" cy="57150"/>
                <wp:effectExtent l="0" t="0" r="0" b="0"/>
                <wp:docPr id="301566" name="Group 30156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4018" name="Shape 14018"/>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1566" style="width:4.5pt;height:4.5pt;mso-position-horizontal-relative:char;mso-position-vertical-relative:line" coordsize="571,571">
                <v:shape id="Shape 14018"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group>
            </w:pict>
          </mc:Fallback>
        </mc:AlternateContent>
      </w:r>
      <w:r>
        <w:rPr>
          <w:i/>
        </w:rPr>
        <w:t xml:space="preserve"> Головная боль, связанная с артериальной гипертензией:</w:t>
      </w:r>
    </w:p>
    <w:p w:rsidR="008E3F15" w:rsidRDefault="005F449A">
      <w:pPr>
        <w:numPr>
          <w:ilvl w:val="0"/>
          <w:numId w:val="3"/>
        </w:numPr>
        <w:spacing w:after="31"/>
        <w:ind w:right="204" w:hanging="273"/>
      </w:pPr>
      <w:r>
        <w:t>любая головная боль, отвечающая критерию C;</w:t>
      </w:r>
    </w:p>
    <w:p w:rsidR="008E3F15" w:rsidRDefault="005F449A">
      <w:pPr>
        <w:numPr>
          <w:ilvl w:val="0"/>
          <w:numId w:val="3"/>
        </w:numPr>
        <w:ind w:right="204" w:hanging="273"/>
      </w:pPr>
      <w:r>
        <w:t>артериальная гипертензия с АДс ≥180 мм рт.ст. и/или АДд    ≥120 мм рт.ст.;C. доказательства причинной связи, продемонстрированные одним или обоими из следующих факторов:</w:t>
      </w:r>
    </w:p>
    <w:p w:rsidR="008E3F15" w:rsidRDefault="005F449A">
      <w:pPr>
        <w:numPr>
          <w:ilvl w:val="1"/>
          <w:numId w:val="3"/>
        </w:numPr>
        <w:ind w:right="15" w:hanging="247"/>
      </w:pPr>
      <w:r>
        <w:t>головная боль возникла в тесной временной связи с началом артериальнойгипертензии;</w:t>
      </w:r>
    </w:p>
    <w:p w:rsidR="008E3F15" w:rsidRDefault="005F449A">
      <w:pPr>
        <w:numPr>
          <w:ilvl w:val="1"/>
          <w:numId w:val="3"/>
        </w:numPr>
        <w:spacing w:after="31"/>
        <w:ind w:right="15" w:hanging="247"/>
      </w:pPr>
      <w:r>
        <w:t>одн</w:t>
      </w:r>
      <w:r>
        <w:t>о или оба из следующих:</w:t>
      </w:r>
    </w:p>
    <w:p w:rsidR="008E3F15" w:rsidRDefault="005F449A">
      <w:pPr>
        <w:ind w:left="1450" w:right="15"/>
      </w:pPr>
      <w:r>
        <w:t>а) головная боль значительно усилилась параллельно с обострением артериальной гипертензии;</w:t>
      </w:r>
    </w:p>
    <w:p w:rsidR="008E3F15" w:rsidRDefault="005F449A">
      <w:pPr>
        <w:ind w:left="1450" w:right="15"/>
      </w:pPr>
      <w:r>
        <w:t>б) головная боль значительно уменьшилась параллельно с улучшением артериальной гипертензии;</w:t>
      </w:r>
    </w:p>
    <w:p w:rsidR="008E3F15" w:rsidRDefault="005F449A">
      <w:pPr>
        <w:spacing w:after="186"/>
        <w:ind w:left="1210" w:right="15"/>
      </w:pPr>
      <w:r>
        <w:t>D. Головная боль не лучше объясняется другим диаг</w:t>
      </w:r>
      <w:r>
        <w:t>нозом ICHD-3.</w:t>
      </w:r>
    </w:p>
    <w:p w:rsidR="008E3F15" w:rsidRDefault="005F449A">
      <w:pPr>
        <w:spacing w:line="259" w:lineRule="auto"/>
        <w:ind w:left="340" w:right="0"/>
      </w:pPr>
      <w:r>
        <w:rPr>
          <w:rFonts w:ascii="Calibri" w:eastAsia="Calibri" w:hAnsi="Calibri" w:cs="Calibri"/>
          <w:noProof/>
          <w:color w:val="000000"/>
          <w:sz w:val="22"/>
        </w:rPr>
        <mc:AlternateContent>
          <mc:Choice Requires="wpg">
            <w:drawing>
              <wp:inline distT="0" distB="0" distL="0" distR="0">
                <wp:extent cx="57150" cy="57150"/>
                <wp:effectExtent l="0" t="0" r="0" b="0"/>
                <wp:docPr id="301567" name="Group 30156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4032" name="Shape 1403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1567" style="width:4.5pt;height:4.5pt;mso-position-horizontal-relative:char;mso-position-vertical-relative:line" coordsize="571,571">
                <v:shape id="Shape 14032" style="position:absolute;width:571;height:571;left:0;top:0;"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v:group>
            </w:pict>
          </mc:Fallback>
        </mc:AlternateContent>
      </w:r>
      <w:r>
        <w:rPr>
          <w:i/>
        </w:rPr>
        <w:t xml:space="preserve"> головная боль напряжения:</w:t>
      </w:r>
    </w:p>
    <w:p w:rsidR="008E3F15" w:rsidRDefault="005F449A">
      <w:pPr>
        <w:ind w:left="1210" w:right="15"/>
      </w:pPr>
      <w:r>
        <w:t>А. как минимум 10 эпизодов (с частотой в зависимости от подвида), удовлетворяющих критериям B–D;</w:t>
      </w:r>
    </w:p>
    <w:p w:rsidR="008E3F15" w:rsidRDefault="005F449A">
      <w:pPr>
        <w:spacing w:after="31"/>
        <w:ind w:left="1210" w:right="15"/>
      </w:pPr>
      <w:r>
        <w:t>B. продолжительность головной боли от 30 мин до 7 дней;</w:t>
      </w:r>
    </w:p>
    <w:p w:rsidR="008E3F15" w:rsidRDefault="005F449A">
      <w:pPr>
        <w:ind w:left="1440" w:right="4111" w:hanging="240"/>
      </w:pPr>
      <w:r>
        <w:t>С. минимум 2 из следующих 4 характеристик: 1) двусторонняя ло</w:t>
      </w:r>
      <w:r>
        <w:t>кализация;</w:t>
      </w:r>
    </w:p>
    <w:p w:rsidR="008E3F15" w:rsidRDefault="005F449A">
      <w:pPr>
        <w:numPr>
          <w:ilvl w:val="0"/>
          <w:numId w:val="4"/>
        </w:numPr>
        <w:spacing w:after="31"/>
        <w:ind w:right="15" w:hanging="268"/>
      </w:pPr>
      <w:r>
        <w:t>сжимающий (непульсирующий) характер;</w:t>
      </w:r>
    </w:p>
    <w:p w:rsidR="008E3F15" w:rsidRDefault="005F449A">
      <w:pPr>
        <w:numPr>
          <w:ilvl w:val="0"/>
          <w:numId w:val="4"/>
        </w:numPr>
        <w:spacing w:after="31"/>
        <w:ind w:right="15" w:hanging="268"/>
      </w:pPr>
      <w:r>
        <w:t>слабая или умеренная интенсивность;</w:t>
      </w:r>
    </w:p>
    <w:p w:rsidR="008E3F15" w:rsidRDefault="005F449A">
      <w:pPr>
        <w:numPr>
          <w:ilvl w:val="0"/>
          <w:numId w:val="4"/>
        </w:numPr>
        <w:spacing w:after="0" w:line="259" w:lineRule="auto"/>
        <w:ind w:right="15" w:hanging="268"/>
      </w:pPr>
      <w:r>
        <w:t>головная боль не усиливается от обычной физической нагрузки;</w:t>
      </w:r>
    </w:p>
    <w:p w:rsidR="008E3F15" w:rsidRDefault="005F449A">
      <w:pPr>
        <w:spacing w:after="31"/>
        <w:ind w:left="1210" w:right="15"/>
      </w:pPr>
      <w:r>
        <w:t>D. оба следующих критерия (хроническая головная боль напряжения):</w:t>
      </w:r>
    </w:p>
    <w:p w:rsidR="008E3F15" w:rsidRDefault="005F449A">
      <w:pPr>
        <w:numPr>
          <w:ilvl w:val="0"/>
          <w:numId w:val="5"/>
        </w:numPr>
        <w:spacing w:after="31"/>
        <w:ind w:right="990" w:firstLine="240"/>
      </w:pPr>
      <w:r>
        <w:t>отсутствие тошноты и рвоты;</w:t>
      </w:r>
    </w:p>
    <w:p w:rsidR="008E3F15" w:rsidRDefault="005F449A">
      <w:pPr>
        <w:numPr>
          <w:ilvl w:val="0"/>
          <w:numId w:val="5"/>
        </w:numPr>
        <w:spacing w:after="359"/>
        <w:ind w:right="990" w:firstLine="240"/>
      </w:pPr>
      <w:r>
        <w:t>не более, чем один симптом: светобоязнь, звукобоязньE. Головная боль не лучше объясняется другим диагнозом ICHD-3.</w:t>
      </w:r>
    </w:p>
    <w:p w:rsidR="008E3F15" w:rsidRDefault="005F449A">
      <w:pPr>
        <w:pStyle w:val="Heading1"/>
        <w:ind w:left="2"/>
      </w:pPr>
      <w:r>
        <w:t>Часть I. Сердечно-сосудистые болезни</w:t>
      </w:r>
    </w:p>
    <w:p w:rsidR="008E3F15" w:rsidRDefault="005F449A">
      <w:pPr>
        <w:spacing w:after="179"/>
        <w:ind w:left="2" w:right="15"/>
      </w:pPr>
      <w:r>
        <w:rPr>
          <w:b/>
        </w:rPr>
        <w:t xml:space="preserve">Дополнительные тесты. </w:t>
      </w:r>
      <w:r>
        <w:t>При необходимости уточнить повреждение органов, обусловленное хронической длительн</w:t>
      </w:r>
      <w:r>
        <w:t>ой артериальной гипертензией, если это может повлиять на выбор лечения, проводят дополнительные тесты.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42560" behindDoc="0" locked="0" layoutInCell="1" allowOverlap="1">
                <wp:simplePos x="0" y="0"/>
                <wp:positionH relativeFrom="column">
                  <wp:posOffset>209550</wp:posOffset>
                </wp:positionH>
                <wp:positionV relativeFrom="paragraph">
                  <wp:posOffset>34826</wp:posOffset>
                </wp:positionV>
                <wp:extent cx="57150" cy="1762125"/>
                <wp:effectExtent l="0" t="0" r="0" b="0"/>
                <wp:wrapSquare wrapText="bothSides"/>
                <wp:docPr id="301714" name="Group 301714"/>
                <wp:cNvGraphicFramePr/>
                <a:graphic xmlns:a="http://schemas.openxmlformats.org/drawingml/2006/main">
                  <a:graphicData uri="http://schemas.microsoft.com/office/word/2010/wordprocessingGroup">
                    <wpg:wgp>
                      <wpg:cNvGrpSpPr/>
                      <wpg:grpSpPr>
                        <a:xfrm>
                          <a:off x="0" y="0"/>
                          <a:ext cx="57150" cy="1762125"/>
                          <a:chOff x="0" y="0"/>
                          <a:chExt cx="57150" cy="1762125"/>
                        </a:xfrm>
                      </wpg:grpSpPr>
                      <wps:wsp>
                        <wps:cNvPr id="14078" name="Shape 14078"/>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80" name="Shape 1408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82" name="Shape 1408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86" name="Shape 14086"/>
                        <wps:cNvSpPr/>
                        <wps:spPr>
                          <a:xfrm>
                            <a:off x="0" y="485775"/>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88" name="Shape 14088"/>
                        <wps:cNvSpPr/>
                        <wps:spPr>
                          <a:xfrm>
                            <a:off x="0" y="638175"/>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90" name="Shape 14090"/>
                        <wps:cNvSpPr/>
                        <wps:spPr>
                          <a:xfrm>
                            <a:off x="0" y="790575"/>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92" name="Shape 14092"/>
                        <wps:cNvSpPr/>
                        <wps:spPr>
                          <a:xfrm>
                            <a:off x="0" y="942975"/>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356"/>
                                  <a:pt x="32364" y="57150"/>
                                  <a:pt x="28575" y="57150"/>
                                </a:cubicBezTo>
                                <a:cubicBezTo>
                                  <a:pt x="24786" y="57150"/>
                                  <a:pt x="21141" y="56356"/>
                                  <a:pt x="17640" y="54868"/>
                                </a:cubicBezTo>
                                <a:cubicBezTo>
                                  <a:pt x="14139" y="53280"/>
                                  <a:pt x="11049" y="51197"/>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95" name="Shape 14095"/>
                        <wps:cNvSpPr/>
                        <wps:spPr>
                          <a:xfrm>
                            <a:off x="0" y="1247775"/>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97" name="Shape 14097"/>
                        <wps:cNvSpPr/>
                        <wps:spPr>
                          <a:xfrm>
                            <a:off x="0" y="1400175"/>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099" name="Shape 14099"/>
                        <wps:cNvSpPr/>
                        <wps:spPr>
                          <a:xfrm>
                            <a:off x="0" y="1552575"/>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01" name="Shape 14101"/>
                        <wps:cNvSpPr/>
                        <wps:spPr>
                          <a:xfrm>
                            <a:off x="0" y="1704975"/>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1714" style="width:4.5pt;height:138.75pt;position:absolute;mso-position-horizontal-relative:text;mso-position-horizontal:absolute;margin-left:16.5pt;mso-position-vertical-relative:text;margin-top:2.74219pt;" coordsize="571,17621">
                <v:shape id="Shape 14078" style="position:absolute;width:571;height:571;left:0;top:0;"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4080" style="position:absolute;width:571;height:571;left:0;top:1524;" coordsize="57150,57150" path="m28575,0c32364,0,36009,695,39510,2084c43011,3572,46101,5655,48781,8334c51460,10815,53525,13990,54975,17363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363c3625,13990,5690,10815,8369,8334c11049,5655,14139,3572,17640,2084c21141,695,24786,0,28575,0x">
                  <v:stroke weight="0pt" endcap="flat" joinstyle="miter" miterlimit="4" on="false" color="#000000" opacity="0"/>
                  <v:fill on="true" color="#333333"/>
                </v:shape>
                <v:shape id="Shape 14082" style="position:absolute;width:571;height:571;left:0;top:3048;" coordsize="57150,57150" path="m28575,0c32364,0,36009,695,39510,2084c43011,3572,46101,5655,48781,8334c51460,11013,53525,14089,54975,17562c56425,21134,57150,24805,57150,28575c57150,32246,56425,35818,54975,39390c53525,42863,51460,45938,48781,48816c46101,51296,43011,53380,39510,54868c36009,56257,32364,56952,28575,57150c24786,56952,21141,56257,17640,54868c14139,53380,11049,51296,8369,48816c5690,45938,3625,42863,2175,39390c725,35818,0,32246,0,28575c0,24805,725,21134,2175,17562c3625,14089,5690,11013,8369,8334c11049,5655,14139,3572,17640,2084c21141,695,24786,0,28575,0x">
                  <v:stroke weight="0pt" endcap="flat" joinstyle="miter" miterlimit="4" on="false" color="#000000" opacity="0"/>
                  <v:fill on="true" color="#333333"/>
                </v:shape>
                <v:shape id="Shape 14086" style="position:absolute;width:571;height:571;left:0;top:4857;" coordsize="57150,57150" path="m28575,0c32364,0,36009,695,39510,2183c43011,3572,46101,5655,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655,14139,3572,17640,2183c21141,695,24786,0,28575,0x">
                  <v:stroke weight="0pt" endcap="flat" joinstyle="miter" miterlimit="4" on="false" color="#000000" opacity="0"/>
                  <v:fill on="true" color="#333333"/>
                </v:shape>
                <v:shape id="Shape 14088" style="position:absolute;width:571;height:571;left:0;top:6381;" coordsize="57150,57150" path="m28575,0c32364,0,36009,595,39510,1885c43011,3373,46101,5457,48781,8334c51460,10815,53525,13990,54975,17363c56425,20935,57150,24705,57150,28575c57150,32246,56425,36016,54975,39390c53525,42863,51460,45938,48781,48816c46101,51296,43011,53380,39510,54868c36009,56356,32364,57150,28575,57150c24786,57150,21141,56356,17640,54868c14139,53380,11049,51296,8369,48816c5690,45938,3625,42863,2175,39390c725,36016,0,32246,0,28575c0,24705,725,20935,2175,17363c3625,13990,5690,10815,8369,8334c11049,5457,14139,3373,17640,1885c21141,595,24786,0,28575,0x">
                  <v:stroke weight="0pt" endcap="flat" joinstyle="miter" miterlimit="4" on="false" color="#000000" opacity="0"/>
                  <v:fill on="true" color="#333333"/>
                </v:shape>
                <v:shape id="Shape 14090" style="position:absolute;width:571;height:571;left:0;top:7905;" coordsize="57150,57150" path="m28575,0c32364,0,36009,695,39510,2183c43011,3572,46101,5655,48781,8334c51460,10815,53525,13990,54975,17363c56425,20935,57150,24705,57150,28575c57150,32246,56425,36016,54975,39390c53525,42863,51460,45938,48781,48816c46101,51296,43011,53380,39510,54868c36009,56356,32364,57150,28575,57150c24786,57150,21141,56356,17640,54868c14139,53380,11049,51296,8369,48816c5690,45938,3625,42863,2175,39390c725,36016,0,32246,0,28575c0,24705,725,20935,2175,17363c3625,13990,5690,10815,8369,8334c11049,5655,14139,3572,17640,2183c21141,695,24786,0,28575,0x">
                  <v:stroke weight="0pt" endcap="flat" joinstyle="miter" miterlimit="4" on="false" color="#000000" opacity="0"/>
                  <v:fill on="true" color="#333333"/>
                </v:shape>
                <v:shape id="Shape 14092" style="position:absolute;width:571;height:571;left:0;top:9429;" coordsize="57150,57150" path="m28575,0c32364,0,36009,595,39510,1885c43011,3373,46101,5457,48781,8334c51460,10815,53525,13990,54975,17363c56425,20935,57150,24705,57150,28575c57150,32246,56425,36016,54975,39390c53525,42863,51460,45839,48781,48617c46101,51197,43011,53280,39510,54868c36009,56356,32364,57150,28575,57150c24786,57150,21141,56356,17640,54868c14139,53280,11049,51197,8369,48617c5690,45839,3625,42863,2175,39390c725,36016,0,32246,0,28575c0,24705,725,20935,2175,17363c3625,13990,5690,10815,8369,8334c11049,5457,14139,3373,17640,1885c21141,595,24786,0,28575,0x">
                  <v:stroke weight="0pt" endcap="flat" joinstyle="miter" miterlimit="4" on="false" color="#000000" opacity="0"/>
                  <v:fill on="true" color="#333333"/>
                </v:shape>
                <v:shape id="Shape 14095" style="position:absolute;width:571;height:571;left:0;top:12477;" coordsize="57150,57150" path="m28575,0c32364,0,36009,595,39510,1885c43011,3373,46101,5457,48781,8334c51460,10815,53525,13990,54975,17363c56425,20935,57150,24705,57150,28575c57150,32246,56425,36016,54975,39390c53525,42863,51460,45839,48781,48617c46101,51296,43011,53380,39510,54868c36009,56257,32364,56952,28575,57150c24786,56952,21141,56257,17640,54868c14139,53380,11049,51296,8369,48617c5690,45839,3625,42863,2175,39390c725,36016,0,32246,0,28575c0,24705,725,20935,2175,17363c3625,13990,5690,10815,8369,8334c11049,5457,14139,3373,17640,1885c21141,595,24786,0,28575,0x">
                  <v:stroke weight="0pt" endcap="flat" joinstyle="miter" miterlimit="4" on="false" color="#000000" opacity="0"/>
                  <v:fill on="true" color="#333333"/>
                </v:shape>
                <v:shape id="Shape 14097" style="position:absolute;width:571;height:571;left:0;top:14001;" coordsize="57150,57150" path="m28575,0c32364,0,36009,695,39510,2084c43011,3572,46101,5655,48781,8334c51460,10815,53525,13990,54975,17363c56425,20935,57150,24705,57150,28575c57150,32246,56425,36016,54975,39390c53525,42863,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4099" style="position:absolute;width:571;height:571;left:0;top:15525;" coordsize="57150,57150" path="m28575,0c32364,0,36009,595,39510,1885c43011,3373,46101,5457,48781,8334c51460,10815,53525,13990,54975,17363c56425,20935,57150,24705,57150,28575c57150,32246,56425,36016,54975,39390c53525,42863,51460,45839,48781,48617c46101,51296,43011,53380,39510,54868c36009,56257,32364,56952,28575,57150c24786,56952,21141,56257,17640,54868c14139,53380,11049,51296,8369,48617c5690,45839,3625,42863,2175,39390c725,36016,0,32246,0,28575c0,24705,725,20935,2175,17363c3625,13990,5690,10815,8369,8334c11049,5457,14139,3373,17640,1885c21141,595,24786,0,28575,0x">
                  <v:stroke weight="0pt" endcap="flat" joinstyle="miter" miterlimit="4" on="false" color="#000000" opacity="0"/>
                  <v:fill on="true" color="#333333"/>
                </v:shape>
                <v:shape id="Shape 14101" style="position:absolute;width:571;height:571;left:0;top:17049;" coordsize="57150,57150" path="m28575,0c32364,0,36009,595,39510,1885c43011,3373,46101,5457,48781,8136c51460,10815,53525,13990,54975,17363c56425,20935,57150,24705,57150,28575c57150,32246,56425,36016,54975,39390c53525,42863,51460,45839,48781,48617c46101,51197,43011,53280,39510,54868c36009,56257,32364,56952,28575,57150c24786,56952,21141,56257,17640,54868c14139,53280,11049,51197,8369,48617c5690,45839,3625,42664,2175,39291c725,35818,0,32246,0,28575c0,24705,725,20935,2175,17363c3625,13990,5690,10815,8369,8136c11049,5457,14139,3373,17640,1885c21141,595,24786,0,28575,0x">
                  <v:stroke weight="0pt" endcap="flat" joinstyle="miter" miterlimit="4" on="false" color="#000000" opacity="0"/>
                  <v:fill on="true" color="#333333"/>
                </v:shape>
                <w10:wrap type="square"/>
              </v:group>
            </w:pict>
          </mc:Fallback>
        </mc:AlternateContent>
      </w:r>
      <w:r>
        <w:t>Эхокардиография, масса левого желудочка.</w:t>
      </w:r>
    </w:p>
    <w:p w:rsidR="008E3F15" w:rsidRDefault="005F449A">
      <w:pPr>
        <w:ind w:left="340" w:right="1254"/>
      </w:pPr>
      <w:r>
        <w:t>Биохимический анализ крови: калий, натрий, кальций, мочевая кислота. HbA</w:t>
      </w:r>
      <w:r>
        <w:rPr>
          <w:sz w:val="31"/>
          <w:vertAlign w:val="subscript"/>
        </w:rPr>
        <w:t>1</w:t>
      </w:r>
      <w:r>
        <w:rPr>
          <w:sz w:val="20"/>
        </w:rPr>
        <w:t>c</w:t>
      </w:r>
      <w:r>
        <w:t xml:space="preserve"> (гипергликемия или СД в анамнезе).</w:t>
      </w:r>
    </w:p>
    <w:p w:rsidR="008E3F15" w:rsidRDefault="005F449A">
      <w:pPr>
        <w:spacing w:after="31"/>
        <w:ind w:left="340" w:right="15"/>
      </w:pPr>
      <w:r>
        <w:t>Т</w:t>
      </w:r>
      <w:r>
        <w:t>ТГ.</w:t>
      </w:r>
    </w:p>
    <w:p w:rsidR="008E3F15" w:rsidRDefault="005F449A">
      <w:pPr>
        <w:spacing w:after="31"/>
        <w:ind w:left="340" w:right="15"/>
      </w:pPr>
      <w:r>
        <w:t>Количественная протеинурия.</w:t>
      </w:r>
    </w:p>
    <w:p w:rsidR="008E3F15" w:rsidRDefault="005F449A">
      <w:pPr>
        <w:spacing w:after="31"/>
        <w:ind w:left="340" w:right="15"/>
      </w:pPr>
      <w:r>
        <w:t>Мониторирование ЭКГ в случае аритмии.</w:t>
      </w:r>
    </w:p>
    <w:p w:rsidR="008E3F15" w:rsidRDefault="005F449A">
      <w:pPr>
        <w:ind w:left="340" w:right="15"/>
      </w:pPr>
      <w:r>
        <w:t>Стресс-тест или КТ-ангиография коронарных артерий при подозре-нии на коронарную болезнь.</w:t>
      </w:r>
    </w:p>
    <w:p w:rsidR="008E3F15" w:rsidRDefault="005F449A">
      <w:pPr>
        <w:spacing w:after="31"/>
        <w:ind w:left="340" w:right="15"/>
      </w:pPr>
      <w:r>
        <w:t>Сонография каротидных артерий.</w:t>
      </w:r>
    </w:p>
    <w:p w:rsidR="008E3F15" w:rsidRDefault="005F449A">
      <w:pPr>
        <w:spacing w:after="31"/>
        <w:ind w:left="340" w:right="15"/>
      </w:pPr>
      <w:r>
        <w:t>Сонография абдоминальных/периферических артерий.</w:t>
      </w:r>
    </w:p>
    <w:p w:rsidR="008E3F15" w:rsidRDefault="005F449A">
      <w:pPr>
        <w:spacing w:after="179"/>
        <w:ind w:left="340" w:right="5006"/>
      </w:pPr>
      <w:r>
        <w:t>Лодыжечно-плечево</w:t>
      </w:r>
      <w:r>
        <w:t>й индекс. Исследование глазного дна.</w:t>
      </w:r>
    </w:p>
    <w:p w:rsidR="008E3F15" w:rsidRDefault="005F449A">
      <w:pPr>
        <w:ind w:left="2" w:right="15"/>
      </w:pPr>
      <w:r>
        <w:rPr>
          <w:b/>
        </w:rPr>
        <w:t xml:space="preserve">Прогноз. </w:t>
      </w:r>
      <w:r>
        <w:t>Для оценки сердечно-сосудистого риска у пациентов без атеросклеротических заболеваний предпочтительнее использовать шкалы прогноза SCORE2 или PCE.</w:t>
      </w:r>
    </w:p>
    <w:p w:rsidR="008E3F15" w:rsidRDefault="005F449A">
      <w:pPr>
        <w:ind w:left="2" w:right="15"/>
      </w:pPr>
      <w:r>
        <w:t>Использование шкал прогноза требует понимания вероятностного характера оценок для групп похожих пациентов и других ограничений (Белялов Ф.И., 2022).</w:t>
      </w:r>
    </w:p>
    <w:p w:rsidR="008E3F15" w:rsidRDefault="005F449A">
      <w:pPr>
        <w:ind w:left="2" w:right="15"/>
      </w:pPr>
      <w:r>
        <w:t xml:space="preserve">Наряду со шкалами прогноза европейскими экспертами рекомендовано использовать градацию сердечно-сосудистых </w:t>
      </w:r>
      <w:r>
        <w:t>рисков, включающую ССЗ (</w:t>
      </w:r>
      <w:r>
        <w:rPr>
          <w:b/>
        </w:rPr>
        <w:t>табл. 12.3</w:t>
      </w:r>
      <w:r>
        <w:t>). Такая классификация рисков настраивает врачей и пациентов индивидуализировать контроль факторов риска, включая прием статинов.</w:t>
      </w:r>
    </w:p>
    <w:p w:rsidR="008E3F15" w:rsidRDefault="005F449A">
      <w:pPr>
        <w:spacing w:after="31"/>
        <w:ind w:left="2" w:right="15"/>
      </w:pPr>
      <w:r>
        <w:rPr>
          <w:b/>
        </w:rPr>
        <w:t xml:space="preserve">Таблица 12.3. </w:t>
      </w:r>
      <w:r>
        <w:t>Классификация сердечно-сосудистого риска</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1590"/>
        <w:gridCol w:w="8895"/>
      </w:tblGrid>
      <w:tr w:rsidR="008E3F15">
        <w:trPr>
          <w:trHeight w:val="330"/>
        </w:trPr>
        <w:tc>
          <w:tcPr>
            <w:tcW w:w="1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Риск</w:t>
            </w:r>
          </w:p>
        </w:tc>
        <w:tc>
          <w:tcPr>
            <w:tcW w:w="88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Критерии</w:t>
            </w:r>
          </w:p>
        </w:tc>
      </w:tr>
      <w:tr w:rsidR="008E3F15">
        <w:trPr>
          <w:trHeight w:val="2085"/>
        </w:trPr>
        <w:tc>
          <w:tcPr>
            <w:tcW w:w="15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Очень высокий</w:t>
            </w:r>
          </w:p>
        </w:tc>
        <w:tc>
          <w:tcPr>
            <w:tcW w:w="88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16" w:lineRule="auto"/>
              <w:ind w:left="330" w:right="0" w:firstLine="0"/>
            </w:pPr>
            <w:r>
              <w:rPr>
                <w:rFonts w:ascii="Calibri" w:eastAsia="Calibri" w:hAnsi="Calibri" w:cs="Calibri"/>
                <w:noProof/>
                <w:color w:val="000000"/>
                <w:sz w:val="22"/>
              </w:rPr>
              <mc:AlternateContent>
                <mc:Choice Requires="wpg">
                  <w:drawing>
                    <wp:anchor distT="0" distB="0" distL="114300" distR="114300" simplePos="0" relativeHeight="251843584" behindDoc="0" locked="0" layoutInCell="1" allowOverlap="1">
                      <wp:simplePos x="0" y="0"/>
                      <wp:positionH relativeFrom="column">
                        <wp:posOffset>238125</wp:posOffset>
                      </wp:positionH>
                      <wp:positionV relativeFrom="paragraph">
                        <wp:posOffset>34826</wp:posOffset>
                      </wp:positionV>
                      <wp:extent cx="57150" cy="866775"/>
                      <wp:effectExtent l="0" t="0" r="0" b="0"/>
                      <wp:wrapSquare wrapText="bothSides"/>
                      <wp:docPr id="301042" name="Group 301042"/>
                      <wp:cNvGraphicFramePr/>
                      <a:graphic xmlns:a="http://schemas.openxmlformats.org/drawingml/2006/main">
                        <a:graphicData uri="http://schemas.microsoft.com/office/word/2010/wordprocessingGroup">
                          <wpg:wgp>
                            <wpg:cNvGrpSpPr/>
                            <wpg:grpSpPr>
                              <a:xfrm>
                                <a:off x="0" y="0"/>
                                <a:ext cx="57150" cy="866775"/>
                                <a:chOff x="0" y="0"/>
                                <a:chExt cx="57150" cy="866775"/>
                              </a:xfrm>
                            </wpg:grpSpPr>
                            <wps:wsp>
                              <wps:cNvPr id="14120" name="Shape 14120"/>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23" name="Shape 14123"/>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25" name="Shape 1412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28" name="Shape 14128"/>
                              <wps:cNvSpPr/>
                              <wps:spPr>
                                <a:xfrm>
                                  <a:off x="0" y="809625"/>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1042" style="width:4.50002pt;height:68.25pt;position:absolute;mso-position-horizontal-relative:text;mso-position-horizontal:absolute;margin-left:18.75pt;mso-position-vertical-relative:text;margin-top:2.74219pt;" coordsize="571,8667">
                      <v:shape id="Shape 14120" style="position:absolute;width:571;height:571;left:0;top:0;"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3990,5690,10815,8370,8334c11049,5457,14139,3373,17640,2084c21141,695,24786,0,28575,0x">
                        <v:stroke weight="0pt" endcap="flat" joinstyle="miter" miterlimit="4" on="false" color="#000000" opacity="0"/>
                        <v:fill on="true" color="#333333"/>
                      </v:shape>
                      <v:shape id="Shape 14123" style="position:absolute;width:571;height:571;left:0;top:3048;" coordsize="57150,57150" path="m28575,0c32364,0,36009,695,39510,2084c43011,3373,46101,5457,48781,8334c51460,10815,53525,13990,54975,17562c56425,20935,57150,24705,57150,28575c57150,32246,56425,35818,54975,39291c53525,42863,51460,45938,48781,48617c46101,51296,43011,53380,39510,54769c36009,56356,32364,57150,28575,57150c24786,57150,21141,56356,17640,54769c14139,53380,11049,51296,8370,48617c5690,45938,3625,42863,2175,39291c725,35818,0,32246,0,28575c0,24705,725,20935,2175,17562c3625,13990,5690,10815,8370,8334c11049,5457,14139,3373,17640,2084c21141,695,24786,0,28575,0x">
                        <v:stroke weight="0pt" endcap="flat" joinstyle="miter" miterlimit="4" on="false" color="#000000" opacity="0"/>
                        <v:fill on="true" color="#333333"/>
                      </v:shape>
                      <v:shape id="Shape 14125" style="position:absolute;width:571;height:571;left:0;top:4572;"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4" on="false" color="#000000" opacity="0"/>
                        <v:fill on="true" color="#333333"/>
                      </v:shape>
                      <v:shape id="Shape 14128" style="position:absolute;width:571;height:571;left:0;top:8096;" coordsize="57150,57150" path="m28575,0c32364,0,36009,695,39510,2084c43011,3373,46101,5457,48781,8334c51460,10815,53525,13990,54975,17562c56425,20935,57150,24705,57150,28575c57150,32246,56425,35818,54975,39291c53525,42863,51460,45938,48781,48816c46101,51296,43011,53380,39510,54769c36009,56257,32364,56952,28575,57150c24786,56952,21141,56257,17640,54769c14139,53380,11049,51296,8370,48816c5690,45938,3625,42863,2175,39291c725,35818,0,32246,0,28575c0,24705,725,20935,2175,17562c3625,13990,5690,10815,8370,8334c11049,5457,14139,3373,17640,2084c21141,695,24786,0,28575,0x">
                        <v:stroke weight="0pt" endcap="flat" joinstyle="miter" miterlimit="4" on="false" color="#000000" opacity="0"/>
                        <v:fill on="true" color="#333333"/>
                      </v:shape>
                      <w10:wrap type="square"/>
                    </v:group>
                  </w:pict>
                </mc:Fallback>
              </mc:AlternateContent>
            </w:r>
            <w:r>
              <w:t>СК, ИМ, реваскуляризация, инсульт, транзиторная ишемическая атака, аневризма аорты, болезнь периферических артерий.</w:t>
            </w:r>
          </w:p>
          <w:p w:rsidR="008E3F15" w:rsidRDefault="005F449A">
            <w:pPr>
              <w:spacing w:after="0" w:line="259" w:lineRule="auto"/>
              <w:ind w:left="330" w:right="0" w:firstLine="0"/>
            </w:pPr>
            <w:r>
              <w:t>Атеросклеротический стеноз ≥50%.</w:t>
            </w:r>
          </w:p>
          <w:p w:rsidR="008E3F15" w:rsidRDefault="005F449A">
            <w:pPr>
              <w:spacing w:after="32" w:line="216" w:lineRule="auto"/>
              <w:ind w:left="330" w:right="0" w:firstLine="0"/>
            </w:pPr>
            <w:r>
              <w:t>СД с повреждением органов (протеинурия) или выраженными факторами риска.</w:t>
            </w:r>
          </w:p>
          <w:p w:rsidR="008E3F15" w:rsidRDefault="005F449A">
            <w:pPr>
              <w:spacing w:after="0" w:line="259" w:lineRule="auto"/>
              <w:ind w:left="330" w:right="0" w:firstLine="0"/>
            </w:pPr>
            <w:r>
              <w:t>рСКФ &lt;30 мл/мин/1,73 м</w:t>
            </w:r>
            <w:r>
              <w:rPr>
                <w:sz w:val="31"/>
                <w:vertAlign w:val="superscript"/>
              </w:rPr>
              <w:t>2</w:t>
            </w:r>
          </w:p>
        </w:tc>
      </w:tr>
      <w:tr w:rsidR="008E3F15">
        <w:trPr>
          <w:trHeight w:val="1830"/>
        </w:trPr>
        <w:tc>
          <w:tcPr>
            <w:tcW w:w="15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Высокий</w:t>
            </w:r>
          </w:p>
        </w:tc>
        <w:tc>
          <w:tcPr>
            <w:tcW w:w="88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48" w:line="216" w:lineRule="auto"/>
              <w:ind w:left="330" w:right="14" w:firstLine="0"/>
            </w:pPr>
            <w:r>
              <w:rPr>
                <w:rFonts w:ascii="Calibri" w:eastAsia="Calibri" w:hAnsi="Calibri" w:cs="Calibri"/>
                <w:noProof/>
                <w:color w:val="000000"/>
                <w:sz w:val="22"/>
              </w:rPr>
              <mc:AlternateContent>
                <mc:Choice Requires="wpg">
                  <w:drawing>
                    <wp:anchor distT="0" distB="0" distL="114300" distR="114300" simplePos="0" relativeHeight="251844608" behindDoc="0" locked="0" layoutInCell="1" allowOverlap="1">
                      <wp:simplePos x="0" y="0"/>
                      <wp:positionH relativeFrom="column">
                        <wp:posOffset>238125</wp:posOffset>
                      </wp:positionH>
                      <wp:positionV relativeFrom="paragraph">
                        <wp:posOffset>34826</wp:posOffset>
                      </wp:positionV>
                      <wp:extent cx="57150" cy="704850"/>
                      <wp:effectExtent l="0" t="0" r="0" b="0"/>
                      <wp:wrapSquare wrapText="bothSides"/>
                      <wp:docPr id="301253" name="Group 301253"/>
                      <wp:cNvGraphicFramePr/>
                      <a:graphic xmlns:a="http://schemas.openxmlformats.org/drawingml/2006/main">
                        <a:graphicData uri="http://schemas.microsoft.com/office/word/2010/wordprocessingGroup">
                          <wpg:wgp>
                            <wpg:cNvGrpSpPr/>
                            <wpg:grpSpPr>
                              <a:xfrm>
                                <a:off x="0" y="0"/>
                                <a:ext cx="57150" cy="704850"/>
                                <a:chOff x="0" y="0"/>
                                <a:chExt cx="57150" cy="704850"/>
                              </a:xfrm>
                            </wpg:grpSpPr>
                            <wps:wsp>
                              <wps:cNvPr id="14132" name="Shape 1413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35" name="Shape 1413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37" name="Shape 14137"/>
                              <wps:cNvSpPr/>
                              <wps:spPr>
                                <a:xfrm>
                                  <a:off x="0" y="4953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141" name="Shape 14141"/>
                              <wps:cNvSpPr/>
                              <wps:spPr>
                                <a:xfrm>
                                  <a:off x="0" y="6477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570"/>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1253" style="width:4.50002pt;height:55.5pt;position:absolute;mso-position-horizontal-relative:text;mso-position-horizontal:absolute;margin-left:18.75pt;mso-position-vertical-relative:text;margin-top:2.74219pt;" coordsize="571,7048">
                      <v:shape id="Shape 14132" style="position:absolute;width:571;height:571;left:0;top:0;"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70,48617c5690,45839,3625,42664,2175,39291c725,35818,0,32246,0,28575c0,24705,725,20935,2175,17363c3625,13990,5690,10815,8370,8334c11049,5655,14139,3572,17640,2084c21141,695,24786,0,28575,0x">
                        <v:stroke weight="0pt" endcap="flat" joinstyle="miter" miterlimit="4" on="false" color="#000000" opacity="0"/>
                        <v:fill on="true" color="#333333"/>
                      </v:shape>
                      <v:shape id="Shape 14135" style="position:absolute;width:571;height:571;left:0;top:3048;"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70,48617c5690,45839,3625,42664,2175,39291c725,35818,0,32246,0,28575c0,24705,725,20935,2175,17363c3625,13990,5690,10815,8370,8334c11049,5655,14139,3572,17640,2084c21141,695,24786,0,28575,0x">
                        <v:stroke weight="0pt" endcap="flat" joinstyle="miter" miterlimit="4" on="false" color="#000000" opacity="0"/>
                        <v:fill on="true" color="#333333"/>
                      </v:shape>
                      <v:shape id="Shape 14137" style="position:absolute;width:571;height:571;left:0;top:4953;" coordsize="57150,57150" path="m28575,0c32364,0,36009,695,39510,2084c43011,3572,46101,5655,48781,8334c51460,11013,53525,14089,54975,17562c56425,20935,57150,24705,57150,28575c57150,32246,56425,35818,54975,39390c53525,42863,51460,45938,48781,48617c46101,51197,43011,53280,39510,54868c36009,56257,32364,56952,28575,57150c24786,56952,21141,56257,17640,54868c14139,53280,11049,51197,8370,48617c5690,45938,3625,42863,2175,39390c725,35818,0,32246,0,28575c0,24705,725,20935,2175,17562c3625,14089,5690,11013,8370,8334c11049,5655,14139,3572,17640,2084c21141,695,24786,0,28575,0x">
                        <v:stroke weight="0pt" endcap="flat" joinstyle="miter" miterlimit="4" on="false" color="#000000" opacity="0"/>
                        <v:fill on="true" color="#333333"/>
                      </v:shape>
                      <v:shape id="Shape 14141" style="position:absolute;width:571;height:571;left:0;top:6477;" coordsize="57150,57150" path="m28575,0c32364,0,36009,695,39510,2084c43011,3572,46101,5655,48781,8334c51460,11013,53525,14089,54975,17562c56425,20935,57150,24705,57150,28575c57150,32246,56425,35818,54975,39390c53525,42863,51460,45839,48781,48617c46101,51197,43011,53280,39510,54570c36009,56257,32364,56952,28575,57150c24786,56952,21141,56257,17640,54769c14139,53280,11049,51197,8370,48617c5690,45839,3625,42863,2175,39390c725,35818,0,32246,0,28575c0,24705,725,20935,2175,17562c3625,14089,5690,11013,8370,8334c11049,5655,14139,3572,17640,2084c21141,695,24786,0,28575,0x">
                        <v:stroke weight="0pt" endcap="flat" joinstyle="miter" miterlimit="4" on="false" color="#000000" opacity="0"/>
                        <v:fill on="true" color="#333333"/>
                      </v:shape>
                      <w10:wrap type="square"/>
                    </v:group>
                  </w:pict>
                </mc:Fallback>
              </mc:AlternateContent>
            </w:r>
            <w:r>
              <w:t>Выраженное повышение одного фактора риска (холестерин &gt;8 ммоль/л, артериальная гипертензия 3-й степени). СД.</w:t>
            </w:r>
          </w:p>
          <w:p w:rsidR="008E3F15" w:rsidRDefault="005F449A">
            <w:pPr>
              <w:spacing w:after="0" w:line="259" w:lineRule="auto"/>
              <w:ind w:left="330" w:right="0" w:firstLine="0"/>
            </w:pPr>
            <w:r>
              <w:t>рСКФ 30–59 мл/мин/1,73 м</w:t>
            </w:r>
            <w:r>
              <w:rPr>
                <w:sz w:val="31"/>
                <w:vertAlign w:val="superscript"/>
              </w:rPr>
              <w:t>2</w:t>
            </w:r>
            <w:r>
              <w:t>.</w:t>
            </w:r>
          </w:p>
          <w:p w:rsidR="008E3F15" w:rsidRDefault="005F449A">
            <w:pPr>
              <w:spacing w:after="0" w:line="259" w:lineRule="auto"/>
              <w:ind w:left="330" w:right="0" w:firstLine="0"/>
            </w:pPr>
            <w:r>
              <w:t>Шкала SCORE2 ≥10%, SCORE2-OP ≥15%</w:t>
            </w:r>
          </w:p>
        </w:tc>
      </w:tr>
      <w:tr w:rsidR="008E3F15">
        <w:trPr>
          <w:trHeight w:val="330"/>
        </w:trPr>
        <w:tc>
          <w:tcPr>
            <w:tcW w:w="1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Умеренный</w:t>
            </w:r>
          </w:p>
        </w:tc>
        <w:tc>
          <w:tcPr>
            <w:tcW w:w="88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Шкала SCORE2 5–9,9%, SCORE2-OP 7,5–14,9%</w:t>
            </w:r>
          </w:p>
        </w:tc>
      </w:tr>
      <w:tr w:rsidR="008E3F15">
        <w:trPr>
          <w:trHeight w:val="330"/>
        </w:trPr>
        <w:tc>
          <w:tcPr>
            <w:tcW w:w="15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Низкий</w:t>
            </w:r>
          </w:p>
        </w:tc>
        <w:tc>
          <w:tcPr>
            <w:tcW w:w="88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Шкала SCORE2 &lt;5%, SCORE2-OP &lt;7,5%</w:t>
            </w:r>
          </w:p>
        </w:tc>
      </w:tr>
    </w:tbl>
    <w:p w:rsidR="008E3F15" w:rsidRDefault="005F449A">
      <w:pPr>
        <w:ind w:left="2" w:right="15"/>
      </w:pPr>
      <w:r>
        <w:t>Система оценки риска в европейских рекомендациях по гипертензии не валидизирована, не коррелирует с распространенными моделями и шкалами сердечно-сосудистого риска и слабо связана с выбором оптимальной терапии.</w:t>
      </w:r>
    </w:p>
    <w:p w:rsidR="008E3F15" w:rsidRDefault="005F449A">
      <w:pPr>
        <w:spacing w:after="179"/>
        <w:ind w:left="2" w:right="15"/>
      </w:pPr>
      <w:r>
        <w:rPr>
          <w:b/>
        </w:rPr>
        <w:t xml:space="preserve">Диагностика вторичной гипертензии. </w:t>
      </w:r>
      <w:r>
        <w:t>Заподозрить вторичную артериальную гипертензию и начать дополнительное обследование целесообразно в следующих случаях (ACC/AHA).</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45632"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308074" name="Group 308074"/>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4177" name="Shape 14177"/>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79" name="Shape 14179"/>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1" name="Shape 14181"/>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3" name="Shape 14183"/>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5" name="Shape 14185"/>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7" name="Shape 14187"/>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89" name="Shape 14189"/>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91" name="Shape 14191"/>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8074" style="width:4.5pt;height:88.5pt;position:absolute;mso-position-horizontal-relative:text;mso-position-horizontal:absolute;margin-left:16.5pt;mso-position-vertical-relative:text;margin-top:2.74219pt;" coordsize="571,11239">
                <v:shape id="Shape 14177" style="position:absolute;width:571;height:571;left:0;top:0;" coordsize="57150,57150" path="m28575,0c32364,0,36009,595,39510,1885c43011,3373,46101,5457,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457,14139,3373,17640,1885c21141,595,24786,0,28575,0x">
                  <v:stroke weight="0pt" endcap="flat" joinstyle="miter" miterlimit="10" on="false" color="#000000" opacity="0"/>
                  <v:fill on="true" color="#333333"/>
                </v:shape>
                <v:shape id="Shape 14179" style="position:absolute;width:571;height:571;left:0;top:1524;" coordsize="57150,57150" path="m28575,0c32364,0,36009,695,39510,2183c43011,3572,46101,5655,48781,8334c51460,10815,53525,13990,54975,17363c56425,20935,57150,24705,57150,28575c57150,32246,56425,36016,54975,39390c53525,42863,51460,45839,48781,48617c46101,51197,43011,53280,39510,54769c36009,56257,32364,56952,28575,57150c24786,56952,21141,56257,17640,54769c14139,53280,11049,51197,8369,48617c5690,45839,3625,42664,2175,39291c725,35818,0,32246,0,28575c0,24705,725,20935,2175,17363c3625,13990,5690,10815,8369,8334c11049,5655,14139,3572,17640,2183c21141,695,24786,0,28575,0x">
                  <v:stroke weight="0pt" endcap="flat" joinstyle="miter" miterlimit="10" on="false" color="#000000" opacity="0"/>
                  <v:fill on="true" color="#333333"/>
                </v:shape>
                <v:shape id="Shape 14181" style="position:absolute;width:571;height:571;left:0;top:3048;" coordsize="57150,57150" path="m28575,0c32364,0,36009,595,39510,1885c43011,3373,46101,5457,48781,8334c51460,10815,53525,13990,54975,17363c56425,20935,57150,24705,57150,28575c57150,32246,56425,36016,54975,39390c53525,42863,51460,45839,48781,48617c46101,51197,43011,53280,39510,54769c36009,56356,32364,57150,28575,57150c24786,57150,21141,56356,17640,54769c14139,53280,11049,51197,8369,48617c5690,45839,3625,42863,2175,39390c725,36016,0,32246,0,28575c0,24705,725,20935,2175,17363c3625,13990,5690,10815,8369,8334c11049,5457,14139,3373,17640,1885c21141,595,24786,0,28575,0x">
                  <v:stroke weight="0pt" endcap="flat" joinstyle="miter" miterlimit="10" on="false" color="#000000" opacity="0"/>
                  <v:fill on="true" color="#333333"/>
                </v:shape>
                <v:shape id="Shape 14183" style="position:absolute;width:571;height:571;left:0;top:4572;" coordsize="57150,57150" path="m28575,0c32364,0,36009,695,39510,2084c43011,3572,46101,5655,48781,8334c51460,10815,53525,13990,54975,17363c56425,20935,57150,24705,57150,28575c57150,32246,56425,36016,54975,39390c53525,42863,51460,45938,48781,48816c46101,51296,43011,53380,39510,54868c36009,56257,32364,56952,28575,57150c24786,56952,21141,56257,17640,54868c14139,53380,11049,51296,8369,48816c5690,45938,3625,42863,2175,39390c725,36016,0,32246,0,28575c0,24705,725,20935,2175,17363c3625,13990,5690,10815,8369,8334c11049,5655,14139,3572,17640,2084c21141,695,24786,0,28575,0x">
                  <v:stroke weight="0pt" endcap="flat" joinstyle="miter" miterlimit="10" on="false" color="#000000" opacity="0"/>
                  <v:fill on="true" color="#333333"/>
                </v:shape>
                <v:shape id="Shape 14185" style="position:absolute;width:571;height:571;left:0;top:6096;" coordsize="57150,57150" path="m28575,0c32364,0,36009,595,39510,1885c43011,3373,46101,5457,48781,8334c51460,10815,53525,13990,54975,17363c56425,20935,57150,24705,57150,28575c57150,32246,56425,36016,54975,39390c53525,42863,51460,45938,48781,48816c46101,51296,43011,53380,39510,54868c36009,56257,32364,56952,28575,57150c24786,56952,21141,56257,17640,54868c14139,53380,11049,51296,8369,48816c5690,45938,3625,42863,2175,39390c725,36016,0,32246,0,28575c0,24705,725,20935,2175,17363c3625,13990,5690,10815,8369,8334c11049,5457,14139,3373,17640,1885c21141,595,24786,0,28575,0x">
                  <v:stroke weight="0pt" endcap="flat" joinstyle="miter" miterlimit="10" on="false" color="#000000" opacity="0"/>
                  <v:fill on="true" color="#333333"/>
                </v:shape>
                <v:shape id="Shape 14187" style="position:absolute;width:571;height:571;left:0;top:7620;" coordsize="57150,57150" path="m28575,0c32364,0,36009,695,39510,2084c43011,3572,46101,5655,48781,8334c51460,10815,53525,13990,54975,17363c56425,20935,57150,24705,57150,28575c57150,32246,56425,36016,54975,39390c53525,42863,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v:shape id="Shape 14189" style="position:absolute;width:571;height:571;left:0;top:9144;" coordsize="57150,57150" path="m28575,0c32364,0,36009,595,39510,1885c43011,3373,46101,5457,48781,8334c51460,10815,53525,13990,54975,17363c56425,20935,57150,24705,57150,28575c57150,32246,56425,36016,54975,39390c53525,42863,51460,45839,48781,48617c46101,51296,43011,53380,39510,54868c36009,56257,32364,56952,28575,57150c24786,56952,21141,56257,17640,54868c14139,53380,11049,51296,8369,48617c5690,45839,3625,42863,2175,39390c725,36016,0,32246,0,28575c0,24705,725,20935,2175,17363c3625,13990,5690,10815,8369,8334c11049,5457,14139,3373,17640,1885c21141,595,24786,0,28575,0x">
                  <v:stroke weight="0pt" endcap="flat" joinstyle="miter" miterlimit="10" on="false" color="#000000" opacity="0"/>
                  <v:fill on="true" color="#333333"/>
                </v:shape>
                <v:shape id="Shape 14191" style="position:absolute;width:571;height:571;left:0;top:10668;" coordsize="57150,57150" path="m28575,0c32364,0,36009,695,39510,2084c43011,3572,46101,5655,48781,8334c51460,10815,53525,13990,54975,17363c56425,20935,57150,24705,57150,28575c57150,32246,56425,36016,54975,39390c53525,42863,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w10:wrap type="square"/>
              </v:group>
            </w:pict>
          </mc:Fallback>
        </mc:AlternateContent>
      </w:r>
      <w:r>
        <w:t>Артериальная гипертензия резистентная или индуцированная лекарствами.</w:t>
      </w:r>
    </w:p>
    <w:p w:rsidR="008E3F15" w:rsidRDefault="005F449A">
      <w:pPr>
        <w:spacing w:after="31"/>
        <w:ind w:left="340" w:right="15"/>
      </w:pPr>
      <w:r>
        <w:t>Острое начало артериа</w:t>
      </w:r>
      <w:r>
        <w:t>льной гипертензии.</w:t>
      </w:r>
    </w:p>
    <w:p w:rsidR="008E3F15" w:rsidRDefault="005F449A">
      <w:pPr>
        <w:spacing w:after="31"/>
        <w:ind w:left="340" w:right="15"/>
      </w:pPr>
      <w:r>
        <w:t>Появление артериальной гипертензии до 30 лет.</w:t>
      </w:r>
    </w:p>
    <w:p w:rsidR="008E3F15" w:rsidRDefault="005F449A">
      <w:pPr>
        <w:spacing w:after="31"/>
        <w:ind w:left="340" w:right="15"/>
      </w:pPr>
      <w:r>
        <w:t>Обострение ранее контролируемой артериальной гипертензии.</w:t>
      </w:r>
    </w:p>
    <w:p w:rsidR="008E3F15" w:rsidRDefault="005F449A">
      <w:pPr>
        <w:spacing w:after="31"/>
        <w:ind w:left="340" w:right="15"/>
      </w:pPr>
      <w:r>
        <w:t>Несоответствие степени артериальной гипертензии и поражения органов.</w:t>
      </w:r>
    </w:p>
    <w:p w:rsidR="008E3F15" w:rsidRDefault="005F449A">
      <w:pPr>
        <w:spacing w:after="31"/>
        <w:ind w:left="340" w:right="15"/>
      </w:pPr>
      <w:r>
        <w:t>Быстропрогрессирующая/злокачественная артериальная гипертензия.</w:t>
      </w:r>
    </w:p>
    <w:p w:rsidR="008E3F15" w:rsidRDefault="005F449A">
      <w:pPr>
        <w:spacing w:after="179"/>
        <w:ind w:left="340" w:right="15"/>
      </w:pPr>
      <w:r>
        <w:t>Начало диастолической артериальной гипертензии у пациентов ≥65 лет. Неспровоцированная или выраженная гипокалиемия.</w:t>
      </w:r>
    </w:p>
    <w:p w:rsidR="008E3F15" w:rsidRDefault="005F449A">
      <w:pPr>
        <w:spacing w:after="419"/>
        <w:ind w:left="2" w:right="15"/>
      </w:pPr>
      <w:r>
        <w:t>Для выявления причин вторичной артериальной гипертензии используют клинические признаки и подтверждающие лабораторные тесты.</w:t>
      </w:r>
    </w:p>
    <w:p w:rsidR="008E3F15" w:rsidRDefault="005F449A">
      <w:pPr>
        <w:spacing w:after="31"/>
        <w:ind w:left="340" w:right="15"/>
      </w:pPr>
      <w:r>
        <w:t>Резистентная, н</w:t>
      </w:r>
      <w:r>
        <w:t>очная гипертензия.</w:t>
      </w:r>
    </w:p>
    <w:p w:rsidR="008E3F15" w:rsidRDefault="005F449A">
      <w:pPr>
        <w:spacing w:after="31"/>
        <w:ind w:left="340" w:right="15"/>
      </w:pPr>
      <w:r>
        <w:t>Храп, прерывистый сон, остановка дыхания во сне, сонливость днем.</w:t>
      </w:r>
    </w:p>
    <w:p w:rsidR="008E3F15" w:rsidRDefault="005F449A">
      <w:pPr>
        <w:spacing w:after="31"/>
        <w:ind w:left="340" w:right="15"/>
      </w:pPr>
      <w:r>
        <w:t>Ожирение.</w:t>
      </w:r>
    </w:p>
    <w:p w:rsidR="008E3F15" w:rsidRDefault="005F449A">
      <w:pPr>
        <w:spacing w:after="31"/>
        <w:ind w:left="340" w:right="15"/>
      </w:pPr>
      <w:r>
        <w:t>Ночная оксиметрия, полисомнография (≥5 эпизодов апноэ-гипопноэ в час).</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46656" behindDoc="0" locked="0" layoutInCell="1" allowOverlap="1">
                <wp:simplePos x="0" y="0"/>
                <wp:positionH relativeFrom="column">
                  <wp:posOffset>209550</wp:posOffset>
                </wp:positionH>
                <wp:positionV relativeFrom="paragraph">
                  <wp:posOffset>-761999</wp:posOffset>
                </wp:positionV>
                <wp:extent cx="508620" cy="1768376"/>
                <wp:effectExtent l="0" t="0" r="0" b="0"/>
                <wp:wrapSquare wrapText="bothSides"/>
                <wp:docPr id="308075" name="Group 308075"/>
                <wp:cNvGraphicFramePr/>
                <a:graphic xmlns:a="http://schemas.openxmlformats.org/drawingml/2006/main">
                  <a:graphicData uri="http://schemas.microsoft.com/office/word/2010/wordprocessingGroup">
                    <wpg:wgp>
                      <wpg:cNvGrpSpPr/>
                      <wpg:grpSpPr>
                        <a:xfrm>
                          <a:off x="0" y="0"/>
                          <a:ext cx="508620" cy="1768376"/>
                          <a:chOff x="0" y="0"/>
                          <a:chExt cx="508620" cy="1768376"/>
                        </a:xfrm>
                      </wpg:grpSpPr>
                      <wps:wsp>
                        <wps:cNvPr id="14195" name="Shape 14195"/>
                        <wps:cNvSpPr/>
                        <wps:spPr>
                          <a:xfrm>
                            <a:off x="0" y="34826"/>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96" name="Rectangle 14196"/>
                        <wps:cNvSpPr/>
                        <wps:spPr>
                          <a:xfrm>
                            <a:off x="171450" y="0"/>
                            <a:ext cx="448436" cy="198337"/>
                          </a:xfrm>
                          <a:prstGeom prst="rect">
                            <a:avLst/>
                          </a:prstGeom>
                          <a:ln>
                            <a:noFill/>
                          </a:ln>
                        </wps:spPr>
                        <wps:txbx>
                          <w:txbxContent>
                            <w:p w:rsidR="008E3F15" w:rsidRDefault="005F449A">
                              <w:pPr>
                                <w:spacing w:after="160" w:line="259" w:lineRule="auto"/>
                                <w:ind w:left="0" w:right="0" w:firstLine="0"/>
                              </w:pPr>
                              <w:r>
                                <w:rPr>
                                  <w:i/>
                                </w:rPr>
                                <w:t>ОАС.</w:t>
                              </w:r>
                            </w:p>
                          </w:txbxContent>
                        </wps:txbx>
                        <wps:bodyPr horzOverflow="overflow" vert="horz" lIns="0" tIns="0" rIns="0" bIns="0" rtlCol="0">
                          <a:noAutofit/>
                        </wps:bodyPr>
                      </wps:wsp>
                      <wps:wsp>
                        <wps:cNvPr id="14197" name="Shape 14197"/>
                        <wps:cNvSpPr/>
                        <wps:spPr>
                          <a:xfrm>
                            <a:off x="381000" y="187226"/>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199" name="Shape 14199"/>
                        <wps:cNvSpPr/>
                        <wps:spPr>
                          <a:xfrm>
                            <a:off x="381000" y="339626"/>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1" name="Shape 14201"/>
                        <wps:cNvSpPr/>
                        <wps:spPr>
                          <a:xfrm>
                            <a:off x="381000" y="492026"/>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3" name="Shape 14203"/>
                        <wps:cNvSpPr/>
                        <wps:spPr>
                          <a:xfrm>
                            <a:off x="381000" y="644426"/>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5" name="Shape 14205"/>
                        <wps:cNvSpPr/>
                        <wps:spPr>
                          <a:xfrm>
                            <a:off x="0" y="796826"/>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7" name="Shape 14207"/>
                        <wps:cNvSpPr/>
                        <wps:spPr>
                          <a:xfrm>
                            <a:off x="381000" y="949226"/>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09" name="Shape 14209"/>
                        <wps:cNvSpPr/>
                        <wps:spPr>
                          <a:xfrm>
                            <a:off x="381000" y="1101626"/>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570"/>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11" name="Shape 14211"/>
                        <wps:cNvSpPr/>
                        <wps:spPr>
                          <a:xfrm>
                            <a:off x="381000" y="1254026"/>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13" name="Shape 14213"/>
                        <wps:cNvSpPr/>
                        <wps:spPr>
                          <a:xfrm>
                            <a:off x="381000" y="1406426"/>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15" name="Shape 14215"/>
                        <wps:cNvSpPr/>
                        <wps:spPr>
                          <a:xfrm>
                            <a:off x="381000" y="1558826"/>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562"/>
                                </a:cubicBezTo>
                                <a:cubicBezTo>
                                  <a:pt x="3625" y="14089"/>
                                  <a:pt x="5690" y="11013"/>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17" name="Shape 14217"/>
                        <wps:cNvSpPr/>
                        <wps:spPr>
                          <a:xfrm>
                            <a:off x="381000" y="1711226"/>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4089"/>
                                  <a:pt x="5690" y="11013"/>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8075" style="width:40.0488pt;height:139.242pt;position:absolute;mso-position-horizontal-relative:text;mso-position-horizontal:absolute;margin-left:16.5pt;mso-position-vertical-relative:text;margin-top:-60pt;" coordsize="5086,17683">
                <v:shape id="Shape 14195" style="position:absolute;width:571;height:571;left:0;top:348;" coordsize="57150,57150" path="m28575,0c32364,0,36009,695,39510,2084c43011,3373,46101,5457,48781,8136c51460,10815,53525,13990,54975,17363c56425,20836,57150,24507,57150,28575c57150,32246,56425,35818,54975,39390c53525,42863,51460,45938,48781,48617c46101,51197,43011,53280,39510,54868c36009,56257,32364,56952,28575,57150c24786,56952,21141,56257,17640,54868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rect id="Rectangle 14196" style="position:absolute;width:4484;height:1983;left:1714;top:0;" filled="f" stroked="f">
                  <v:textbox inset="0,0,0,0">
                    <w:txbxContent>
                      <w:p>
                        <w:pPr>
                          <w:spacing w:before="0" w:after="160" w:line="259" w:lineRule="auto"/>
                          <w:ind w:left="0" w:right="0" w:firstLine="0"/>
                        </w:pPr>
                        <w:r>
                          <w:rPr>
                            <w:rFonts w:cs="Segoe UI" w:hAnsi="Segoe UI" w:eastAsia="Segoe UI" w:ascii="Segoe UI"/>
                            <w:i w:val="1"/>
                          </w:rPr>
                          <w:t xml:space="preserve">ОАС.</w:t>
                        </w:r>
                      </w:p>
                    </w:txbxContent>
                  </v:textbox>
                </v:rect>
                <v:shape id="Shape 14197" style="position:absolute;width:571;height:571;left:3810;top:1872;" coordsize="57150,57150" path="m28575,0c32364,0,36009,695,39510,2084c43011,3373,46101,5457,48781,8136c51460,10815,53525,13990,54975,17363c56425,20935,57150,24705,57150,28575c57150,32246,56425,35818,54975,39390c53525,42863,51460,45839,48781,48617c46101,51197,43011,53280,39510,54769c36009,56257,32364,56952,28575,57150c24786,56952,21141,56257,17640,54868c14139,53280,11049,51197,8370,48617c5690,45839,3625,42863,2175,39390c725,35818,0,32246,0,28575c0,24705,725,20935,2175,17363c3625,13990,5690,10815,8370,8136c11049,5457,14139,3373,17640,2084c21141,695,24786,0,28575,0x">
                  <v:stroke weight="0pt" endcap="flat" joinstyle="miter" miterlimit="10" on="false" color="#000000" opacity="0"/>
                  <v:fill on="true" color="#333333"/>
                </v:shape>
                <v:shape id="Shape 14199" style="position:absolute;width:571;height:571;left:3810;top:3396;" coordsize="57150,57150" path="m28575,0c32364,0,36009,695,39510,2084c43011,3373,46101,5457,48781,8136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136c11049,5457,14139,3373,17640,1885c21141,595,24786,0,28575,0x">
                  <v:stroke weight="0pt" endcap="flat" joinstyle="miter" miterlimit="10" on="false" color="#000000" opacity="0"/>
                  <v:fill on="true" color="#333333"/>
                </v:shape>
                <v:shape id="Shape 14201" style="position:absolute;width:571;height:571;left:3810;top:4920;" coordsize="57150,57150" path="m28575,0c32364,0,36009,695,39510,2084c43011,3373,46101,5457,48781,8136c51460,10716,53525,13791,54975,17363c56425,20836,57150,24507,57150,28575c57150,32246,56425,35818,54975,39390c53525,42863,51460,45839,48781,48617c46101,51197,43011,53280,39510,54769c36009,56257,32364,56952,28575,57150c24786,56952,21141,56257,17640,54868c14139,53280,11049,51197,8370,48617c5690,45839,3625,42863,2175,39390c725,35818,0,32246,0,28575c0,24507,725,20836,2175,17363c3625,13791,5690,10716,8370,8136c11049,5457,14139,3373,17640,2084c21141,695,24786,0,28575,0x">
                  <v:stroke weight="0pt" endcap="flat" joinstyle="miter" miterlimit="10" on="false" color="#000000" opacity="0"/>
                  <v:fill on="true" color="#333333"/>
                </v:shape>
                <v:shape id="Shape 14203" style="position:absolute;width:571;height:571;left:3810;top:6444;" coordsize="57150,57150" path="m28575,0c32364,0,36009,695,39510,2084c43011,3373,46101,5457,48781,8136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136c11049,5457,14139,3373,17640,1885c21141,595,24786,0,28575,0x">
                  <v:stroke weight="0pt" endcap="flat" joinstyle="miter" miterlimit="10" on="false" color="#000000" opacity="0"/>
                  <v:fill on="true" color="#333333"/>
                </v:shape>
                <v:shape id="Shape 14205" style="position:absolute;width:571;height:571;left:0;top:7968;"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868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4207" style="position:absolute;width:571;height:571;left:3810;top:9492;" coordsize="57150,57150" path="m28575,0c32364,0,36009,695,39510,2084c43011,3572,46101,5655,48781,8334c51460,11013,53525,14089,54975,17562c56425,20935,57150,24705,57150,28575c57150,32246,56425,35818,54975,39390c53525,42863,51460,45938,48781,48617c46101,51197,43011,53280,39510,54868c36009,56257,32364,56952,28575,57150c24786,56952,21141,56257,17640,54868c14139,53280,11049,51197,8370,48617c5690,45938,3625,42863,2175,39390c725,35818,0,32246,0,28575c0,24705,725,20935,2175,17562c3625,14089,5690,11013,8370,8334c11049,5655,14139,3572,17640,2084c21141,695,24786,0,28575,0x">
                  <v:stroke weight="0pt" endcap="flat" joinstyle="miter" miterlimit="10" on="false" color="#000000" opacity="0"/>
                  <v:fill on="true" color="#333333"/>
                </v:shape>
                <v:shape id="Shape 14209" style="position:absolute;width:571;height:571;left:3810;top:11016;" coordsize="57150,57150" path="m28575,0c32364,0,36009,695,39510,2084c43011,3572,46101,5655,48781,8334c51460,11013,53525,14089,54975,17562c56425,20935,57150,24705,57150,28575c57150,32246,56425,35818,54975,39390c53525,42863,51460,45839,48781,48617c46101,51197,43011,53280,39510,54570c36009,56257,32364,56952,28575,57150c24786,56952,21141,56257,17640,54769c14139,53280,11049,51197,8370,48617c5690,45839,3625,42863,2175,39390c725,35818,0,32246,0,28575c0,24705,725,20935,2175,17562c3625,14089,5690,11013,8370,8334c11049,5655,14139,3572,17640,2084c21141,695,24786,0,28575,0x">
                  <v:stroke weight="0pt" endcap="flat" joinstyle="miter" miterlimit="10" on="false" color="#000000" opacity="0"/>
                  <v:fill on="true" color="#333333"/>
                </v:shape>
                <v:shape id="Shape 14211" style="position:absolute;width:571;height:571;left:3810;top:12540;" coordsize="57150,57150" path="m28575,0c32364,0,36009,695,39510,2084c43011,3572,46101,5655,48781,8334c51460,11013,53525,14089,54975,17562c56425,20935,57150,24705,57150,28575c57150,32246,56425,35818,54975,39390c53525,42863,51460,45938,48781,48617c46101,51197,43011,53280,39510,54769c36009,56257,32364,56952,28575,57150c24786,56952,21141,56257,17640,54769c14139,53280,11049,51197,8370,48617c5690,45938,3625,42863,2175,39390c725,35818,0,32246,0,28575c0,24705,725,20935,2175,17562c3625,14089,5690,11013,8370,8334c11049,5655,14139,3572,17640,2084c21141,695,24786,0,28575,0x">
                  <v:stroke weight="0pt" endcap="flat" joinstyle="miter" miterlimit="10" on="false" color="#000000" opacity="0"/>
                  <v:fill on="true" color="#333333"/>
                </v:shape>
                <v:shape id="Shape 14213" style="position:absolute;width:571;height:571;left:3810;top:14064;" coordsize="57150,57150" path="m28575,0c32364,0,36009,695,39510,2084c43011,3572,46101,5655,48781,8334c51460,11013,53525,14089,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4089,5690,11013,8370,8334c11049,5655,14139,3572,17640,2084c21141,695,24786,0,28575,0x">
                  <v:stroke weight="0pt" endcap="flat" joinstyle="miter" miterlimit="10" on="false" color="#000000" opacity="0"/>
                  <v:fill on="true" color="#333333"/>
                </v:shape>
                <v:shape id="Shape 14215" style="position:absolute;width:571;height:571;left:3810;top:15588;" coordsize="57150,57150" path="m28575,0c32364,0,36009,695,39510,2084c43011,3373,46101,5457,48781,8334c51460,11013,53525,14089,54975,17562c56425,20935,57150,24705,57150,28575c57150,32246,56425,35818,54975,39291c53525,42664,51460,45839,48781,48617c46101,51296,43011,53380,39510,54769c36009,56257,32364,56952,28575,57150c24786,56952,21141,56257,17640,54769c14139,53380,11049,51296,8370,48617c5690,45839,3625,42664,2175,39291c725,35818,0,32246,0,28575c0,24705,725,20935,2175,17562c3625,14089,5690,11013,8370,8334c11049,5457,14139,3373,17640,2084c21141,695,24786,0,28575,0x">
                  <v:stroke weight="0pt" endcap="flat" joinstyle="miter" miterlimit="10" on="false" color="#000000" opacity="0"/>
                  <v:fill on="true" color="#333333"/>
                </v:shape>
                <v:shape id="Shape 14217" style="position:absolute;width:571;height:571;left:3810;top:17112;" coordsize="57150,57150" path="m28575,0c32364,0,36009,695,39510,2084c43011,3373,46101,5457,48781,8334c51460,11013,53525,14089,54975,17562c56425,20935,57150,24705,57150,28575c57150,32246,56425,35818,54975,39291c53525,42863,51460,45938,48781,48617c46101,51296,43011,53380,39510,54769c36009,56356,32364,57150,28575,57150c24786,57150,21141,56356,17640,54769c14139,53380,11049,51296,8370,48617c5690,45938,3625,42863,2175,39291c725,35818,0,32246,0,28575c0,24705,725,20935,2175,17562c3625,14089,5690,11013,8370,8334c11049,5457,14139,3373,17640,2084c21141,695,24786,0,28575,0x">
                  <v:stroke weight="0pt" endcap="flat" joinstyle="miter" miterlimit="10" on="false" color="#000000" opacity="0"/>
                  <v:fill on="true" color="#333333"/>
                </v:shape>
                <w10:wrap type="square"/>
              </v:group>
            </w:pict>
          </mc:Fallback>
        </mc:AlternateContent>
      </w:r>
      <w:r>
        <w:rPr>
          <w:i/>
        </w:rPr>
        <w:t>Первичный альдостеронизм.</w:t>
      </w:r>
    </w:p>
    <w:p w:rsidR="008E3F15" w:rsidRDefault="005F449A">
      <w:pPr>
        <w:spacing w:after="31"/>
        <w:ind w:left="340" w:right="15"/>
      </w:pPr>
      <w:r>
        <w:t>Резистентная гипертензия &gt;160/100 мм рт.ст.</w:t>
      </w:r>
    </w:p>
    <w:p w:rsidR="008E3F15" w:rsidRDefault="005F449A">
      <w:pPr>
        <w:spacing w:after="31"/>
        <w:ind w:left="340" w:right="15"/>
      </w:pPr>
      <w:r>
        <w:t>Мышечная сла</w:t>
      </w:r>
      <w:r>
        <w:t>бость, судороги, аритмии (особенно ФП).</w:t>
      </w:r>
    </w:p>
    <w:p w:rsidR="008E3F15" w:rsidRDefault="005F449A">
      <w:pPr>
        <w:spacing w:after="31"/>
        <w:ind w:left="340" w:right="15"/>
      </w:pPr>
      <w:r>
        <w:t>Гипокалиемия (спонтанная или индуцированная диуретиками).</w:t>
      </w:r>
    </w:p>
    <w:p w:rsidR="008E3F15" w:rsidRDefault="005F449A">
      <w:pPr>
        <w:spacing w:after="31"/>
        <w:ind w:left="340" w:right="15"/>
      </w:pPr>
      <w:r>
        <w:t>Инциденталома надпочечника.</w:t>
      </w:r>
    </w:p>
    <w:p w:rsidR="008E3F15" w:rsidRDefault="005F449A">
      <w:pPr>
        <w:spacing w:after="31"/>
        <w:ind w:left="340" w:right="15"/>
      </w:pPr>
      <w:r>
        <w:t>Скрининг: отношение альдостерон/ренин плазмы &gt;30 пмоль/л на мЕд/л.</w:t>
      </w:r>
    </w:p>
    <w:p w:rsidR="008E3F15" w:rsidRDefault="005F449A">
      <w:pPr>
        <w:ind w:left="340" w:right="280"/>
      </w:pPr>
      <w:r>
        <w:t>Повышение альдостерона (&gt;550 пмоль/л или &gt;20 нг/дл стоя) + снижение ренина (&lt;5 мЕд/л прямым методом) плазмы без препаратов, влияющих на альдостерон и ренин.</w:t>
      </w:r>
    </w:p>
    <w:p w:rsidR="008E3F15" w:rsidRDefault="005F449A">
      <w:pPr>
        <w:spacing w:after="31"/>
        <w:ind w:left="340" w:right="15"/>
      </w:pPr>
      <w:r>
        <w:t>КТ надпочечников.</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47680" behindDoc="0" locked="0" layoutInCell="1" allowOverlap="1">
                <wp:simplePos x="0" y="0"/>
                <wp:positionH relativeFrom="column">
                  <wp:posOffset>209550</wp:posOffset>
                </wp:positionH>
                <wp:positionV relativeFrom="paragraph">
                  <wp:posOffset>-117573</wp:posOffset>
                </wp:positionV>
                <wp:extent cx="438150" cy="4781550"/>
                <wp:effectExtent l="0" t="0" r="0" b="0"/>
                <wp:wrapSquare wrapText="bothSides"/>
                <wp:docPr id="308076" name="Group 308076"/>
                <wp:cNvGraphicFramePr/>
                <a:graphic xmlns:a="http://schemas.openxmlformats.org/drawingml/2006/main">
                  <a:graphicData uri="http://schemas.microsoft.com/office/word/2010/wordprocessingGroup">
                    <wpg:wgp>
                      <wpg:cNvGrpSpPr/>
                      <wpg:grpSpPr>
                        <a:xfrm>
                          <a:off x="0" y="0"/>
                          <a:ext cx="438150" cy="4781550"/>
                          <a:chOff x="0" y="0"/>
                          <a:chExt cx="438150" cy="4781550"/>
                        </a:xfrm>
                      </wpg:grpSpPr>
                      <wps:wsp>
                        <wps:cNvPr id="14221" name="Shape 14221"/>
                        <wps:cNvSpPr/>
                        <wps:spPr>
                          <a:xfrm>
                            <a:off x="38100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23" name="Shape 14223"/>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25" name="Shape 14225"/>
                        <wps:cNvSpPr/>
                        <wps:spPr>
                          <a:xfrm>
                            <a:off x="38100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27" name="Shape 14227"/>
                        <wps:cNvSpPr/>
                        <wps:spPr>
                          <a:xfrm>
                            <a:off x="38100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70"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30" name="Shape 14230"/>
                        <wps:cNvSpPr/>
                        <wps:spPr>
                          <a:xfrm>
                            <a:off x="38100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32" name="Shape 14232"/>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868"/>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34" name="Shape 14234"/>
                        <wps:cNvSpPr/>
                        <wps:spPr>
                          <a:xfrm>
                            <a:off x="38100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36" name="Shape 14236"/>
                        <wps:cNvSpPr/>
                        <wps:spPr>
                          <a:xfrm>
                            <a:off x="381000" y="1219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356"/>
                                  <a:pt x="32364" y="57150"/>
                                  <a:pt x="28575" y="57150"/>
                                </a:cubicBezTo>
                                <a:cubicBezTo>
                                  <a:pt x="24786" y="57150"/>
                                  <a:pt x="21141" y="56356"/>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38" name="Shape 14238"/>
                        <wps:cNvSpPr/>
                        <wps:spPr>
                          <a:xfrm>
                            <a:off x="381000" y="1371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40" name="Shape 14240"/>
                        <wps:cNvSpPr/>
                        <wps:spPr>
                          <a:xfrm>
                            <a:off x="0" y="15240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42" name="Shape 14242"/>
                        <wps:cNvSpPr/>
                        <wps:spPr>
                          <a:xfrm>
                            <a:off x="381000" y="1676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45" name="Shape 14245"/>
                        <wps:cNvSpPr/>
                        <wps:spPr>
                          <a:xfrm>
                            <a:off x="381000" y="1981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47" name="Shape 14247"/>
                        <wps:cNvSpPr/>
                        <wps:spPr>
                          <a:xfrm>
                            <a:off x="381000" y="2133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49" name="Shape 14249"/>
                        <wps:cNvSpPr/>
                        <wps:spPr>
                          <a:xfrm>
                            <a:off x="381000" y="2286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791"/>
                                  <a:pt x="5690" y="10716"/>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51" name="Shape 14251"/>
                        <wps:cNvSpPr/>
                        <wps:spPr>
                          <a:xfrm>
                            <a:off x="0" y="2438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53" name="Shape 14253"/>
                        <wps:cNvSpPr/>
                        <wps:spPr>
                          <a:xfrm>
                            <a:off x="381000" y="2590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55" name="Shape 14255"/>
                        <wps:cNvSpPr/>
                        <wps:spPr>
                          <a:xfrm>
                            <a:off x="381000" y="2743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57" name="Shape 14257"/>
                        <wps:cNvSpPr/>
                        <wps:spPr>
                          <a:xfrm>
                            <a:off x="381000" y="28956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59" name="Shape 14259"/>
                        <wps:cNvSpPr/>
                        <wps:spPr>
                          <a:xfrm>
                            <a:off x="381000" y="3048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61" name="Shape 14261"/>
                        <wps:cNvSpPr/>
                        <wps:spPr>
                          <a:xfrm>
                            <a:off x="381000" y="3200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63" name="Shape 14263"/>
                        <wps:cNvSpPr/>
                        <wps:spPr>
                          <a:xfrm>
                            <a:off x="381000" y="3352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664"/>
                                  <a:pt x="2175" y="39291"/>
                                </a:cubicBezTo>
                                <a:cubicBezTo>
                                  <a:pt x="725" y="35818"/>
                                  <a:pt x="0" y="32246"/>
                                  <a:pt x="0" y="28575"/>
                                </a:cubicBezTo>
                                <a:cubicBezTo>
                                  <a:pt x="0" y="24805"/>
                                  <a:pt x="725" y="21134"/>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65" name="Shape 14265"/>
                        <wps:cNvSpPr/>
                        <wps:spPr>
                          <a:xfrm>
                            <a:off x="381000" y="3505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68" name="Shape 14268"/>
                        <wps:cNvSpPr/>
                        <wps:spPr>
                          <a:xfrm>
                            <a:off x="381000" y="3810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71" name="Shape 14271"/>
                        <wps:cNvSpPr/>
                        <wps:spPr>
                          <a:xfrm>
                            <a:off x="381000" y="411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74" name="Shape 14274"/>
                        <wps:cNvSpPr/>
                        <wps:spPr>
                          <a:xfrm>
                            <a:off x="381000" y="441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816"/>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277" name="Shape 14277"/>
                        <wps:cNvSpPr/>
                        <wps:spPr>
                          <a:xfrm>
                            <a:off x="381000" y="472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8076" style="width:34.5pt;height:376.5pt;position:absolute;mso-position-horizontal-relative:text;mso-position-horizontal:absolute;margin-left:16.5pt;mso-position-vertical-relative:text;margin-top:-9.25781pt;" coordsize="4381,47815">
                <v:shape id="Shape 14221" style="position:absolute;width:571;height:571;left:381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23" style="position:absolute;width:571;height:571;left:0;top:1524;"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4225" style="position:absolute;width:571;height:571;left:381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27" style="position:absolute;width:571;height:571;left:3810;top:4572;" coordsize="57150,57150" path="m28575,0c32364,0,36009,695,39510,2084c43011,3373,46101,5457,48781,8334c51460,10815,53525,13990,54975,17562c56425,20935,57150,24705,57150,28575c57150,32246,56425,35818,54975,39291c53525,42863,51460,45938,48781,48816c46101,51495,43011,53578,39510,54868c36009,56356,32364,57150,28575,57150c24786,57150,21141,56356,17640,54868c14139,53578,11049,51495,8370,48816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30" style="position:absolute;width:571;height:571;left:3810;top:7620;" coordsize="57150,57150" path="m28575,0c32364,0,36009,695,39510,2084c43011,3373,46101,5457,48781,8334c51460,10815,53525,13990,54975,17562c56425,20935,57150,24705,57150,28575c57150,32246,56425,35818,54975,39291c53525,42863,51460,45938,48781,48617c46101,51296,43011,53380,39510,54769c36009,56356,32364,57150,28575,57150c24786,57150,21141,56356,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32" style="position:absolute;width:571;height:571;left:3810;top:9144;" coordsize="57150,57150" path="m28575,0c32364,0,36009,695,39510,2084c43011,3373,46101,5457,48781,8334c51460,10815,53525,13990,54975,17562c56425,20935,57150,24705,57150,28575c57150,32246,56425,35818,54975,39291c53525,42863,51460,45938,48781,48617c46101,51296,43011,53380,39510,54769c36009,56356,32364,57150,28575,57150c24786,57150,21141,56356,17640,54868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34" style="position:absolute;width:571;height:571;left:3810;top:10668;" coordsize="57150,57150" path="m28575,0c32364,0,36009,695,39510,2084c43011,3373,46101,5457,48781,8334c51460,10815,53525,13990,54975,17562c56425,20935,57150,24705,57150,28575c57150,32246,56425,35818,54975,39291c53525,42863,51460,45938,48781,48617c46101,51296,43011,53380,39510,54868c36009,56356,32364,57150,28575,57150c24786,57150,21141,56356,17640,54868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4236" style="position:absolute;width:571;height:571;left:3810;top:12192;" coordsize="57150,57150" path="m28575,0c32364,0,36009,695,39510,2084c43011,3373,46101,5457,48781,8334c51460,10815,53525,13990,54975,17562c56425,20935,57150,24705,57150,28575c57150,32246,56425,35818,54975,39291c53525,42664,51460,45839,48781,48617c46101,51296,43011,53380,39510,54769c36009,56356,32364,57150,28575,57150c24786,57150,21141,56356,17640,54868c14139,53380,11049,51296,8370,48617c5690,45839,3625,42664,2175,39291c725,35818,0,32246,0,28575c0,24705,725,20935,2175,17562c3625,13990,5690,10815,8370,8334c11049,5457,14139,3373,17640,2084c21141,695,24786,0,28575,0x">
                  <v:stroke weight="0pt" endcap="flat" joinstyle="miter" miterlimit="10" on="false" color="#000000" opacity="0"/>
                  <v:fill on="true" color="#333333"/>
                </v:shape>
                <v:shape id="Shape 14238" style="position:absolute;width:571;height:571;left:3810;top:13716;" coordsize="57150,57150" path="m28575,0c32364,0,36009,695,39510,2084c43011,3373,46101,5457,48781,8334c51460,10815,53525,13990,54975,17562c56425,20935,57150,24705,57150,28575c57150,32246,56425,35818,54975,39291c53525,42664,51460,45839,48781,48617c46101,51296,43011,53380,39510,54868c36009,56356,32364,57150,28575,57150c24786,57150,21141,56356,17640,54868c14139,53380,11049,51296,8370,48617c5690,45839,3625,42664,2175,39291c725,35818,0,32246,0,28575c0,24705,725,20935,2175,17562c3625,13990,5690,10815,8370,8334c11049,5457,14139,3373,17640,2084c21141,695,24786,0,28575,0x">
                  <v:stroke weight="0pt" endcap="flat" joinstyle="miter" miterlimit="10" on="false" color="#000000" opacity="0"/>
                  <v:fill on="true" color="#333333"/>
                </v:shape>
                <v:shape id="Shape 14240" style="position:absolute;width:571;height:571;left:0;top:15240;"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10" on="false" color="#000000" opacity="0"/>
                  <v:fill on="true" color="#333333"/>
                </v:shape>
                <v:shape id="Shape 14242" style="position:absolute;width:571;height:571;left:3810;top:16764;" coordsize="57150,57150" path="m28575,0c32364,0,36009,695,39510,2084c43011,3373,46101,5457,48781,8136c51460,10815,53525,13990,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990,5690,10815,8370,8136c11049,5457,14139,3373,17640,2084c21141,695,24786,0,28575,0x">
                  <v:stroke weight="0pt" endcap="flat" joinstyle="miter" miterlimit="10" on="false" color="#000000" opacity="0"/>
                  <v:fill on="true" color="#333333"/>
                </v:shape>
                <v:shape id="Shape 14245" style="position:absolute;width:571;height:571;left:3810;top:19812;" coordsize="57150,57150" path="m28575,0c32364,0,36009,595,39510,1885c43011,3373,46101,5457,48781,8136c51460,10815,53525,13990,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990,5690,10815,8370,8136c11049,5457,14139,3373,17640,1885c21141,595,24786,0,28575,0x">
                  <v:stroke weight="0pt" endcap="flat" joinstyle="miter" miterlimit="10" on="false" color="#000000" opacity="0"/>
                  <v:fill on="true" color="#333333"/>
                </v:shape>
                <v:shape id="Shape 14247" style="position:absolute;width:571;height:571;left:3810;top:21336;" coordsize="57150,57150" path="m28575,0c32364,0,36009,595,39510,1885c43011,3373,46101,5457,48781,8136c51460,10815,53525,13990,54975,17363c56425,20935,57150,24705,57150,28575c57150,32246,56425,36016,54975,39390c53525,42863,51460,45839,48781,48617c46101,51197,43011,53280,39510,54769c36009,56059,32364,56952,28575,57150c24786,56952,21141,56059,17640,54769c14139,53280,11049,51197,8370,48617c5690,45839,3625,42664,2175,39291c725,35818,0,32246,0,28575c0,24705,725,20935,2175,17363c3625,13990,5690,10815,8370,8136c11049,5457,14139,3373,17640,1885c21141,595,24786,0,28575,0x">
                  <v:stroke weight="0pt" endcap="flat" joinstyle="miter" miterlimit="10" on="false" color="#000000" opacity="0"/>
                  <v:fill on="true" color="#333333"/>
                </v:shape>
                <v:shape id="Shape 14249" style="position:absolute;width:571;height:571;left:3810;top:22860;" coordsize="57150,57150" path="m28575,0c32364,0,36009,595,39510,1885c43011,3373,46101,5457,48781,8136c51460,10716,53525,13791,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791,5690,10716,8370,8136c11049,5457,14139,3373,17640,1885c21141,595,24786,0,28575,0x">
                  <v:stroke weight="0pt" endcap="flat" joinstyle="miter" miterlimit="10" on="false" color="#000000" opacity="0"/>
                  <v:fill on="true" color="#333333"/>
                </v:shape>
                <v:shape id="Shape 14251" style="position:absolute;width:571;height:571;left:0;top:24384;"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v:shape id="Shape 14253" style="position:absolute;width:571;height:571;left:3810;top:25908;" coordsize="57150,57150" path="m28575,0c32364,0,36009,595,39510,1885c43011,3373,46101,5457,48781,8334c51460,10815,53525,13990,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990,5690,10815,8370,8334c11049,5457,14139,3373,17640,1885c21141,595,24786,0,28575,0x">
                  <v:stroke weight="0pt" endcap="flat" joinstyle="miter" miterlimit="10" on="false" color="#000000" opacity="0"/>
                  <v:fill on="true" color="#333333"/>
                </v:shape>
                <v:shape id="Shape 14255" style="position:absolute;width:571;height:571;left:3810;top:27432;"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70,48617c5690,45839,3625,42664,2175,39291c725,35818,0,32246,0,28575c0,24705,725,20935,2175,17363c3625,13990,5690,10815,8370,8334c11049,5655,14139,3572,17640,2084c21141,695,24786,0,28575,0x">
                  <v:stroke weight="0pt" endcap="flat" joinstyle="miter" miterlimit="10" on="false" color="#000000" opacity="0"/>
                  <v:fill on="true" color="#333333"/>
                </v:shape>
                <v:shape id="Shape 14257" style="position:absolute;width:571;height:571;left:3810;top:28956;" coordsize="57150,57150" path="m28575,0c32364,0,36009,595,39510,1885c43011,3373,46101,5457,48781,8334c51460,10815,53525,13990,54975,17363c56425,20935,57150,24705,57150,28575c57150,32246,56425,36016,54975,39390c53525,42863,51460,45839,48781,48617c46101,51197,43011,53280,39510,54769c36009,56257,32364,56952,28575,57150c24786,56952,21141,56257,17640,54769c14139,53280,11049,51197,8370,48617c5690,45839,3625,42863,2175,39390c725,36016,0,32246,0,28575c0,24705,725,20935,2175,17363c3625,13990,5690,10815,8370,8334c11049,5457,14139,3373,17640,1885c21141,595,24786,0,28575,0x">
                  <v:stroke weight="0pt" endcap="flat" joinstyle="miter" miterlimit="10" on="false" color="#000000" opacity="0"/>
                  <v:fill on="true" color="#333333"/>
                </v:shape>
                <v:shape id="Shape 14259" style="position:absolute;width:571;height:571;left:3810;top:30480;" coordsize="57150,57150" path="m28575,0c32364,0,36009,695,39510,2084c43011,3572,46101,5655,48781,8334c51460,10815,53525,13990,54975,17363c56425,20935,57150,24705,57150,28575c57150,32246,56425,35818,54975,39390c53525,42863,51460,45839,48781,48617c46101,51197,43011,53280,39510,54769c36009,56059,32364,56952,28575,57150c24786,56952,21141,56059,17640,54769c14139,53280,11049,51197,8370,48617c5690,45839,3625,42664,2175,39291c725,35818,0,32246,0,28575c0,24705,725,20935,2175,17363c3625,13990,5690,10815,8370,8334c11049,5655,14139,3572,17640,2084c21141,695,24786,0,28575,0x">
                  <v:stroke weight="0pt" endcap="flat" joinstyle="miter" miterlimit="10" on="false" color="#000000" opacity="0"/>
                  <v:fill on="true" color="#333333"/>
                </v:shape>
                <v:shape id="Shape 14261" style="position:absolute;width:571;height:571;left:3810;top:32004;" coordsize="57150,57150" path="m28575,0c32364,0,36009,695,39510,2084c43011,3572,46101,5655,48781,8334c51460,10815,53525,13990,54975,17363c56425,20935,57150,24705,57150,28575c57150,32246,56425,35818,54975,39390c53525,42863,51460,45839,48781,48617c46101,51197,43011,53280,39510,54769c36009,56257,32364,56952,28575,57150c24786,56952,21141,56257,17640,54769c14139,53280,11049,51197,8370,48617c5690,45839,3625,42863,2175,39390c725,35818,0,32246,0,28575c0,24705,725,20935,2175,17363c3625,13990,5690,10815,8370,8334c11049,5655,14139,3572,17640,2084c21141,695,24786,0,28575,0x">
                  <v:stroke weight="0pt" endcap="flat" joinstyle="miter" miterlimit="10" on="false" color="#000000" opacity="0"/>
                  <v:fill on="true" color="#333333"/>
                </v:shape>
                <v:shape id="Shape 14263" style="position:absolute;width:571;height:571;left:3810;top:33528;" coordsize="57150,57150" path="m28575,0c32364,0,36009,695,39510,2084c43011,3373,46101,5457,48781,8136c51460,10815,53525,13990,54975,17363c56425,21134,57150,24805,57150,28575c57150,32246,56425,35818,54975,39390c53525,42863,51460,45839,48781,48617c46101,51197,43011,53280,39510,54868c36009,56257,32364,56952,28575,57150c24786,56952,21141,56257,17640,54868c14139,53280,11049,51197,8370,48617c5690,45839,3625,42664,2175,39291c725,35818,0,32246,0,28575c0,24805,725,21134,2175,17363c3625,13990,5690,10815,8370,8136c11049,5457,14139,3373,17640,2084c21141,695,24786,0,28575,0x">
                  <v:stroke weight="0pt" endcap="flat" joinstyle="miter" miterlimit="10" on="false" color="#000000" opacity="0"/>
                  <v:fill on="true" color="#333333"/>
                </v:shape>
                <v:shape id="Shape 14265" style="position:absolute;width:571;height:571;left:3810;top:35052;" coordsize="57150,57150" path="m28575,0c32364,0,36009,695,39510,2084c43011,3572,46101,5655,48781,8334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334c11049,5655,14139,3572,17640,2084c21141,695,24786,0,28575,0x">
                  <v:stroke weight="0pt" endcap="flat" joinstyle="miter" miterlimit="10" on="false" color="#000000" opacity="0"/>
                  <v:fill on="true" color="#333333"/>
                </v:shape>
                <v:shape id="Shape 14268" style="position:absolute;width:571;height:571;left:3810;top:38100;" coordsize="57150,57150" path="m28575,0c32364,0,36009,695,39510,2084c43011,3572,46101,5655,48781,8334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334c11049,5655,14139,3572,17640,2084c21141,695,24786,0,28575,0x">
                  <v:stroke weight="0pt" endcap="flat" joinstyle="miter" miterlimit="10" on="false" color="#000000" opacity="0"/>
                  <v:fill on="true" color="#333333"/>
                </v:shape>
                <v:shape id="Shape 14271" style="position:absolute;width:571;height:571;left:3810;top:41148;" coordsize="57150,57150" path="m28575,0c32364,0,36009,695,39510,2084c43011,3572,46101,5655,48781,8334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334c11049,5655,14139,3572,17640,2084c21141,695,24786,0,28575,0x">
                  <v:stroke weight="0pt" endcap="flat" joinstyle="miter" miterlimit="10" on="false" color="#000000" opacity="0"/>
                  <v:fill on="true" color="#333333"/>
                </v:shape>
                <v:shape id="Shape 14274" style="position:absolute;width:571;height:571;left:3810;top:44196;" coordsize="57150,57150" path="m28575,0c32364,0,36009,695,39510,2084c43011,3572,46101,5655,48781,8334c51460,10815,53525,13990,54975,17363c56425,20836,57150,24507,57150,28575c57150,32246,56425,35818,54975,39390c53525,42863,51460,45938,48781,48816c46101,51296,43011,53380,39510,54868c36009,56257,32364,56952,28575,57150c24786,56952,21141,56257,17640,54868c14139,53380,11049,51296,8370,48816c5690,45938,3625,42863,2175,39390c725,35818,0,32246,0,28575c0,24507,725,20836,2175,17363c3625,13990,5690,10815,8370,8334c11049,5655,14139,3572,17640,2084c21141,695,24786,0,28575,0x">
                  <v:stroke weight="0pt" endcap="flat" joinstyle="miter" miterlimit="10" on="false" color="#000000" opacity="0"/>
                  <v:fill on="true" color="#333333"/>
                </v:shape>
                <v:shape id="Shape 14277" style="position:absolute;width:571;height:571;left:3810;top:47244;" coordsize="57150,57150" path="m28575,0c32364,0,36009,695,39510,2084c43011,3572,46101,5655,48781,8334c51460,11013,53525,14089,54975,17562c56425,20935,57150,24705,57150,28575c57150,32246,56425,35818,54975,39390c53525,42863,51460,45938,48781,48617c46101,51296,43011,53380,39510,54769c36009,56257,32364,56952,28575,57150c24786,56952,21141,56257,17640,54769c14139,53380,11049,51296,8370,48617c5690,45938,3625,42863,2175,39390c725,35818,0,32246,0,28575c0,24705,725,20935,2175,17562c3625,14089,5690,11013,8370,8334c11049,5655,14139,3572,17640,2084c21141,695,24786,0,28575,0x">
                  <v:stroke weight="0pt" endcap="flat" joinstyle="miter" miterlimit="10" on="false" color="#000000" opacity="0"/>
                  <v:fill on="true" color="#333333"/>
                </v:shape>
                <w10:wrap type="square"/>
              </v:group>
            </w:pict>
          </mc:Fallback>
        </mc:AlternateContent>
      </w:r>
      <w:r>
        <w:rPr>
          <w:i/>
        </w:rPr>
        <w:t>Реноваскулярная артериальная гипертензия.</w:t>
      </w:r>
    </w:p>
    <w:p w:rsidR="008E3F15" w:rsidRDefault="005F449A">
      <w:pPr>
        <w:spacing w:after="31"/>
        <w:ind w:left="340" w:right="15"/>
      </w:pPr>
      <w:r>
        <w:t>Резистентная артериальная гипертензия, СН.</w:t>
      </w:r>
    </w:p>
    <w:p w:rsidR="008E3F15" w:rsidRDefault="005F449A">
      <w:pPr>
        <w:ind w:left="340" w:right="15"/>
      </w:pPr>
      <w:r>
        <w:t>Абдоминальный систоло-диастолический шум, шум над сонными, бедренными артериями.</w:t>
      </w:r>
    </w:p>
    <w:p w:rsidR="008E3F15" w:rsidRDefault="005F449A">
      <w:pPr>
        <w:spacing w:after="31"/>
        <w:ind w:left="340" w:right="15"/>
      </w:pPr>
      <w:r>
        <w:t>Прогрессирующее снижение функции почек (спонтанно или в ответ на иАПФ).</w:t>
      </w:r>
    </w:p>
    <w:p w:rsidR="008E3F15" w:rsidRDefault="005F449A">
      <w:pPr>
        <w:spacing w:after="31"/>
        <w:ind w:left="340" w:right="15"/>
      </w:pPr>
      <w:r>
        <w:t>Разница длины почек &gt;1,5 см.</w:t>
      </w:r>
    </w:p>
    <w:p w:rsidR="008E3F15" w:rsidRDefault="005F449A">
      <w:pPr>
        <w:spacing w:after="31"/>
        <w:ind w:left="340" w:right="15"/>
      </w:pPr>
      <w:r>
        <w:t>Дуплексная допплерография почеч</w:t>
      </w:r>
      <w:r>
        <w:t>ных артерий.</w:t>
      </w:r>
    </w:p>
    <w:p w:rsidR="008E3F15" w:rsidRDefault="005F449A">
      <w:pPr>
        <w:ind w:left="340" w:right="729"/>
      </w:pPr>
      <w:r>
        <w:t>Магнитно-резонансная 3-мерная ангиография с гадолинием. КТ-ангиография.</w:t>
      </w:r>
    </w:p>
    <w:p w:rsidR="008E3F15" w:rsidRDefault="005F449A">
      <w:pPr>
        <w:spacing w:line="259" w:lineRule="auto"/>
        <w:ind w:left="602" w:right="0"/>
      </w:pPr>
      <w:r>
        <w:rPr>
          <w:i/>
        </w:rPr>
        <w:t>Болезни почечной паренхимы.</w:t>
      </w:r>
    </w:p>
    <w:p w:rsidR="008E3F15" w:rsidRDefault="005F449A">
      <w:pPr>
        <w:ind w:left="340" w:right="15"/>
      </w:pPr>
      <w:r>
        <w:t>Гломерулонефрит (отеки, протеинурия, гематурия, нефротический синдром, нефробиопсия).</w:t>
      </w:r>
    </w:p>
    <w:p w:rsidR="008E3F15" w:rsidRDefault="005F449A">
      <w:pPr>
        <w:spacing w:after="31"/>
        <w:ind w:left="340" w:right="15"/>
      </w:pPr>
      <w:r>
        <w:t>Диабетическая нефропатия.</w:t>
      </w:r>
    </w:p>
    <w:p w:rsidR="008E3F15" w:rsidRDefault="005F449A">
      <w:pPr>
        <w:spacing w:after="31"/>
        <w:ind w:left="340" w:right="15"/>
      </w:pPr>
      <w:r>
        <w:t>Злоупотребление анальгетиками.</w:t>
      </w:r>
    </w:p>
    <w:p w:rsidR="008E3F15" w:rsidRDefault="005F449A">
      <w:pPr>
        <w:spacing w:after="31"/>
        <w:ind w:left="340" w:right="15"/>
      </w:pPr>
      <w:r>
        <w:t>Поликистоз по сонографии.</w:t>
      </w:r>
    </w:p>
    <w:p w:rsidR="008E3F15" w:rsidRDefault="005F449A">
      <w:pPr>
        <w:spacing w:line="259" w:lineRule="auto"/>
        <w:ind w:left="602" w:right="0"/>
      </w:pPr>
      <w:r>
        <w:rPr>
          <w:i/>
        </w:rPr>
        <w:t>Феохромоцитома.</w:t>
      </w:r>
    </w:p>
    <w:p w:rsidR="008E3F15" w:rsidRDefault="005F449A">
      <w:pPr>
        <w:spacing w:after="31"/>
        <w:ind w:left="340" w:right="15"/>
      </w:pPr>
      <w:r>
        <w:t>Пароксизмальная артериальная гипертензия или кризы.</w:t>
      </w:r>
    </w:p>
    <w:p w:rsidR="008E3F15" w:rsidRDefault="005F449A">
      <w:pPr>
        <w:spacing w:after="31"/>
        <w:ind w:left="340" w:right="15"/>
      </w:pPr>
      <w:r>
        <w:t>Сердцебиение, головная боль, потливость, бледность.</w:t>
      </w:r>
    </w:p>
    <w:p w:rsidR="008E3F15" w:rsidRDefault="005F449A">
      <w:pPr>
        <w:spacing w:after="31"/>
        <w:ind w:left="340" w:right="15"/>
      </w:pPr>
      <w:r>
        <w:t>Ортостатическая артериальная гипотензия.</w:t>
      </w:r>
    </w:p>
    <w:p w:rsidR="008E3F15" w:rsidRDefault="005F449A">
      <w:pPr>
        <w:spacing w:after="31"/>
        <w:ind w:left="340" w:right="15"/>
      </w:pPr>
      <w:r>
        <w:t>Семейный анамнез феохромоцитомы.</w:t>
      </w:r>
    </w:p>
    <w:p w:rsidR="008E3F15" w:rsidRDefault="005F449A">
      <w:pPr>
        <w:spacing w:after="31"/>
        <w:ind w:left="340" w:right="15"/>
      </w:pPr>
      <w:r>
        <w:t>Признаки нейрофиброматоза на коже.</w:t>
      </w:r>
    </w:p>
    <w:p w:rsidR="008E3F15" w:rsidRDefault="005F449A">
      <w:pPr>
        <w:spacing w:after="31"/>
        <w:ind w:left="340" w:right="15"/>
      </w:pPr>
      <w:r>
        <w:t>И</w:t>
      </w:r>
      <w:r>
        <w:t>нциденталома надпочечника.</w:t>
      </w:r>
    </w:p>
    <w:p w:rsidR="008E3F15" w:rsidRDefault="005F449A">
      <w:pPr>
        <w:ind w:left="340" w:right="15"/>
      </w:pPr>
      <w:r>
        <w:t>Генетические аномалии (RET, VHL, SDHA, SDHB, SDHD, SDHC, SDHAF2, MAX, TMEM127, нефрофиброматоз 1-го типа).</w:t>
      </w:r>
    </w:p>
    <w:p w:rsidR="008E3F15" w:rsidRDefault="005F449A">
      <w:pPr>
        <w:ind w:left="340" w:right="563"/>
      </w:pPr>
      <w:r>
        <w:t>Свободные метанефрины (неактивные продукты метилирования эпинефрина и норэпинефрина) плазмы.</w:t>
      </w:r>
    </w:p>
    <w:p w:rsidR="008E3F15" w:rsidRDefault="005F449A">
      <w:pPr>
        <w:ind w:left="340" w:right="15"/>
      </w:pPr>
      <w:r>
        <w:t>Фракционированные метанефрины (метанефрин, норметанефрин) в суточной моче (при нормальном уровне и высокой вероятности повторить в день приступа). Фракционированные катехоламины (эпинефрин, норэпинефрин) менее точны, чем метанефрины, но подтверждают диагно</w:t>
      </w:r>
      <w:r>
        <w:t>з при выраженном (&gt;2 раз) повышении. Уровень катехоламинов возрастает при остром заболевании, прием лекарств (антидепрессанты [трициклические антидепрессанты (ТЦА), блокаторы обратного захвата серотонина или норадреналина], антипсихотики, леводопа).</w:t>
      </w:r>
    </w:p>
    <w:p w:rsidR="008E3F15" w:rsidRDefault="005F449A">
      <w:pPr>
        <w:ind w:left="340" w:right="15"/>
      </w:pPr>
      <w:r>
        <w:t>КТ с к</w:t>
      </w:r>
      <w:r>
        <w:t>онтрастированием всего забрюшинного пространства, живота и таза в случае повышенного уровня метанефринов.</w:t>
      </w:r>
    </w:p>
    <w:p w:rsidR="008E3F15" w:rsidRDefault="005F449A">
      <w:pPr>
        <w:ind w:left="340" w:right="183"/>
      </w:pPr>
      <w:r>
        <w:t>Магнитно-резонансная томография (режим T2) для параганглиом головы, шеи или при невозможности проведения КТ с контрастированием.</w:t>
      </w:r>
    </w:p>
    <w:p w:rsidR="008E3F15" w:rsidRDefault="005F449A">
      <w:pPr>
        <w:spacing w:after="31"/>
        <w:ind w:left="340" w:right="15"/>
      </w:pPr>
      <w:r>
        <w:t>Изотопное сканировани</w:t>
      </w:r>
      <w:r>
        <w:t>е с мета-йодобензилгуанидином.</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48704" behindDoc="0" locked="0" layoutInCell="1" allowOverlap="1">
                <wp:simplePos x="0" y="0"/>
                <wp:positionH relativeFrom="column">
                  <wp:posOffset>209550</wp:posOffset>
                </wp:positionH>
                <wp:positionV relativeFrom="paragraph">
                  <wp:posOffset>-727173</wp:posOffset>
                </wp:positionV>
                <wp:extent cx="438150" cy="2038350"/>
                <wp:effectExtent l="0" t="0" r="0" b="0"/>
                <wp:wrapSquare wrapText="bothSides"/>
                <wp:docPr id="309442" name="Group 309442"/>
                <wp:cNvGraphicFramePr/>
                <a:graphic xmlns:a="http://schemas.openxmlformats.org/drawingml/2006/main">
                  <a:graphicData uri="http://schemas.microsoft.com/office/word/2010/wordprocessingGroup">
                    <wpg:wgp>
                      <wpg:cNvGrpSpPr/>
                      <wpg:grpSpPr>
                        <a:xfrm>
                          <a:off x="0" y="0"/>
                          <a:ext cx="438150" cy="2038350"/>
                          <a:chOff x="0" y="0"/>
                          <a:chExt cx="438150" cy="2038350"/>
                        </a:xfrm>
                      </wpg:grpSpPr>
                      <wps:wsp>
                        <wps:cNvPr id="14309" name="Shape 14309"/>
                        <wps:cNvSpPr/>
                        <wps:spPr>
                          <a:xfrm>
                            <a:off x="38100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12" name="Shape 14312"/>
                        <wps:cNvSpPr/>
                        <wps:spPr>
                          <a:xfrm>
                            <a:off x="38100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15" name="Shape 14315"/>
                        <wps:cNvSpPr/>
                        <wps:spPr>
                          <a:xfrm>
                            <a:off x="38100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805"/>
                                  <a:pt x="725" y="21134"/>
                                  <a:pt x="2175" y="17363"/>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17" name="Shape 14317"/>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19" name="Shape 14319"/>
                        <wps:cNvSpPr/>
                        <wps:spPr>
                          <a:xfrm>
                            <a:off x="38100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70"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22" name="Shape 14322"/>
                        <wps:cNvSpPr/>
                        <wps:spPr>
                          <a:xfrm>
                            <a:off x="38100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24" name="Shape 14324"/>
                        <wps:cNvSpPr/>
                        <wps:spPr>
                          <a:xfrm>
                            <a:off x="38100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26" name="Shape 14326"/>
                        <wps:cNvSpPr/>
                        <wps:spPr>
                          <a:xfrm>
                            <a:off x="381000" y="1524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28" name="Shape 14328"/>
                        <wps:cNvSpPr/>
                        <wps:spPr>
                          <a:xfrm>
                            <a:off x="381000" y="1676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30" name="Shape 14330"/>
                        <wps:cNvSpPr/>
                        <wps:spPr>
                          <a:xfrm>
                            <a:off x="381000" y="1828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664"/>
                                  <a:pt x="2175" y="39291"/>
                                </a:cubicBezTo>
                                <a:cubicBezTo>
                                  <a:pt x="725" y="35719"/>
                                  <a:pt x="0" y="32147"/>
                                  <a:pt x="0" y="28575"/>
                                </a:cubicBezTo>
                                <a:cubicBezTo>
                                  <a:pt x="0" y="24705"/>
                                  <a:pt x="725" y="20935"/>
                                  <a:pt x="2175" y="17562"/>
                                </a:cubicBezTo>
                                <a:cubicBezTo>
                                  <a:pt x="3625" y="14089"/>
                                  <a:pt x="5690" y="11013"/>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32" name="Shape 14332"/>
                        <wps:cNvSpPr/>
                        <wps:spPr>
                          <a:xfrm>
                            <a:off x="381000" y="1981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9442" style="width:34.5pt;height:160.5pt;position:absolute;mso-position-horizontal-relative:text;mso-position-horizontal:absolute;margin-left:16.5pt;mso-position-vertical-relative:text;margin-top:-57.2578pt;" coordsize="4381,20383">
                <v:shape id="Shape 14309" style="position:absolute;width:571;height:571;left:3810;top:0;" coordsize="57150,57150" path="m28575,0c32364,0,36009,595,39510,1885c43011,3373,46101,5457,48781,8136c51460,10815,53525,13990,54975,17363c56425,20935,57150,24705,57150,28575c57150,32246,56425,36016,54975,39390c53525,42863,51460,45839,48781,48617c46101,51197,43011,53280,39510,54868c36009,56257,32364,56952,28575,57150c24786,56952,21141,56257,17640,54868c14139,53280,11049,51197,8370,48617c5690,45839,3625,42664,2175,39291c725,35818,0,32246,0,28575c0,24705,725,20935,2175,17363c3625,13990,5690,10815,8370,8136c11049,5457,14139,3373,17640,1885c21141,595,24786,0,28575,0x">
                  <v:stroke weight="0pt" endcap="flat" joinstyle="miter" miterlimit="4" on="false" color="#000000" opacity="0"/>
                  <v:fill on="true" color="#333333"/>
                </v:shape>
                <v:shape id="Shape 14312" style="position:absolute;width:571;height:571;left:3810;top:3048;" coordsize="57150,57150" path="m28575,0c32364,0,36009,595,39510,1885c43011,3373,46101,5457,48781,8136c51460,10815,53525,13990,54975,17363c56425,20935,57150,24705,57150,28575c57150,32246,56425,36016,54975,39390c53525,42863,51460,45839,48781,48617c46101,51197,43011,53280,39510,54769c36009,56059,32364,56952,28575,57150c24786,56952,21141,56059,17640,54769c14139,53280,11049,51197,8370,48617c5690,45839,3625,42664,2175,39291c725,35818,0,32246,0,28575c0,24705,725,20935,2175,17363c3625,13990,5690,10815,8370,8136c11049,5457,14139,3373,17640,1885c21141,595,24786,0,28575,0x">
                  <v:stroke weight="0pt" endcap="flat" joinstyle="miter" miterlimit="4" on="false" color="#000000" opacity="0"/>
                  <v:fill on="true" color="#333333"/>
                </v:shape>
                <v:shape id="Shape 14315" style="position:absolute;width:571;height:571;left:3810;top:6096;" coordsize="57150,57150" path="m28575,0c32364,0,36009,695,39510,2084c43011,3373,46101,5457,48781,8136c51460,10815,53525,13990,54975,17363c56425,21134,57150,24805,57150,28575c57150,32246,56425,35818,54975,39390c53525,42863,51460,45839,48781,48617c46101,51197,43011,53280,39510,54769c36009,56059,32364,56952,28575,57150c24786,56952,21141,56059,17640,54769c14139,53280,11049,51197,8370,48617c5690,45839,3625,42664,2175,39291c725,35818,0,32246,0,28575c0,24805,725,21134,2175,17363c3625,13990,5690,10815,8370,8136c11049,5457,14139,3373,17640,2084c21141,695,24786,0,28575,0x">
                  <v:stroke weight="0pt" endcap="flat" joinstyle="miter" miterlimit="4" on="false" color="#000000" opacity="0"/>
                  <v:fill on="true" color="#333333"/>
                </v:shape>
                <v:shape id="Shape 14317" style="position:absolute;width:571;height:571;left:0;top:7620;" coordsize="57150,57150" path="m28575,0c32364,0,36009,695,39510,2084c43011,3373,46101,5457,48781,8136c51460,10815,53525,13990,54975,17363c56425,20935,57150,24705,57150,28575c57150,32246,56425,35818,54975,39390c53525,42863,51460,45839,48781,48617c46101,51197,43011,53280,39510,54769c36009,56257,32364,56952,28575,57150c24786,56952,21141,56257,17640,54769c14139,53280,11049,51197,8369,48617c5690,45839,3625,42863,2175,39390c725,35818,0,32246,0,28575c0,24705,725,20935,2175,17363c3625,13990,5690,10815,8369,8136c11049,5457,14139,3373,17640,1885c21141,595,24786,0,28575,0x">
                  <v:stroke weight="0pt" endcap="flat" joinstyle="miter" miterlimit="4" on="false" color="#000000" opacity="0"/>
                  <v:fill on="true" color="#333333"/>
                </v:shape>
                <v:shape id="Shape 14319" style="position:absolute;width:571;height:571;left:3810;top:9144;" coordsize="57150,57150" path="m28575,0c32364,0,36009,695,39510,2084c43011,3373,46101,5457,48781,8136c51460,10716,53525,13791,54975,17363c56425,20836,57150,24507,57150,28575c57150,32246,56425,35818,54975,39390c53525,42863,51460,45839,48781,48617c46101,51197,43011,53280,39510,54769c36009,56059,32364,56952,28575,57150c24786,56952,21141,56059,17640,54769c14139,53280,11049,51197,8370,48617c5690,45839,3625,42863,2175,39390c725,35818,0,32246,0,28575c0,24507,725,20836,2175,17363c3625,13791,5690,10716,8370,8136c11049,5457,14139,3373,17640,2084c21141,695,24786,0,28575,0x">
                  <v:stroke weight="0pt" endcap="flat" joinstyle="miter" miterlimit="4" on="false" color="#000000" opacity="0"/>
                  <v:fill on="true" color="#333333"/>
                </v:shape>
                <v:shape id="Shape 14322" style="position:absolute;width:571;height:571;left:3810;top:12192;"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868c14139,53280,11049,51197,8370,48617c5690,45839,3625,42863,2175,39390c725,35818,0,32246,0,28575c0,24705,725,20935,2175,17562c3625,14089,5690,11013,8370,8334c11049,5655,14139,3572,17640,2084c21141,695,24786,0,28575,0x">
                  <v:stroke weight="0pt" endcap="flat" joinstyle="miter" miterlimit="4" on="false" color="#000000" opacity="0"/>
                  <v:fill on="true" color="#333333"/>
                </v:shape>
                <v:shape id="Shape 14324" style="position:absolute;width:571;height:571;left:3810;top:13716;" coordsize="57150,57150" path="m28575,0c32364,0,36009,695,39510,2084c43011,3572,46101,5655,48781,8334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334c11049,5655,14139,3572,17640,2084c21141,695,24786,0,28575,0x">
                  <v:stroke weight="0pt" endcap="flat" joinstyle="miter" miterlimit="4" on="false" color="#000000" opacity="0"/>
                  <v:fill on="true" color="#333333"/>
                </v:shape>
                <v:shape id="Shape 14326" style="position:absolute;width:571;height:571;left:3810;top:15240;"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868c14139,53280,11049,51197,8370,48617c5690,45839,3625,42863,2175,39390c725,35818,0,32246,0,28575c0,24705,725,20935,2175,17562c3625,14089,5690,11013,8370,8334c11049,5655,14139,3572,17640,2084c21141,695,24786,0,28575,0x">
                  <v:stroke weight="0pt" endcap="flat" joinstyle="miter" miterlimit="4" on="false" color="#000000" opacity="0"/>
                  <v:fill on="true" color="#333333"/>
                </v:shape>
                <v:shape id="Shape 14328" style="position:absolute;width:571;height:571;left:3810;top:16764;" coordsize="57150,57150" path="m28575,0c32364,0,36009,695,39510,2084c43011,3572,46101,5655,48781,8334c51460,10815,53525,13990,54975,17363c56425,20836,57150,24507,57150,28575c57150,32246,56425,35818,54975,39390c53525,42863,51460,45938,48781,48617c46101,51197,43011,53280,39510,54868c36009,56257,32364,56952,28575,57150c24786,56952,21141,56257,17640,54868c14139,53280,11049,51197,8370,48617c5690,45938,3625,42863,2175,39390c725,35818,0,32246,0,28575c0,24507,725,20836,2175,17363c3625,13990,5690,10815,8370,8334c11049,5655,14139,3572,17640,2084c21141,695,24786,0,28575,0x">
                  <v:stroke weight="0pt" endcap="flat" joinstyle="miter" miterlimit="4" on="false" color="#000000" opacity="0"/>
                  <v:fill on="true" color="#333333"/>
                </v:shape>
                <v:shape id="Shape 14330" style="position:absolute;width:571;height:571;left:3810;top:18288;" coordsize="57150,57150" path="m28575,0c32364,0,36009,695,39510,2084c43011,3572,46101,5655,48781,8334c51460,11013,53525,14089,54975,17562c56425,20935,57150,24705,57150,28575c57150,32147,56425,35719,54975,39291c53525,42664,51460,45839,48781,48617c46101,51197,43011,53280,39510,54769c36009,56257,32364,56952,28575,57150c24786,56952,21141,56257,17640,54868c14139,53280,11049,51197,8370,48617c5690,45839,3625,42664,2175,39291c725,35719,0,32147,0,28575c0,24705,725,20935,2175,17562c3625,14089,5690,11013,8370,8334c11049,5655,14139,3572,17640,2084c21141,695,24786,0,28575,0x">
                  <v:stroke weight="0pt" endcap="flat" joinstyle="miter" miterlimit="4" on="false" color="#000000" opacity="0"/>
                  <v:fill on="true" color="#333333"/>
                </v:shape>
                <v:shape id="Shape 14332" style="position:absolute;width:571;height:571;left:3810;top:19812;" coordsize="57150,57150" path="m28575,0c32364,0,36009,695,39510,2084c43011,3572,46101,5655,48781,8334c51460,10815,53525,13990,54975,17363c56425,20836,57150,24507,57150,28575c57150,32246,56425,35818,54975,39390c53525,42863,51460,45938,48781,48617c46101,51296,43011,53380,39510,54868c36009,56257,32364,56952,28575,57150c24786,56952,21141,56257,17640,54868c14139,53380,11049,51296,8370,48617c5690,45938,3625,42863,2175,39390c725,35818,0,32246,0,28575c0,24507,725,20836,2175,17363c3625,13990,5690,10815,8370,8334c11049,5655,14139,3572,17640,2084c21141,695,24786,0,28575,0x">
                  <v:stroke weight="0pt" endcap="flat" joinstyle="miter" miterlimit="4" on="false" color="#000000" opacity="0"/>
                  <v:fill on="true" color="#333333"/>
                </v:shape>
                <w10:wrap type="square"/>
              </v:group>
            </w:pict>
          </mc:Fallback>
        </mc:AlternateContent>
      </w:r>
      <w:r>
        <w:rPr>
          <w:i/>
        </w:rPr>
        <w:t>Синдром Кушинга.</w:t>
      </w:r>
    </w:p>
    <w:p w:rsidR="008E3F15" w:rsidRDefault="005F449A">
      <w:pPr>
        <w:ind w:left="340" w:right="15"/>
      </w:pPr>
      <w:r>
        <w:t>Быстрый набор веса, слабость проксимальных мышц, полиурия, полидипсия, депрессия.</w:t>
      </w:r>
    </w:p>
    <w:p w:rsidR="008E3F15" w:rsidRDefault="005F449A">
      <w:pPr>
        <w:spacing w:after="31"/>
        <w:ind w:left="340" w:right="15"/>
      </w:pPr>
      <w:r>
        <w:t>Ожирение центральное, фиолетовые стрии, гирсутизм, гипергликемия, инфекции.</w:t>
      </w:r>
    </w:p>
    <w:p w:rsidR="008E3F15" w:rsidRDefault="005F449A">
      <w:pPr>
        <w:spacing w:after="31"/>
        <w:ind w:left="340" w:right="15"/>
      </w:pPr>
      <w:r>
        <w:t>Экскреция свободного кортизола в моче &gt;40 мкг/сут</w:t>
      </w:r>
      <w:r>
        <w:t xml:space="preserve"> (лучше повторно).</w:t>
      </w:r>
    </w:p>
    <w:p w:rsidR="008E3F15" w:rsidRDefault="005F449A">
      <w:pPr>
        <w:spacing w:after="31"/>
        <w:ind w:left="340" w:right="15"/>
      </w:pPr>
      <w:r>
        <w:t>Супрессивный тест с 1 мг дексаметазона.</w:t>
      </w:r>
    </w:p>
    <w:p w:rsidR="008E3F15" w:rsidRDefault="005F449A">
      <w:pPr>
        <w:spacing w:after="31"/>
        <w:ind w:left="340" w:right="15"/>
      </w:pPr>
      <w:r>
        <w:t>Кортизол слюны в полночь.</w:t>
      </w:r>
    </w:p>
    <w:p w:rsidR="008E3F15" w:rsidRDefault="005F449A">
      <w:pPr>
        <w:spacing w:after="31"/>
        <w:ind w:left="340" w:right="15"/>
      </w:pPr>
      <w:r>
        <w:t>Кортикотропин плазмы.</w:t>
      </w:r>
    </w:p>
    <w:p w:rsidR="008E3F15" w:rsidRDefault="005F449A">
      <w:pPr>
        <w:spacing w:after="345"/>
        <w:ind w:left="340" w:right="15"/>
      </w:pPr>
      <w:r>
        <w:t>КТ живота/грудной клетки, надпочечников, гипофиза.</w:t>
      </w:r>
    </w:p>
    <w:p w:rsidR="008E3F15" w:rsidRDefault="005F449A">
      <w:pPr>
        <w:pStyle w:val="Heading1"/>
        <w:ind w:left="2"/>
      </w:pPr>
      <w:r>
        <w:t>Часть I. Сердечно-сосудистые болезни</w:t>
      </w:r>
    </w:p>
    <w:p w:rsidR="008E3F15" w:rsidRDefault="005F449A">
      <w:pPr>
        <w:spacing w:after="31"/>
        <w:ind w:left="2" w:right="15"/>
      </w:pPr>
      <w:r>
        <w:t>Лечение</w:t>
      </w:r>
    </w:p>
    <w:p w:rsidR="008E3F15" w:rsidRDefault="005F449A">
      <w:pPr>
        <w:spacing w:after="179"/>
        <w:ind w:left="2" w:right="15"/>
      </w:pPr>
      <w:r>
        <w:t>Оптимальный образ жизни и немедикаментозные мероприят</w:t>
      </w:r>
      <w:r>
        <w:t>ия способствуют снижению АД и включают:</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849728"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309445" name="Group 309445"/>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4338" name="Shape 14338"/>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40" name="Shape 1434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43" name="Shape 14343"/>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45" name="Shape 14345"/>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9445" style="width:4.5pt;height:52.5pt;position:absolute;mso-position-horizontal-relative:text;mso-position-horizontal:absolute;margin-left:16.5pt;mso-position-vertical-relative:text;margin-top:2.74219pt;" coordsize="571,6667">
                <v:shape id="Shape 14338"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356,32364,57150,28575,57150c24786,57150,21141,56356,17640,54769c14139,53380,11049,51296,8369,48617c5690,45938,3625,42863,2175,39291c725,35818,0,32246,0,28575c0,24705,725,20935,2175,17562c3625,13990,5690,10815,8369,8334c11049,5457,14139,3373,17640,2084c21141,695,24786,0,28575,0x">
                  <v:stroke weight="0pt" endcap="flat" joinstyle="miter" miterlimit="4" on="false" color="#000000" opacity="0"/>
                  <v:fill on="true" color="#333333"/>
                </v:shape>
                <v:shape id="Shape 14340" style="position:absolute;width:571;height:571;left:0;top:1524;"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4" on="false" color="#000000" opacity="0"/>
                  <v:fill on="true" color="#333333"/>
                </v:shape>
                <v:shape id="Shape 14343" style="position:absolute;width:571;height:571;left:0;top:4572;"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4" on="false" color="#000000" opacity="0"/>
                  <v:fill on="true" color="#333333"/>
                </v:shape>
                <v:shape id="Shape 14345" style="position:absolute;width:571;height:571;left:0;top:6096;" coordsize="57150,57150" path="m28575,0c32364,0,36009,695,39510,2084c43011,3373,46101,5457,48781,8136c51460,10815,53525,13990,54975,17562c56425,20935,57150,24705,57150,28575c57150,32246,56425,35818,54975,39291c53525,42863,51460,45938,48781,48617c46101,51296,43011,53380,39510,54769c36009,56356,32364,57150,28575,57150c24786,57150,21141,56356,17640,54769c14139,53380,11049,51296,8369,48617c5690,45938,3625,42863,2175,39291c725,35818,0,32246,0,28575c0,24705,725,20935,2175,17562c3625,13990,5690,10815,8369,8136c11049,5457,14139,3373,17640,2084c21141,695,24786,0,28575,0x">
                  <v:stroke weight="0pt" endcap="flat" joinstyle="miter" miterlimit="4" on="false" color="#000000" opacity="0"/>
                  <v:fill on="true" color="#333333"/>
                </v:shape>
                <w10:wrap type="square"/>
              </v:group>
            </w:pict>
          </mc:Fallback>
        </mc:AlternateContent>
      </w:r>
      <w:r>
        <w:t>физические нагрузки ≥30 мин/сут (динамические аэробные, изометрические); ограничение соли до 5–6 г/сут оптимально для снижения АД, но не смертности (DASHSodium);</w:t>
      </w:r>
    </w:p>
    <w:p w:rsidR="008E3F15" w:rsidRDefault="005F449A">
      <w:pPr>
        <w:spacing w:after="179"/>
        <w:ind w:left="340" w:right="5029"/>
      </w:pPr>
      <w:r>
        <w:t>диеты: средиземноморская, DASH; снижение массы тела при ожирении.</w:t>
      </w:r>
    </w:p>
    <w:p w:rsidR="008E3F15" w:rsidRDefault="005F449A">
      <w:pPr>
        <w:ind w:left="2" w:right="15"/>
      </w:pPr>
      <w:r>
        <w:t>Только немедикаментозное лечение артериальной гипертензии имеет ограниченную пользу, что связано с неточностями в оценке АД, невысокой приверженностью к диете и физическим нагрузкам, а также</w:t>
      </w:r>
      <w:r>
        <w:t xml:space="preserve"> неизбежно прогрессирующим повышением АД.</w:t>
      </w:r>
    </w:p>
    <w:p w:rsidR="008E3F15" w:rsidRDefault="005F449A">
      <w:pPr>
        <w:spacing w:after="179"/>
        <w:ind w:left="2" w:right="15"/>
      </w:pPr>
      <w:r>
        <w:t>У пациентов с артериальной гипертензией следует стремиться добиваться следующих уровней АД (ESC/ESH):</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50752" behindDoc="0" locked="0" layoutInCell="1" allowOverlap="1">
                <wp:simplePos x="0" y="0"/>
                <wp:positionH relativeFrom="column">
                  <wp:posOffset>209550</wp:posOffset>
                </wp:positionH>
                <wp:positionV relativeFrom="paragraph">
                  <wp:posOffset>34775</wp:posOffset>
                </wp:positionV>
                <wp:extent cx="57150" cy="361950"/>
                <wp:effectExtent l="0" t="0" r="0" b="0"/>
                <wp:wrapSquare wrapText="bothSides"/>
                <wp:docPr id="309446" name="Group 309446"/>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4352" name="Shape 14352"/>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54" name="Shape 1435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356" name="Shape 14356"/>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9446" style="width:4.5pt;height:28.5pt;position:absolute;mso-position-horizontal-relative:text;mso-position-horizontal:absolute;margin-left:16.5pt;mso-position-vertical-relative:text;margin-top:2.73822pt;" coordsize="571,3619">
                <v:shape id="Shape 14352" style="position:absolute;width:571;height:571;left:0;top:0;" coordsize="57150,57150" path="m28575,0c32364,0,36009,595,39510,1885c43011,3373,46101,5457,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4354" style="position:absolute;width:571;height:571;left:0;top:1524;" coordsize="57150,57150" path="m28575,0c32364,0,36009,695,39510,2084c43011,3572,46101,5655,48781,8334c51460,10815,53525,13990,54975,17363c56425,20935,57150,24705,57150,28575c57150,32246,56425,36016,54975,39390c53525,42863,51460,45839,48781,48617c46101,51197,43011,53280,39510,54769c36009,56059,32364,56952,28575,57150c24786,56952,21141,56059,17640,54769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4356" style="position:absolute;width:571;height:571;left:0;top:3048;" coordsize="57150,57150" path="m28575,0c32364,0,36009,595,39510,1885c43011,3373,46101,5457,48781,8334c51460,10815,53525,13990,54975,17363c56425,20935,57150,24705,57150,28575c57150,32246,56425,36016,54975,39390c53525,42863,51460,45839,48781,48617c46101,51197,43011,53280,39510,54769c36009,56257,32364,56952,28575,57150c24786,56952,21141,56257,17640,54769c14139,53280,11049,51197,8369,48617c5690,45839,3625,42863,2175,39390c725,36016,0,32246,0,28575c0,24705,725,20935,2175,17363c3625,13990,5690,10815,8369,8334c11049,5457,14139,3373,17640,1885c21141,595,24786,0,28575,0x">
                  <v:stroke weight="0pt" endcap="flat" joinstyle="miter" miterlimit="4" on="false" color="#000000" opacity="0"/>
                  <v:fill on="true" color="#333333"/>
                </v:shape>
                <w10:wrap type="square"/>
              </v:group>
            </w:pict>
          </mc:Fallback>
        </mc:AlternateContent>
      </w:r>
      <w:r>
        <w:t>&lt;140/90 мм рт.ст. у всех пациентов;</w:t>
      </w:r>
    </w:p>
    <w:p w:rsidR="008E3F15" w:rsidRDefault="005F449A">
      <w:pPr>
        <w:spacing w:after="31"/>
        <w:ind w:left="340" w:right="15"/>
      </w:pPr>
      <w:r>
        <w:t>130–139/&lt;80 мм рт.ст. у пациентов 65 лет и старше;</w:t>
      </w:r>
    </w:p>
    <w:p w:rsidR="008E3F15" w:rsidRDefault="005F449A">
      <w:pPr>
        <w:spacing w:after="165"/>
        <w:ind w:left="340" w:right="15"/>
      </w:pPr>
      <w:r>
        <w:t>120–129/&lt;80 мм рт.ст. при хорошей переносимости у пациентов до 65 лет.</w:t>
      </w:r>
    </w:p>
    <w:p w:rsidR="008E3F15" w:rsidRDefault="005F449A">
      <w:pPr>
        <w:ind w:left="2" w:right="15"/>
      </w:pPr>
      <w:r>
        <w:t>Снижение АД позволяет уменьшить отдаленные риски ССЗ, при этом важно увеличить время в целевом диапазоне АД (Fatani N. et al., 2021).</w:t>
      </w:r>
    </w:p>
    <w:p w:rsidR="008E3F15" w:rsidRDefault="005F449A">
      <w:pPr>
        <w:ind w:left="2" w:right="15"/>
      </w:pPr>
      <w:r>
        <w:t xml:space="preserve">Польза снижения АД до целевых показателей &lt;130–140 </w:t>
      </w:r>
      <w:r>
        <w:t xml:space="preserve">мм рт.ст. более очевидна у пациентов с высоким сердечно-сосудистым риском (Phillips R. et al., 2018; SPRINT). При небольшом повышении АД до 160/100 мм рт.ст. у пациентов низкого риска польза фармакологического лечения убедительно не подтверждена (Sheppard </w:t>
      </w:r>
      <w:r>
        <w:t>J. et al., 2018).</w:t>
      </w:r>
    </w:p>
    <w:p w:rsidR="008E3F15" w:rsidRDefault="005F449A">
      <w:pPr>
        <w:ind w:left="2" w:right="15"/>
      </w:pPr>
      <w:r>
        <w:t>Важно эффективно контролировать также и ночное АДс, которое независимо повышает риск ССЗ (JAMP).</w:t>
      </w:r>
    </w:p>
    <w:p w:rsidR="008E3F15" w:rsidRDefault="005F449A">
      <w:pPr>
        <w:ind w:left="2" w:right="15"/>
      </w:pPr>
      <w:r>
        <w:t>Медикаментозное лечение с достижением уровня &lt;120 мм рт.ст. может быть целесообразным у пациентов с гипертензией белого халата, имеющих высок</w:t>
      </w:r>
      <w:r>
        <w:t>ий риск ССЗ. Достижение более низкого АД сопровождается повышением частоты побочных эффектов, проблемами взаимодействия лекарств, ухудшением самочувствия при более низком АД, увеличением затрат на лечение (Cochrane Reviews).</w:t>
      </w:r>
    </w:p>
    <w:p w:rsidR="008E3F15" w:rsidRDefault="005F449A">
      <w:pPr>
        <w:ind w:left="2" w:right="15"/>
      </w:pPr>
      <w:r>
        <w:t xml:space="preserve">Наряду с терапией артериальной </w:t>
      </w:r>
      <w:r>
        <w:t>гипертензии важно контролировать другие факторы риска. Например, частота наличия 4 и более модифицируемых факторов риска повышается от 28% у пациентов с нормальным АД до 48% при артериальной гипертензии более 160/100 мм рт.ст.</w:t>
      </w:r>
    </w:p>
    <w:p w:rsidR="008E3F15" w:rsidRDefault="005F449A">
      <w:pPr>
        <w:spacing w:after="31"/>
        <w:ind w:left="2" w:right="15"/>
      </w:pPr>
      <w:r>
        <w:t>(NHANES).</w:t>
      </w:r>
    </w:p>
    <w:p w:rsidR="008E3F15" w:rsidRDefault="005F449A">
      <w:pPr>
        <w:spacing w:after="31"/>
        <w:ind w:left="2" w:right="386"/>
      </w:pPr>
      <w:r>
        <w:rPr>
          <w:b/>
        </w:rPr>
        <w:t>Медикаментозное леч</w:t>
      </w:r>
      <w:r>
        <w:rPr>
          <w:b/>
        </w:rPr>
        <w:t xml:space="preserve">ение. </w:t>
      </w:r>
      <w:r>
        <w:t>Начинают антигипертензивную терапию обычно с помощью БРА, иАПФ, блокаторов кальциевых каналов, диуретиков (</w:t>
      </w:r>
      <w:r>
        <w:rPr>
          <w:b/>
        </w:rPr>
        <w:t>табл. 12.4</w:t>
      </w:r>
      <w:r>
        <w:t xml:space="preserve">). В последних рекомендациях ESH предложено сразу назначать комбинацию двух препаратов. </w:t>
      </w:r>
      <w:r>
        <w:rPr>
          <w:b/>
        </w:rPr>
        <w:t xml:space="preserve">Таблица 12.4. </w:t>
      </w:r>
      <w:r>
        <w:t>Дозы препаратов для лечения арт</w:t>
      </w:r>
      <w:r>
        <w:t>ериальной гипертензии (ACC/AHA, с дополнениями)</w:t>
      </w:r>
    </w:p>
    <w:tbl>
      <w:tblPr>
        <w:tblStyle w:val="TableGrid"/>
        <w:tblW w:w="10485" w:type="dxa"/>
        <w:tblInd w:w="30" w:type="dxa"/>
        <w:tblCellMar>
          <w:top w:w="58" w:type="dxa"/>
          <w:left w:w="40" w:type="dxa"/>
          <w:bottom w:w="0" w:type="dxa"/>
          <w:right w:w="100" w:type="dxa"/>
        </w:tblCellMar>
        <w:tblLook w:val="04A0" w:firstRow="1" w:lastRow="0" w:firstColumn="1" w:lastColumn="0" w:noHBand="0" w:noVBand="1"/>
      </w:tblPr>
      <w:tblGrid>
        <w:gridCol w:w="3585"/>
        <w:gridCol w:w="2820"/>
        <w:gridCol w:w="2160"/>
        <w:gridCol w:w="1920"/>
      </w:tblGrid>
      <w:tr w:rsidR="008E3F15">
        <w:trPr>
          <w:trHeight w:val="570"/>
        </w:trPr>
        <w:tc>
          <w:tcPr>
            <w:tcW w:w="35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Группа</w:t>
            </w:r>
          </w:p>
        </w:tc>
        <w:tc>
          <w:tcPr>
            <w:tcW w:w="28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Препараты</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Обычная доза, мг</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Число приемов</w:t>
            </w:r>
          </w:p>
        </w:tc>
      </w:tr>
      <w:tr w:rsidR="008E3F15">
        <w:trPr>
          <w:trHeight w:val="330"/>
        </w:trPr>
        <w:tc>
          <w:tcPr>
            <w:tcW w:w="3585" w:type="dxa"/>
            <w:vMerge w:val="restart"/>
            <w:tcBorders>
              <w:top w:val="double" w:sz="6" w:space="0" w:color="000000"/>
              <w:left w:val="double" w:sz="6" w:space="0" w:color="000000"/>
              <w:bottom w:val="nil"/>
              <w:right w:val="double" w:sz="6" w:space="0" w:color="000000"/>
            </w:tcBorders>
          </w:tcPr>
          <w:p w:rsidR="008E3F15" w:rsidRDefault="005F449A">
            <w:pPr>
              <w:spacing w:after="0" w:line="259" w:lineRule="auto"/>
              <w:ind w:left="5" w:right="0" w:firstLine="0"/>
            </w:pPr>
            <w:r>
              <w:t>иАПФ</w:t>
            </w: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Эналаприл</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5–40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308"/>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Лизиноприл</w:t>
            </w:r>
          </w:p>
        </w:tc>
        <w:tc>
          <w:tcPr>
            <w:tcW w:w="216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10–40</w:t>
            </w:r>
          </w:p>
        </w:tc>
        <w:tc>
          <w:tcPr>
            <w:tcW w:w="19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8" w:right="0" w:firstLine="0"/>
            </w:pPr>
            <w:r>
              <w:t>1</w:t>
            </w:r>
          </w:p>
        </w:tc>
      </w:tr>
      <w:tr w:rsidR="008E3F15">
        <w:trPr>
          <w:trHeight w:val="68"/>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6900"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8"/>
        </w:trPr>
        <w:tc>
          <w:tcPr>
            <w:tcW w:w="3585" w:type="dxa"/>
            <w:vMerge w:val="restart"/>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6900" w:type="dxa"/>
            <w:gridSpan w:val="3"/>
            <w:tcBorders>
              <w:top w:val="nil"/>
              <w:left w:val="single" w:sz="6" w:space="0" w:color="000000"/>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08"/>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Рамиприл</w:t>
            </w:r>
          </w:p>
        </w:tc>
        <w:tc>
          <w:tcPr>
            <w:tcW w:w="216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w:t>
            </w:r>
          </w:p>
        </w:tc>
        <w:tc>
          <w:tcPr>
            <w:tcW w:w="19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270"/>
        </w:trPr>
        <w:tc>
          <w:tcPr>
            <w:tcW w:w="0" w:type="auto"/>
            <w:vMerge/>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3" w:right="0" w:firstLine="0"/>
            </w:pPr>
            <w:r>
              <w:t>Периндоприл</w:t>
            </w:r>
          </w:p>
        </w:tc>
        <w:tc>
          <w:tcPr>
            <w:tcW w:w="2160" w:type="dxa"/>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0" w:right="0" w:firstLine="0"/>
            </w:pPr>
            <w:r>
              <w:t>4–16</w:t>
            </w:r>
          </w:p>
        </w:tc>
        <w:tc>
          <w:tcPr>
            <w:tcW w:w="1920" w:type="dxa"/>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8" w:right="0" w:firstLine="0"/>
            </w:pPr>
            <w:r>
              <w:t>1</w:t>
            </w:r>
          </w:p>
        </w:tc>
      </w:tr>
      <w:tr w:rsidR="008E3F15">
        <w:trPr>
          <w:trHeight w:val="83"/>
        </w:trPr>
        <w:tc>
          <w:tcPr>
            <w:tcW w:w="10485" w:type="dxa"/>
            <w:gridSpan w:val="4"/>
            <w:tcBorders>
              <w:top w:val="double" w:sz="6" w:space="0" w:color="000000"/>
              <w:left w:val="single" w:sz="6" w:space="0" w:color="000000"/>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08"/>
        </w:trPr>
        <w:tc>
          <w:tcPr>
            <w:tcW w:w="3585" w:type="dxa"/>
            <w:vMerge w:val="restart"/>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БРА</w:t>
            </w:r>
          </w:p>
        </w:tc>
        <w:tc>
          <w:tcPr>
            <w:tcW w:w="28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Кандесартан</w:t>
            </w:r>
          </w:p>
        </w:tc>
        <w:tc>
          <w:tcPr>
            <w:tcW w:w="216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8–32</w:t>
            </w:r>
          </w:p>
        </w:tc>
        <w:tc>
          <w:tcPr>
            <w:tcW w:w="19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Валсартан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80–320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Лозартан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50–100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570"/>
        </w:trPr>
        <w:tc>
          <w:tcPr>
            <w:tcW w:w="35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Блокаторы кальциевых каналов</w:t>
            </w: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Нифедипин продленный</w:t>
            </w:r>
          </w:p>
        </w:tc>
        <w:tc>
          <w:tcPr>
            <w:tcW w:w="21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30–180</w:t>
            </w:r>
          </w:p>
        </w:tc>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Амлодипин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Лерканидипин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10–20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Фелодипин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Верапамил</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40–80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3</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single" w:sz="6" w:space="0" w:color="000000"/>
              <w:left w:val="nil"/>
              <w:bottom w:val="single" w:sz="6" w:space="0" w:color="000000"/>
              <w:right w:val="nil"/>
            </w:tcBorders>
          </w:tcPr>
          <w:p w:rsidR="008E3F15" w:rsidRDefault="005F449A">
            <w:pPr>
              <w:spacing w:after="0" w:line="259" w:lineRule="auto"/>
              <w:ind w:left="3" w:right="0" w:firstLine="0"/>
              <w:jc w:val="both"/>
            </w:pPr>
            <w:r>
              <w:rPr>
                <w:bdr w:val="single" w:sz="12" w:space="0" w:color="000000"/>
              </w:rPr>
              <w:t>Верапамил продленный</w:t>
            </w:r>
          </w:p>
        </w:tc>
        <w:tc>
          <w:tcPr>
            <w:tcW w:w="216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120–480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330"/>
        </w:trPr>
        <w:tc>
          <w:tcPr>
            <w:tcW w:w="35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Диуретики</w:t>
            </w:r>
          </w:p>
        </w:tc>
        <w:tc>
          <w:tcPr>
            <w:tcW w:w="28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Торасемид</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Гидрохлоротиазид</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25–50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Индапамид</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1,25–2,5</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Хлорталидон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12,5–25</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35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аМКР</w:t>
            </w: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Спиронолактон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Эплеренон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50–100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330"/>
        </w:trPr>
        <w:tc>
          <w:tcPr>
            <w:tcW w:w="35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β-Адреноблокаторы</w:t>
            </w: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Бисопролол</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Карведилол</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12,5–50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2</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single" w:sz="6" w:space="0" w:color="000000"/>
              <w:left w:val="single" w:sz="6" w:space="0" w:color="000000"/>
              <w:bottom w:val="single" w:sz="6" w:space="0" w:color="000000"/>
              <w:right w:val="nil"/>
            </w:tcBorders>
          </w:tcPr>
          <w:p w:rsidR="008E3F15" w:rsidRDefault="005F449A">
            <w:pPr>
              <w:spacing w:after="0" w:line="259" w:lineRule="auto"/>
              <w:ind w:left="3" w:right="0" w:firstLine="0"/>
            </w:pPr>
            <w:r>
              <w:rPr>
                <w:bdr w:val="single" w:sz="12" w:space="0" w:color="000000"/>
              </w:rPr>
              <w:t>Метопролола сукцинат</w:t>
            </w:r>
          </w:p>
        </w:tc>
        <w:tc>
          <w:tcPr>
            <w:tcW w:w="216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50–200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Метопролола тартрат</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100–400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2</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Атенолол</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r w:rsidR="008E3F15">
        <w:trPr>
          <w:trHeight w:val="330"/>
        </w:trPr>
        <w:tc>
          <w:tcPr>
            <w:tcW w:w="35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Другие препараты</w:t>
            </w: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Доксазозин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1–8</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Метилдопа</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250–1000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2</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Клонидин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0,075–0,75</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2</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Моксонидин</w:t>
            </w:r>
          </w:p>
        </w:tc>
        <w:tc>
          <w:tcPr>
            <w:tcW w:w="21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400–800</w:t>
            </w:r>
          </w:p>
        </w:tc>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1–2</w:t>
            </w:r>
          </w:p>
        </w:tc>
      </w:tr>
    </w:tbl>
    <w:p w:rsidR="008E3F15" w:rsidRDefault="005F449A">
      <w:pPr>
        <w:spacing w:after="359"/>
        <w:ind w:left="2" w:right="146"/>
      </w:pPr>
      <w:r>
        <w:t>Снижение АД является определяющим фактором, влияющим на риски сердечно-сосудистых событий и смертность. Основные классы препаратов (ингибиторы ренин-ангиотензиновой системы, блокаторы кальциевых каналов, тиазиды, β-адреноблокаторы) не отличаются по влиянию</w:t>
      </w:r>
      <w:r>
        <w:t xml:space="preserve"> на общую смертность (Cochrane Reviews). Однако снижение рисков различных заболеваний может отличаться, например, блокаторы кальциевых каналов и тиазиды могут лучше предупреждать инсульты, нежели ингибиторы ренин-ангиотензиновой системы. Ограничивают приме</w:t>
      </w:r>
      <w:r>
        <w:t>нение препаратов и нередкие побочные эффекты, например отеки ног у дигидропиридинов или кашель у иАПФ. Последнее приводит к частому предпочтению БРА.</w:t>
      </w:r>
    </w:p>
    <w:p w:rsidR="008E3F15" w:rsidRDefault="005F449A">
      <w:pPr>
        <w:pStyle w:val="Heading1"/>
        <w:ind w:left="2"/>
      </w:pPr>
      <w:r>
        <w:t>Часть I. Сердечно-сосудистые болезни</w:t>
      </w:r>
    </w:p>
    <w:p w:rsidR="008E3F15" w:rsidRDefault="005F449A">
      <w:pPr>
        <w:ind w:left="2" w:right="15"/>
      </w:pPr>
      <w:r>
        <w:t>Если АД выше на 20/10 мм рт.ст. от целевого, то целесообразным считаю</w:t>
      </w:r>
      <w:r>
        <w:t>т назначение сразу двух антигипертензивных препаратов (ингибиторы ренин-ангиотензиновой системы + антагонист кальция или диуретик). Добиваться большего снижения АД у пациентов с резистентной гипертензией помогает домашнее самоизмерение АД (TASMINH4). Важно</w:t>
      </w:r>
      <w:r>
        <w:t>е значение для эффективного лечения имеет индивидуальный подход, включающий титрование дозы антигипертензивных препаратов (медленное повышение дозы с интервалом в 2 нед), подбор эффективного лекарства с активным участием пациента на основе домашнего монито</w:t>
      </w:r>
      <w:r>
        <w:t>рирования АД (</w:t>
      </w:r>
      <w:r>
        <w:rPr>
          <w:b/>
        </w:rPr>
        <w:t>рис. 12.2</w:t>
      </w:r>
      <w:r>
        <w:t>, Mills K. et al., 2018).</w:t>
      </w:r>
    </w:p>
    <w:p w:rsidR="008E3F15" w:rsidRDefault="005F449A">
      <w:pPr>
        <w:spacing w:after="65" w:line="259" w:lineRule="auto"/>
        <w:ind w:left="0" w:right="0" w:firstLine="0"/>
      </w:pPr>
      <w:r>
        <w:rPr>
          <w:noProof/>
        </w:rPr>
        <w:drawing>
          <wp:inline distT="0" distB="0" distL="0" distR="0">
            <wp:extent cx="5057775" cy="5114925"/>
            <wp:effectExtent l="0" t="0" r="0" b="0"/>
            <wp:docPr id="14694" name="Picture 14694"/>
            <wp:cNvGraphicFramePr/>
            <a:graphic xmlns:a="http://schemas.openxmlformats.org/drawingml/2006/main">
              <a:graphicData uri="http://schemas.openxmlformats.org/drawingml/2006/picture">
                <pic:pic xmlns:pic="http://schemas.openxmlformats.org/drawingml/2006/picture">
                  <pic:nvPicPr>
                    <pic:cNvPr id="14694" name="Picture 14694"/>
                    <pic:cNvPicPr/>
                  </pic:nvPicPr>
                  <pic:blipFill>
                    <a:blip r:embed="rId130"/>
                    <a:stretch>
                      <a:fillRect/>
                    </a:stretch>
                  </pic:blipFill>
                  <pic:spPr>
                    <a:xfrm>
                      <a:off x="0" y="0"/>
                      <a:ext cx="5057775" cy="5114925"/>
                    </a:xfrm>
                    <a:prstGeom prst="rect">
                      <a:avLst/>
                    </a:prstGeom>
                  </pic:spPr>
                </pic:pic>
              </a:graphicData>
            </a:graphic>
          </wp:inline>
        </w:drawing>
      </w:r>
    </w:p>
    <w:p w:rsidR="008E3F15" w:rsidRDefault="005F449A">
      <w:pPr>
        <w:spacing w:after="31"/>
        <w:ind w:left="2" w:right="15"/>
      </w:pPr>
      <w:r>
        <w:rPr>
          <w:b/>
        </w:rPr>
        <w:t xml:space="preserve">Рис. 12.2. </w:t>
      </w:r>
      <w:r>
        <w:t>Алгоритм подбора антигипертензивных препаратов</w:t>
      </w:r>
    </w:p>
    <w:p w:rsidR="008E3F15" w:rsidRDefault="005F449A">
      <w:pPr>
        <w:ind w:left="2" w:right="102"/>
      </w:pPr>
      <w:r>
        <w:t>Вечерний прием антигипертензивных препаратов, по сравнению с традиционным утренним, может улучшить контроль АД ночью и в утренние часы и, возможно, снизить риск ССЗ (Hygia Chronotherapy Trial). Эффективность приема АСК для первичной профилактики ССЗ не док</w:t>
      </w:r>
      <w:r>
        <w:t>азана.</w:t>
      </w:r>
    </w:p>
    <w:p w:rsidR="008E3F15" w:rsidRDefault="005F449A">
      <w:pPr>
        <w:ind w:left="2" w:right="522"/>
      </w:pPr>
      <w:r>
        <w:rPr>
          <w:b/>
        </w:rPr>
        <w:t xml:space="preserve">Резистентная гипертензия. </w:t>
      </w:r>
      <w:r>
        <w:t>Артериальная гипертензия определяется как истинно резистентная к лечению при клиническом АД ≥130–140/80–90 мм рт.ст., несмотря на изменение образа жизни и прием ≥3 антигипертензивных препаратов (иАПФ/БРА, диуретики, блокато</w:t>
      </w:r>
      <w:r>
        <w:t>р кальциевых каналов) в оптимальных или максимально переносимых дозах (ESH). Неадекватность контроля АД должна быть подтверждена данными суточного мониторирования (≥130/80 мм рт.ст.).</w:t>
      </w:r>
    </w:p>
    <w:p w:rsidR="008E3F15" w:rsidRDefault="005F449A">
      <w:pPr>
        <w:spacing w:after="179"/>
        <w:ind w:left="2" w:right="15"/>
      </w:pPr>
      <w:r>
        <w:t>Среди причин недостаточной эффективности стандартного медикаментозного л</w:t>
      </w:r>
      <w:r>
        <w:t>ечения выделяют следующие.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51776"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299868" name="Group 299868"/>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4710" name="Shape 14710"/>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816"/>
                                </a:cubicBezTo>
                                <a:cubicBezTo>
                                  <a:pt x="5690" y="45938"/>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712" name="Shape 14712"/>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714" name="Shape 14714"/>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717" name="Shape 14717"/>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291"/>
                                </a:cubicBezTo>
                                <a:cubicBezTo>
                                  <a:pt x="53525" y="42664"/>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719" name="Shape 14719"/>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4722" name="Shape 14722"/>
                        <wps:cNvSpPr/>
                        <wps:spPr>
                          <a:xfrm>
                            <a:off x="0" y="1066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299868" style="width:4.5pt;height:88.5pt;position:absolute;mso-position-horizontal-relative:text;mso-position-horizontal:absolute;margin-left:16.5pt;mso-position-vertical-relative:text;margin-top:2.74219pt;" coordsize="571,11239">
                <v:shape id="Shape 14710" style="position:absolute;width:571;height:571;left:0;top:0;" coordsize="57150,57150" path="m28575,0c32364,0,36009,695,39510,2084c43011,3572,46101,5655,48781,8334c51460,10815,53525,13990,54975,17363c56425,20935,57150,24705,57150,28575c57150,32246,56425,35818,54975,39291c53525,42664,51460,45938,48781,48816c46101,51296,43011,53380,39510,54868c36009,56356,32364,57150,28575,57150c24786,57150,21141,56356,17640,54868c14139,53380,11049,51296,8369,48816c5690,45938,3625,42664,2175,39291c725,35818,0,32246,0,28575c0,24705,725,20935,2175,17363c3625,13990,5690,10815,8369,8334c11049,5655,14139,3572,17640,2084c21141,695,24786,0,28575,0x">
                  <v:stroke weight="0pt" endcap="flat" joinstyle="miter" miterlimit="10" on="false" color="#000000" opacity="0"/>
                  <v:fill on="true" color="#333333"/>
                </v:shape>
                <v:shape id="Shape 14712" style="position:absolute;width:571;height:571;left:0;top:1524;" coordsize="57150,57150" path="m28575,0c32364,0,36009,595,39510,1885c43011,3373,46101,5457,48781,8334c51460,10815,53525,13990,54975,17363c56425,20935,57150,24705,57150,28575c57150,32246,56425,35818,54975,39291c53525,42664,51460,45839,48781,48617c46101,51296,43011,53380,39510,54868c36009,56356,32364,57150,28575,57150c24786,57150,21141,56356,17640,54868c14139,53380,11049,51296,8369,48617c5690,45839,3625,42664,2175,39291c725,35818,0,32246,0,28575c0,24705,725,20935,2175,17363c3625,13990,5690,10815,8369,8334c11049,5457,14139,3373,17640,1885c21141,595,24786,0,28575,0x">
                  <v:stroke weight="0pt" endcap="flat" joinstyle="miter" miterlimit="10" on="false" color="#000000" opacity="0"/>
                  <v:fill on="true" color="#333333"/>
                </v:shape>
                <v:shape id="Shape 14714" style="position:absolute;width:571;height:571;left:0;top:3048;" coordsize="57150,57150" path="m28575,0c32364,0,36009,695,39510,2084c43011,3572,46101,5655,48781,8334c51460,10815,53525,13990,54975,17363c56425,20935,57150,24705,57150,28575c57150,32246,56425,35818,54975,39291c53525,42664,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10" on="false" color="#000000" opacity="0"/>
                  <v:fill on="true" color="#333333"/>
                </v:shape>
                <v:shape id="Shape 14717" style="position:absolute;width:571;height:571;left:0;top:6096;" coordsize="57150,57150" path="m28575,0c32364,0,36009,695,39510,2084c43011,3572,46101,5655,48781,8334c51460,11013,53525,14089,54975,17562c56425,21134,57150,24805,57150,28575c57150,32246,56425,35818,54975,39291c53525,42664,51460,45839,48781,48617c46101,51197,43011,53280,39510,54868c36009,56257,32364,56952,28575,57150c24786,56952,21141,56257,17640,54868c14139,53280,11049,51197,8369,48617c5690,45839,3625,42664,2175,39291c725,35818,0,32246,0,28575c0,24805,725,21134,2175,17562c3625,14089,5690,11013,8369,8334c11049,5655,14139,3572,17640,2084c21141,695,24786,0,28575,0x">
                  <v:stroke weight="0pt" endcap="flat" joinstyle="miter" miterlimit="10" on="false" color="#000000" opacity="0"/>
                  <v:fill on="true" color="#333333"/>
                </v:shape>
                <v:shape id="Shape 14719" style="position:absolute;width:571;height:571;left:0;top:7620;" coordsize="57150,57150" path="m28575,0c32364,0,36009,595,39510,1885c43011,3373,46101,5457,48781,8136c51460,10815,53525,13990,54975,17363c56425,20935,57150,24705,57150,28575c57150,32246,56425,36016,54975,39390c53525,42863,51460,45938,48781,48617c46101,51296,43011,53380,39510,54868c36009,56257,32364,56952,28575,57150c24786,56952,21141,56257,17640,54868c14139,53380,11049,51296,8369,48617c5690,45938,3625,42863,2175,39390c725,36016,0,32246,0,28575c0,24705,725,20935,2175,17363c3625,13990,5690,10815,8369,8136c11049,5457,14139,3373,17640,1885c21141,595,24786,0,28575,0x">
                  <v:stroke weight="0pt" endcap="flat" joinstyle="miter" miterlimit="10" on="false" color="#000000" opacity="0"/>
                  <v:fill on="true" color="#333333"/>
                </v:shape>
                <v:shape id="Shape 14722" style="position:absolute;width:571;height:571;left:0;top:10668;" coordsize="57150,57150" path="m28575,0c32364,0,36009,595,39510,1885c43011,3373,46101,5457,48781,8136c51460,10815,53525,13990,54975,17363c56425,20935,57150,24705,57150,28575c57150,32246,56425,35818,54975,39390c53525,42863,51460,45938,48781,48617c46101,51197,43011,53280,39510,54769c36009,56257,32364,56952,28575,57150c24786,56952,21141,56257,17640,54769c14139,53280,11049,51197,8369,48617c5690,45938,3625,42863,2175,39390c725,35818,0,32246,0,28575c0,24705,725,20935,2175,17363c3625,13990,5690,10815,8369,8136c11049,5457,14139,3373,17640,1885c21141,595,24786,0,28575,0x">
                  <v:stroke weight="0pt" endcap="flat" joinstyle="miter" miterlimit="10" on="false" color="#000000" opacity="0"/>
                  <v:fill on="true" color="#333333"/>
                </v:shape>
                <w10:wrap type="square"/>
              </v:group>
            </w:pict>
          </mc:Fallback>
        </mc:AlternateContent>
      </w:r>
      <w:r>
        <w:t>Плохая приверженность к лечению.</w:t>
      </w:r>
    </w:p>
    <w:p w:rsidR="008E3F15" w:rsidRDefault="005F449A">
      <w:pPr>
        <w:spacing w:after="31"/>
        <w:ind w:left="340" w:right="15"/>
      </w:pPr>
      <w:r>
        <w:t>Неоптимальный образ жизни: алкоголь, ожирение, соль.</w:t>
      </w:r>
    </w:p>
    <w:p w:rsidR="008E3F15" w:rsidRDefault="005F449A">
      <w:pPr>
        <w:ind w:left="340" w:right="15"/>
      </w:pPr>
      <w:r>
        <w:t>Лекарства: глюкокортикоиды, НПВП, парацетамол, эстрогены и прогестины, ингибиторы кальциневрина, иОЗСН, назальные вазоконстрикторы, стимулятор</w:t>
      </w:r>
      <w:r>
        <w:t>ы эритропоэза.</w:t>
      </w:r>
    </w:p>
    <w:p w:rsidR="008E3F15" w:rsidRDefault="005F449A">
      <w:pPr>
        <w:spacing w:after="31"/>
        <w:ind w:left="340" w:right="15"/>
      </w:pPr>
      <w:r>
        <w:t>Фитопрепараты: солодка, зверобой, эфедра.</w:t>
      </w:r>
    </w:p>
    <w:p w:rsidR="008E3F15" w:rsidRDefault="005F449A">
      <w:pPr>
        <w:ind w:left="340" w:right="15"/>
      </w:pPr>
      <w:r>
        <w:t>Перегрузка объемом: соль, выраженная почечная дисфункция, недостаточная терапия диуретиками, гиперальдостеронизм.</w:t>
      </w:r>
    </w:p>
    <w:p w:rsidR="008E3F15" w:rsidRDefault="005F449A">
      <w:pPr>
        <w:spacing w:after="179"/>
        <w:ind w:left="340" w:right="211"/>
      </w:pPr>
      <w:r>
        <w:t>Другие причины: вторичная гипертензия, необратимое поражение органов, реакция на врач</w:t>
      </w:r>
      <w:r>
        <w:t>а, малая манжетка..</w:t>
      </w:r>
    </w:p>
    <w:p w:rsidR="008E3F15" w:rsidRDefault="005F449A">
      <w:pPr>
        <w:ind w:left="2" w:right="265"/>
      </w:pPr>
      <w:r>
        <w:t xml:space="preserve">Для коррекции нередкого при резистентных формах гиперальдостеронизма целесообразно добавить аМКР (PATHWAY-2). Более селективный эплеренон реже вызывает побочные эффекты (болезненность грудных желез, гинекомастия, импотенция, дисфункция </w:t>
      </w:r>
      <w:r>
        <w:t>почек, гиперкалиемия). Препараты не рекомендуют при рСКФ &lt;30–45 мл/мин/1,73 м</w:t>
      </w:r>
      <w:r>
        <w:rPr>
          <w:sz w:val="31"/>
          <w:vertAlign w:val="superscript"/>
        </w:rPr>
        <w:t xml:space="preserve">2 </w:t>
      </w:r>
      <w:r>
        <w:t>и калиемии &gt;4,5–5 ммоль/л.</w:t>
      </w:r>
    </w:p>
    <w:p w:rsidR="008E3F15" w:rsidRDefault="005F449A">
      <w:pPr>
        <w:ind w:left="2" w:right="294"/>
      </w:pPr>
      <w:r>
        <w:t>Также можно добавить β-адреноблокатор или β-α-адреноблокатор, а при непереносимости — пролонгированный дилтиазем/верапамил. Иногда используют доксазоз</w:t>
      </w:r>
      <w:r>
        <w:t>ин и клонидин. Показан эффект сакубитрила-валсартана.</w:t>
      </w:r>
    </w:p>
    <w:p w:rsidR="008E3F15" w:rsidRDefault="005F449A">
      <w:pPr>
        <w:ind w:left="2" w:right="15"/>
      </w:pPr>
      <w:r>
        <w:t>Ренальная денервация с помощью современных катетеров у пациентов с рСКФ &gt;40 мл/ мин/1,73 м</w:t>
      </w:r>
      <w:r>
        <w:rPr>
          <w:sz w:val="31"/>
          <w:vertAlign w:val="superscript"/>
        </w:rPr>
        <w:t>2</w:t>
      </w:r>
      <w:r>
        <w:t xml:space="preserve"> может снизить АД (SPYRAL HTN; RADIANCE-HTN SOLO; Sardar P. et al., 2019). </w:t>
      </w:r>
      <w:r>
        <w:rPr>
          <w:b/>
        </w:rPr>
        <w:t xml:space="preserve">Лечение криза. </w:t>
      </w:r>
      <w:r>
        <w:t>Важно отметить, что в</w:t>
      </w:r>
      <w:r>
        <w:t>опреки распространенному мнению острое повышение АД не является причиной ИМ или инсульта. Ишемическое повреждение мозга обычно вызывает вторичную артериальную гипертензию, снижение которой не требуется, если только АД не превышает 220/110 мм рт.ст.</w:t>
      </w:r>
    </w:p>
    <w:p w:rsidR="008E3F15" w:rsidRDefault="005F449A">
      <w:pPr>
        <w:ind w:left="2" w:right="15"/>
      </w:pPr>
      <w:r>
        <w:t>При выраженном (обычно ≥180/120 мм рт.ст.) симптомном повышении АД без острого повреждения органов целесообразно повторить измерение АД в условиях покоя через 20–</w:t>
      </w:r>
    </w:p>
    <w:p w:rsidR="008E3F15" w:rsidRDefault="005F449A">
      <w:pPr>
        <w:ind w:left="2" w:right="15"/>
      </w:pPr>
      <w:r>
        <w:t>30 мин. Для снижения АД обычно используют прием внутрь каптоприла 25–50 мг, амлодипина 5–10 мг. Эффективность сублингвального и перорального приема каптоприла существенно не отличается, но последний удобнее (Karakilic E. et al., 2012; Kaya A. et al., 2016)</w:t>
      </w:r>
      <w:r>
        <w:t>.</w:t>
      </w:r>
    </w:p>
    <w:p w:rsidR="008E3F15" w:rsidRDefault="005F449A">
      <w:pPr>
        <w:ind w:left="2" w:right="632"/>
      </w:pPr>
      <w:r>
        <w:t>В ряде случаев возможно использование нитроглицерина, клонидина 0,075–0,15 мг. В случаях острого повышения АД без выраженных симптомов достаточно добавить дозу принимаемого регулярно антигипертензивного препарата.</w:t>
      </w:r>
    </w:p>
    <w:p w:rsidR="008E3F15" w:rsidRDefault="005F449A">
      <w:pPr>
        <w:ind w:left="2" w:right="15"/>
      </w:pPr>
      <w:r>
        <w:t>В редких случаях выраженного повышения А</w:t>
      </w:r>
      <w:r>
        <w:t>Д с острым тяжелым повреждением органов (отек легких, геморрагический инсульт, расслаивание аорты, эклампсия, повреждение сетчатки глаза) требуется экстренная терапия с быстрым снижением АД в условиях палаты интенсивной терапии (</w:t>
      </w:r>
      <w:r>
        <w:rPr>
          <w:b/>
        </w:rPr>
        <w:t>рис. 12.3</w:t>
      </w:r>
      <w:r>
        <w:t>).</w:t>
      </w:r>
    </w:p>
    <w:p w:rsidR="008E3F15" w:rsidRDefault="005F449A">
      <w:pPr>
        <w:spacing w:after="65" w:line="259" w:lineRule="auto"/>
        <w:ind w:left="0" w:right="0" w:firstLine="0"/>
      </w:pPr>
      <w:r>
        <w:rPr>
          <w:noProof/>
        </w:rPr>
        <w:drawing>
          <wp:inline distT="0" distB="0" distL="0" distR="0">
            <wp:extent cx="5057775" cy="2943225"/>
            <wp:effectExtent l="0" t="0" r="0" b="0"/>
            <wp:docPr id="14787" name="Picture 14787"/>
            <wp:cNvGraphicFramePr/>
            <a:graphic xmlns:a="http://schemas.openxmlformats.org/drawingml/2006/main">
              <a:graphicData uri="http://schemas.openxmlformats.org/drawingml/2006/picture">
                <pic:pic xmlns:pic="http://schemas.openxmlformats.org/drawingml/2006/picture">
                  <pic:nvPicPr>
                    <pic:cNvPr id="14787" name="Picture 14787"/>
                    <pic:cNvPicPr/>
                  </pic:nvPicPr>
                  <pic:blipFill>
                    <a:blip r:embed="rId131"/>
                    <a:stretch>
                      <a:fillRect/>
                    </a:stretch>
                  </pic:blipFill>
                  <pic:spPr>
                    <a:xfrm>
                      <a:off x="0" y="0"/>
                      <a:ext cx="5057775" cy="2943225"/>
                    </a:xfrm>
                    <a:prstGeom prst="rect">
                      <a:avLst/>
                    </a:prstGeom>
                  </pic:spPr>
                </pic:pic>
              </a:graphicData>
            </a:graphic>
          </wp:inline>
        </w:drawing>
      </w:r>
    </w:p>
    <w:p w:rsidR="008E3F15" w:rsidRDefault="005F449A">
      <w:pPr>
        <w:ind w:left="2" w:right="15"/>
      </w:pPr>
      <w:r>
        <w:rPr>
          <w:b/>
        </w:rPr>
        <w:t xml:space="preserve">Рис. 12.3. </w:t>
      </w:r>
      <w:r>
        <w:t>По</w:t>
      </w:r>
      <w:r>
        <w:t>вреждения органов, ассоциированные с острым повышением артериального давления, среди пациентов отделения неотложной помощи (Siddiqi T. et al., 2023)</w:t>
      </w:r>
    </w:p>
    <w:p w:rsidR="008E3F15" w:rsidRDefault="005F449A">
      <w:pPr>
        <w:ind w:left="2" w:right="15"/>
      </w:pPr>
      <w:r>
        <w:t>Оптимальной считается инфузия нитроглицерина, которая позволяет управляемо снижать АД. Можно ввести внутрив</w:t>
      </w:r>
      <w:r>
        <w:t>енно эналаприлат 1,25–5 мг, клонидин 0,1–0,2 мг, урапидил 25–50 мг болюсом. При отечных формах возможно введение фуросемида 40–60 мг.</w:t>
      </w:r>
    </w:p>
    <w:p w:rsidR="008E3F15" w:rsidRDefault="005F449A">
      <w:pPr>
        <w:spacing w:after="359"/>
        <w:ind w:left="2" w:right="676"/>
      </w:pPr>
      <w:r>
        <w:t>После снижения АД и уменьшения симптомов проконтролировать состояние пациента в течение 1–7 сут.</w:t>
      </w:r>
    </w:p>
    <w:p w:rsidR="008E3F15" w:rsidRDefault="005F449A">
      <w:pPr>
        <w:pStyle w:val="Heading1"/>
        <w:ind w:left="2"/>
      </w:pPr>
      <w:r>
        <w:t>Часть I. Сердечно-сосудис</w:t>
      </w:r>
      <w:r>
        <w:t>тые болезни</w:t>
      </w:r>
    </w:p>
    <w:p w:rsidR="008E3F15" w:rsidRDefault="005F449A">
      <w:pPr>
        <w:spacing w:after="31"/>
        <w:ind w:left="2" w:right="15"/>
      </w:pPr>
      <w:r>
        <w:t>Коморбидность</w:t>
      </w:r>
    </w:p>
    <w:p w:rsidR="008E3F15" w:rsidRDefault="005F449A">
      <w:pPr>
        <w:ind w:left="2" w:right="1057"/>
      </w:pPr>
      <w:r>
        <w:t xml:space="preserve">Особенности лечения артериальной гипертензии при сопутствующих заболеваниях и состояниях представлены в </w:t>
      </w:r>
      <w:r>
        <w:rPr>
          <w:b/>
        </w:rPr>
        <w:t>табл. 12.5</w:t>
      </w:r>
      <w:r>
        <w:t xml:space="preserve"> (Белялов Ф.И., 2022).</w:t>
      </w:r>
    </w:p>
    <w:p w:rsidR="008E3F15" w:rsidRDefault="005F449A">
      <w:pPr>
        <w:spacing w:after="31"/>
        <w:ind w:left="2" w:right="15"/>
      </w:pPr>
      <w:r>
        <w:rPr>
          <w:b/>
        </w:rPr>
        <w:t xml:space="preserve">Таблица 12.5. </w:t>
      </w:r>
      <w:r>
        <w:t>Выбор препаратов у пациентов с артериальной гипертензией в условиях коморбиднос</w:t>
      </w:r>
      <w:r>
        <w:t>ти</w:t>
      </w:r>
    </w:p>
    <w:tbl>
      <w:tblPr>
        <w:tblStyle w:val="TableGrid"/>
        <w:tblW w:w="10485" w:type="dxa"/>
        <w:tblInd w:w="30" w:type="dxa"/>
        <w:tblCellMar>
          <w:top w:w="35" w:type="dxa"/>
          <w:left w:w="41" w:type="dxa"/>
          <w:bottom w:w="0" w:type="dxa"/>
          <w:right w:w="46" w:type="dxa"/>
        </w:tblCellMar>
        <w:tblLook w:val="04A0" w:firstRow="1" w:lastRow="0" w:firstColumn="1" w:lastColumn="0" w:noHBand="0" w:noVBand="1"/>
      </w:tblPr>
      <w:tblGrid>
        <w:gridCol w:w="3135"/>
        <w:gridCol w:w="3660"/>
        <w:gridCol w:w="3690"/>
      </w:tblGrid>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rPr>
                <w:b/>
              </w:rPr>
              <w:t>Коморбидность</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Предпочтительные препараты</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rPr>
                <w:b/>
              </w:rPr>
              <w:t>Нежелательные препараты</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Беременность</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Нифедипин продленный, метилдопа, тиазиды</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иАПФ, БРА</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Брадиаритмии</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Дигидропиридины</w:t>
            </w:r>
          </w:p>
        </w:tc>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β-Адреноблокаторы, β-αадреноблокаторы, верапамил, дилтиазем</w:t>
            </w:r>
          </w:p>
        </w:tc>
      </w:tr>
      <w:tr w:rsidR="008E3F15">
        <w:trPr>
          <w:trHeight w:val="601"/>
        </w:trPr>
        <w:tc>
          <w:tcPr>
            <w:tcW w:w="3135" w:type="dxa"/>
            <w:tcBorders>
              <w:top w:val="double" w:sz="6" w:space="0" w:color="000000"/>
              <w:left w:val="double" w:sz="6" w:space="0" w:color="000000"/>
              <w:bottom w:val="nil"/>
              <w:right w:val="double" w:sz="6" w:space="0" w:color="000000"/>
            </w:tcBorders>
          </w:tcPr>
          <w:p w:rsidR="008E3F15" w:rsidRDefault="005F449A">
            <w:pPr>
              <w:spacing w:after="0" w:line="259" w:lineRule="auto"/>
              <w:ind w:left="4" w:right="0" w:firstLine="0"/>
            </w:pPr>
            <w:r>
              <w:t>Бронхиальная астма, хроническая</w:t>
            </w:r>
          </w:p>
        </w:tc>
        <w:tc>
          <w:tcPr>
            <w:tcW w:w="3660" w:type="dxa"/>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jc w:val="both"/>
            </w:pPr>
            <w:r>
              <w:t>Блокаторы кальциевых каналов</w:t>
            </w:r>
          </w:p>
        </w:tc>
        <w:tc>
          <w:tcPr>
            <w:tcW w:w="3690" w:type="dxa"/>
            <w:tcBorders>
              <w:top w:val="double" w:sz="6" w:space="0" w:color="000000"/>
              <w:left w:val="double" w:sz="6" w:space="0" w:color="000000"/>
              <w:bottom w:val="nil"/>
              <w:right w:val="double" w:sz="6" w:space="0" w:color="000000"/>
            </w:tcBorders>
          </w:tcPr>
          <w:p w:rsidR="008E3F15" w:rsidRDefault="005F449A">
            <w:pPr>
              <w:spacing w:after="0" w:line="259" w:lineRule="auto"/>
              <w:ind w:right="0" w:firstLine="0"/>
            </w:pPr>
            <w:r>
              <w:t>β-Адреноблокаторы, β-αадреноблокаторы, иАПФ</w:t>
            </w:r>
          </w:p>
        </w:tc>
      </w:tr>
      <w:tr w:rsidR="008E3F15">
        <w:trPr>
          <w:trHeight w:val="525"/>
        </w:trPr>
        <w:tc>
          <w:tcPr>
            <w:tcW w:w="3135" w:type="dxa"/>
            <w:tcBorders>
              <w:top w:val="nil"/>
              <w:left w:val="double" w:sz="6" w:space="0" w:color="000000"/>
              <w:bottom w:val="double" w:sz="6" w:space="0" w:color="000000"/>
              <w:right w:val="double" w:sz="6" w:space="0" w:color="000000"/>
            </w:tcBorders>
          </w:tcPr>
          <w:p w:rsidR="008E3F15" w:rsidRDefault="005F449A">
            <w:pPr>
              <w:spacing w:after="0" w:line="259" w:lineRule="auto"/>
              <w:ind w:left="4" w:right="0" w:firstLine="0"/>
            </w:pPr>
            <w:r>
              <w:t>обструктивная болезнь легких</w:t>
            </w:r>
          </w:p>
        </w:tc>
        <w:tc>
          <w:tcPr>
            <w:tcW w:w="3660"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690" w:type="dxa"/>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Гастроэзофагеальная рефлюксная болезнь</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jc w:val="both"/>
            </w:pPr>
            <w:r>
              <w:t>Блокаторы кальциевых каналов</w:t>
            </w:r>
          </w:p>
        </w:tc>
      </w:tr>
      <w:tr w:rsidR="008E3F15">
        <w:trPr>
          <w:trHeight w:val="81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Гипертрофическая кардиомиопатия обструктивная</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53" w:firstLine="0"/>
            </w:pPr>
            <w:r>
              <w:t>β-Адреноблокаторы, верапамил</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Дигидропиридины, αадреноблокаторы</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Коронарная болезнь</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β-Адреноблокаторы, блокаторы кальциевых каналов</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Моксонидин</w:t>
            </w:r>
          </w:p>
        </w:tc>
      </w:tr>
      <w:tr w:rsidR="008E3F15">
        <w:trPr>
          <w:trHeight w:val="105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Ортостатическая гипотензия</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иАПФ, БРА, дигидропиридины</w:t>
            </w:r>
          </w:p>
        </w:tc>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β-Адреноблокаторы, β-αадреноблокаторы, верапамил, дилтиазем, α-адреноблокаторы, петлевые диуретики</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jc w:val="both"/>
            </w:pPr>
            <w:r>
              <w:t>Перемежающаяся хромота</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57" w:firstLine="0"/>
            </w:pPr>
            <w:r>
              <w:t>Блокаторы кальциевых каналов, иАПФ</w:t>
            </w:r>
          </w:p>
        </w:tc>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β-Адреноблокаторы неселективные</w:t>
            </w:r>
          </w:p>
        </w:tc>
      </w:tr>
      <w:tr w:rsidR="008E3F15">
        <w:trPr>
          <w:trHeight w:val="105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СНсФВ</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β-Адреноблокаторы (метопролола сукцинат, карведилол, бисопролол), диуретики, иАПФ, БРА, аМКР</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Верапамил, дилтиазем, моксонидин</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Тахиаритмии</w:t>
            </w:r>
          </w:p>
        </w:tc>
        <w:tc>
          <w:tcPr>
            <w:tcW w:w="36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 w:firstLine="0"/>
            </w:pPr>
            <w:r>
              <w:t>β-Адреноблокаторы, верапамил, дилтиазем</w:t>
            </w:r>
          </w:p>
        </w:tc>
        <w:tc>
          <w:tcPr>
            <w:tcW w:w="36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Диуретики</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Стеноз устья аорты, тяжелый</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β-Адреноблокаторы</w:t>
            </w:r>
          </w:p>
        </w:tc>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α-Адреноблокаторы, дигидропиридины, моксонидин</w:t>
            </w:r>
          </w:p>
        </w:tc>
      </w:tr>
      <w:tr w:rsidR="008E3F15">
        <w:trPr>
          <w:trHeight w:val="570"/>
        </w:trPr>
        <w:tc>
          <w:tcPr>
            <w:tcW w:w="3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ХБП</w:t>
            </w:r>
          </w:p>
        </w:tc>
        <w:tc>
          <w:tcPr>
            <w:tcW w:w="36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иАПФ, БРА, аМКР</w:t>
            </w:r>
          </w:p>
        </w:tc>
        <w:tc>
          <w:tcPr>
            <w:tcW w:w="36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Тиазиды, неселективные βадреноблокаторы</w:t>
            </w:r>
          </w:p>
        </w:tc>
      </w:tr>
    </w:tbl>
    <w:p w:rsidR="008E3F15" w:rsidRDefault="005F449A">
      <w:pPr>
        <w:pStyle w:val="Heading1"/>
        <w:ind w:left="2"/>
      </w:pPr>
      <w:r>
        <w:t>Часть I. Сердечно-сосудистые болезни</w:t>
      </w:r>
    </w:p>
    <w:p w:rsidR="008E3F15" w:rsidRDefault="005F449A">
      <w:pPr>
        <w:spacing w:after="31"/>
        <w:ind w:left="2" w:right="15"/>
      </w:pPr>
      <w:r>
        <w:t>Глава 13. Периоперационноe ведение</w:t>
      </w:r>
    </w:p>
    <w:p w:rsidR="008E3F15" w:rsidRDefault="005F449A">
      <w:pPr>
        <w:spacing w:after="31"/>
        <w:ind w:left="2" w:right="15"/>
      </w:pPr>
      <w:r>
        <w:t>Несердечные операции</w:t>
      </w:r>
    </w:p>
    <w:p w:rsidR="008E3F15" w:rsidRDefault="005F449A">
      <w:pPr>
        <w:spacing w:after="179"/>
        <w:ind w:left="2" w:right="15"/>
      </w:pPr>
      <w:r>
        <w:t>Целью предоперационной медицинской экспертизы является не «получить медицинское освидетельствование», а оценить медицинский статус пациента и риск возникновения осложнений. Процесс включает в себя: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52800"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303879" name="Group 303879"/>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4935" name="Shape 14935"/>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937" name="Shape 1493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4940" name="Shape 1494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3879" style="width:4.5pt;height:40.5pt;position:absolute;mso-position-horizontal-relative:text;mso-position-horizontal:absolute;margin-left:16.5pt;mso-position-vertical-relative:text;margin-top:2.74219pt;" coordsize="571,5143">
                <v:shape id="Shape 14935" style="position:absolute;width:571;height:571;left:0;top:0;" coordsize="57150,57150" path="m28575,0c32364,0,36009,595,39510,1885c43011,3373,46101,5457,48781,8334c51460,10815,53525,13990,54975,17363c56425,20935,57150,24705,57150,28575c57150,32246,56425,35818,54975,39390c53525,42863,51460,45938,48781,48617c46101,51197,43011,53280,39510,54769c36009,56257,32364,56952,28575,57150c24786,56952,21141,56257,17640,54769c14139,53280,11049,51197,8369,48617c5690,45938,3625,42863,2175,39390c725,35818,0,32246,0,28575c0,24705,725,20935,2175,17363c3625,13990,5690,10815,8369,8334c11049,5457,14139,3373,17640,1885c21141,595,24786,0,28575,0x">
                  <v:stroke weight="0pt" endcap="flat" joinstyle="miter" miterlimit="4" on="false" color="#000000" opacity="0"/>
                  <v:fill on="true" color="#333333"/>
                </v:shape>
                <v:shape id="Shape 14937" style="position:absolute;width:571;height:571;left:0;top:1524;" coordsize="57150,57150" path="m28575,0c32364,0,36009,695,39510,2084c43011,3572,46101,5655,48781,8334c51460,11013,53525,14089,54975,17562c56425,21134,57150,24805,57150,28575c57150,32246,56425,35818,54975,39390c53525,42863,51460,45839,48781,48617c46101,51197,43011,53280,39510,54769c36009,56059,32364,56952,28575,57150c24786,56952,21141,56059,17640,54769c14139,53280,11049,51197,8369,48617c5690,45839,3625,42863,2175,39390c725,35818,0,32246,0,28575c0,24805,725,21134,2175,17562c3625,14089,5690,11013,8369,8334c11049,5655,14139,3572,17640,2084c21141,695,24786,0,28575,0x">
                  <v:stroke weight="0pt" endcap="flat" joinstyle="miter" miterlimit="4" on="false" color="#000000" opacity="0"/>
                  <v:fill on="true" color="#333333"/>
                </v:shape>
                <v:shape id="Shape 14940" style="position:absolute;width:571;height:571;left:0;top:4572;" coordsize="57150,57150" path="m28575,0c32364,0,36009,695,39510,2084c43011,3572,46101,5655,48781,8334c51460,11013,53525,14089,54975,17562c56425,20935,57150,24705,57150,28575c57150,32246,56425,35818,54975,39390c53525,42863,51460,45839,48781,48617c46101,51197,43011,53280,39510,54769c36009,56059,32364,56952,28575,57150c24786,56952,21141,56059,17640,54769c14139,53280,11049,51197,8369,48617c5690,45839,3625,42863,2175,39390c725,35818,0,32246,0,28575c0,24705,725,20935,2175,17562c3625,14089,5690,11013,8369,8334c11049,5655,14139,3572,17640,2084c21141,695,24786,0,28575,0x">
                  <v:stroke weight="0pt" endcap="flat" joinstyle="miter" miterlimit="4" on="false" color="#000000" opacity="0"/>
                  <v:fill on="true" color="#333333"/>
                </v:shape>
                <w10:wrap type="square"/>
              </v:group>
            </w:pict>
          </mc:Fallback>
        </mc:AlternateContent>
      </w:r>
      <w:r>
        <w:t>выявление факторов риска и оценку их серьезности и стабил</w:t>
      </w:r>
      <w:r>
        <w:t>ьности;</w:t>
      </w:r>
    </w:p>
    <w:p w:rsidR="008E3F15" w:rsidRDefault="005F449A">
      <w:pPr>
        <w:ind w:left="340" w:right="15"/>
      </w:pPr>
      <w:r>
        <w:t>установление клинического профиля риска для обоснованного и совместного принятия решений;</w:t>
      </w:r>
    </w:p>
    <w:p w:rsidR="008E3F15" w:rsidRDefault="005F449A">
      <w:pPr>
        <w:spacing w:after="179"/>
        <w:ind w:left="340" w:right="15"/>
      </w:pPr>
      <w:r>
        <w:t>рекомендации по необходимым изменениям в тактике лечения, дальнейшему тестированию или специальным консультациям.</w:t>
      </w:r>
    </w:p>
    <w:p w:rsidR="008E3F15" w:rsidRDefault="005F449A">
      <w:pPr>
        <w:ind w:left="2" w:right="15"/>
      </w:pPr>
      <w:r>
        <w:t>С целью оптимизации ведения пациентов разраб</w:t>
      </w:r>
      <w:r>
        <w:t>отаны пошаговые алгоритмы периоперационного ведения для пациентов с коронарной болезнью или факторами риска коронарной болезни (</w:t>
      </w:r>
      <w:r>
        <w:rPr>
          <w:b/>
        </w:rPr>
        <w:t>рис. 13.1</w:t>
      </w:r>
      <w:r>
        <w:t>).</w:t>
      </w:r>
    </w:p>
    <w:p w:rsidR="008E3F15" w:rsidRDefault="005F449A">
      <w:pPr>
        <w:spacing w:after="65" w:line="259" w:lineRule="auto"/>
        <w:ind w:left="0" w:right="0" w:firstLine="0"/>
      </w:pPr>
      <w:r>
        <w:rPr>
          <w:noProof/>
        </w:rPr>
        <w:drawing>
          <wp:inline distT="0" distB="0" distL="0" distR="0">
            <wp:extent cx="5057775" cy="3914775"/>
            <wp:effectExtent l="0" t="0" r="0" b="0"/>
            <wp:docPr id="14978" name="Picture 14978"/>
            <wp:cNvGraphicFramePr/>
            <a:graphic xmlns:a="http://schemas.openxmlformats.org/drawingml/2006/main">
              <a:graphicData uri="http://schemas.openxmlformats.org/drawingml/2006/picture">
                <pic:pic xmlns:pic="http://schemas.openxmlformats.org/drawingml/2006/picture">
                  <pic:nvPicPr>
                    <pic:cNvPr id="14978" name="Picture 14978"/>
                    <pic:cNvPicPr/>
                  </pic:nvPicPr>
                  <pic:blipFill>
                    <a:blip r:embed="rId132"/>
                    <a:stretch>
                      <a:fillRect/>
                    </a:stretch>
                  </pic:blipFill>
                  <pic:spPr>
                    <a:xfrm>
                      <a:off x="0" y="0"/>
                      <a:ext cx="5057775" cy="3914775"/>
                    </a:xfrm>
                    <a:prstGeom prst="rect">
                      <a:avLst/>
                    </a:prstGeom>
                  </pic:spPr>
                </pic:pic>
              </a:graphicData>
            </a:graphic>
          </wp:inline>
        </w:drawing>
      </w:r>
    </w:p>
    <w:p w:rsidR="008E3F15" w:rsidRDefault="005F449A">
      <w:pPr>
        <w:ind w:left="2" w:right="15"/>
      </w:pPr>
      <w:r>
        <w:rPr>
          <w:b/>
        </w:rPr>
        <w:t xml:space="preserve">Рис. 13.1. </w:t>
      </w:r>
      <w:r>
        <w:t>Алгоритм периоперационного ведения пациентов при несердечных операциях (РКО, 2023)</w:t>
      </w:r>
    </w:p>
    <w:p w:rsidR="008E3F15" w:rsidRDefault="005F449A">
      <w:pPr>
        <w:numPr>
          <w:ilvl w:val="0"/>
          <w:numId w:val="6"/>
        </w:numPr>
        <w:ind w:right="15"/>
      </w:pPr>
      <w:r>
        <w:rPr>
          <w:b/>
        </w:rPr>
        <w:t xml:space="preserve">этап: срочность операции. </w:t>
      </w:r>
      <w:r>
        <w:t>Экстренная операция должна быть выполнена без отлагательств, как правило, в течение 6 ч. В этом случае жизнеопасная ситуация определяет тактику лечения и не позволяет проводить детальную диагностику или лечение болезни сердца. Кон</w:t>
      </w:r>
      <w:r>
        <w:t>сультант-кардиолог дает рекомендации по периоперационному</w:t>
      </w:r>
    </w:p>
    <w:p w:rsidR="008E3F15" w:rsidRDefault="005F449A">
      <w:pPr>
        <w:ind w:left="2" w:right="15"/>
      </w:pPr>
      <w:r>
        <w:t>медикаментозному лечению и продолжению назначенной ранее постоянной терапии. При неотложной операции есть некоторое время для клинической оценки — обычно от 6 до 24 ч. При время-зависимых процедурах</w:t>
      </w:r>
      <w:r>
        <w:t xml:space="preserve"> есть возможность отсрочить их выполнение на 1–6 нед (например, большинство онкологических операций попадают в эту категорию). Плановые вмешательства в большинстве случаев можно отложить на период до 1 года. Возможные сроки задержки предполагаемой несердеч</w:t>
      </w:r>
      <w:r>
        <w:t>ной операции могут повлиять на выбор той или иной лечебной стратегии (например, выбор метода реваскуляризации или стента). Соответственно, пациенты с известным заболеванием сердца (или высоким риском его развития), подвергающиеся несердечным операциям высо</w:t>
      </w:r>
      <w:r>
        <w:t>кого риска, требуют оценки мультидисциплинарной команды в составе анестезиолога, кардиолога и хирурга. При плановом хирургическом вмешательстве — переход на II этап алгоритма с оценкой кардиального статуса.</w:t>
      </w:r>
    </w:p>
    <w:p w:rsidR="008E3F15" w:rsidRDefault="005F449A">
      <w:pPr>
        <w:numPr>
          <w:ilvl w:val="0"/>
          <w:numId w:val="6"/>
        </w:numPr>
        <w:ind w:right="15"/>
      </w:pPr>
      <w:r>
        <w:rPr>
          <w:b/>
        </w:rPr>
        <w:t>этап: кардиальный статус.</w:t>
      </w:r>
      <w:r>
        <w:t xml:space="preserve"> При наличии острых или </w:t>
      </w:r>
      <w:r>
        <w:t>нестабильных состояний (нестабильная/тяжелая СК, ИМ до 30–60 сут, декомпенсированная СН, потенциально жизнеопасные нарушения ритма, тяжелое клапанное поражение) рекомендуется отложить плановую хирургическую операцию до улучшения кардиального статуса и стаб</w:t>
      </w:r>
      <w:r>
        <w:t>илизации состояния.</w:t>
      </w:r>
    </w:p>
    <w:p w:rsidR="008E3F15" w:rsidRDefault="005F449A">
      <w:pPr>
        <w:ind w:left="2" w:right="237"/>
      </w:pPr>
      <w:r>
        <w:t>Наличие у пациента факторов сердечно-сосудистого риска может увеличить риск периоперационных осложнений, включая ИМ, однако нет исследований, подтверждающих, что использование и коррекция факторов риска могут улучшить точность прогноза.</w:t>
      </w:r>
      <w:r>
        <w:t xml:space="preserve"> Возможности лечения пациентов с нестабильными и тяжелыми болезнями сердца, которым планируется операция c повышенным риском сердечно-сосудистых событий, должны обсуждаться мультидисциплинарной командой, поскольку интервенции могут влиять на анестезиологич</w:t>
      </w:r>
      <w:r>
        <w:t>ескую и хирургическую тактику.</w:t>
      </w:r>
    </w:p>
    <w:p w:rsidR="008E3F15" w:rsidRDefault="005F449A">
      <w:pPr>
        <w:ind w:left="2" w:right="1001"/>
      </w:pPr>
      <w:r>
        <w:t xml:space="preserve">Для оценки состояния сердечно-сосудистой системы при наличии или подозрении на заболевание сердца у пациента обычно используют эхокардиографию с оценкой размеров камер по индексам и функции левого желудочка по Симпсону, ЭКГ, </w:t>
      </w:r>
      <w:r>
        <w:t>мониторирование ЭКГ, а также натрийуретический пептид и тропонин.</w:t>
      </w:r>
    </w:p>
    <w:p w:rsidR="008E3F15" w:rsidRDefault="005F449A">
      <w:pPr>
        <w:ind w:left="2" w:right="15"/>
      </w:pPr>
      <w:r>
        <w:t>При отсутствии неотложных кардиальных проблем осуществляется переход на III этап алгоритма с оценкой риска операции.</w:t>
      </w:r>
    </w:p>
    <w:p w:rsidR="008E3F15" w:rsidRDefault="005F449A">
      <w:pPr>
        <w:numPr>
          <w:ilvl w:val="0"/>
          <w:numId w:val="6"/>
        </w:numPr>
        <w:ind w:right="15"/>
      </w:pPr>
      <w:r>
        <w:rPr>
          <w:b/>
        </w:rPr>
        <w:t xml:space="preserve">этап: сердечно-сосудистый периоперационный риск. </w:t>
      </w:r>
      <w:r>
        <w:t>Оценка риска кардиальных</w:t>
      </w:r>
      <w:r>
        <w:t xml:space="preserve"> осложнений перед операциями проводится с учетом как хирургических (объем и тяжесть оперативного вмешательства), так и клинических факторов (наличие у пациента тех или иных заболеваний).</w:t>
      </w:r>
    </w:p>
    <w:p w:rsidR="008E3F15" w:rsidRDefault="005F449A">
      <w:pPr>
        <w:ind w:left="2" w:right="1504"/>
      </w:pPr>
      <w:r>
        <w:t>Упрощенная классификация рисков включает операции с низким риском (&lt;1</w:t>
      </w:r>
      <w:r>
        <w:t>%) и с повышенным риском (≥1%), поскольку тактика обследования при операциях промежуточного и высокого риска не различается.</w:t>
      </w:r>
    </w:p>
    <w:p w:rsidR="008E3F15" w:rsidRDefault="005F449A">
      <w:pPr>
        <w:ind w:left="2" w:right="15"/>
      </w:pPr>
      <w:r>
        <w:t>Такая оценка риска реализована в клинических шкалах, последние версии которых включают как характеристики хирургического вмешательс</w:t>
      </w:r>
      <w:r>
        <w:t>тва, так и сведения о клиническом состоянии пациента.</w:t>
      </w:r>
    </w:p>
    <w:p w:rsidR="008E3F15" w:rsidRDefault="005F449A">
      <w:pPr>
        <w:ind w:left="2" w:right="15"/>
      </w:pPr>
      <w:r>
        <w:t>Чаще всего для оценки периоперационного риска при внесердечных операциях используют индекс RCRI и шкалу Gupta MICA.</w:t>
      </w:r>
    </w:p>
    <w:p w:rsidR="008E3F15" w:rsidRDefault="005F449A">
      <w:pPr>
        <w:ind w:left="2" w:right="15"/>
      </w:pPr>
      <w:r>
        <w:t>Преимуществами модели Gupta MICA перед RCRI являются широкий спектр учитываемых внесер</w:t>
      </w:r>
      <w:r>
        <w:t>дечных и сердечных операций, большая точность в оценке риска смерти,</w:t>
      </w:r>
    </w:p>
    <w:p w:rsidR="008E3F15" w:rsidRDefault="005F449A">
      <w:pPr>
        <w:ind w:left="2" w:right="15"/>
      </w:pPr>
      <w:r>
        <w:t>ИМ и инсульта (Gupta P. et al., 2011; Dakik H. et al., 2019; Wilcox T. et al., 2019). В то же время способность прогнозировать отек легких и полную блокаду индексом RCRI может быть полезн</w:t>
      </w:r>
      <w:r>
        <w:t>ой у ряда пациентов.</w:t>
      </w:r>
    </w:p>
    <w:p w:rsidR="008E3F15" w:rsidRDefault="005F449A">
      <w:pPr>
        <w:ind w:left="2" w:right="188"/>
      </w:pPr>
      <w:r>
        <w:t>Проверка индекса RCRI и шкалы Gupta MICA на пациентах, подвергшихся несердечной сосудистой хирургии, показала более низкую способность разграничивать группы риска при таких вмешательствах в сравнении с другими типами операций (Fronczek</w:t>
      </w:r>
      <w:r>
        <w:t xml:space="preserve"> J. et al., 2019). Для оценки риска сосудистых операций (каротидная эндартерэктомия, эндоваскулярное и хирургическое лечение аневризм аорты, шунтирование ниже и выше уровня паховой области) предпочтительнее использовать шкалу VQI-CRI.</w:t>
      </w:r>
    </w:p>
    <w:p w:rsidR="008E3F15" w:rsidRDefault="005F449A">
      <w:pPr>
        <w:spacing w:after="359"/>
        <w:ind w:left="2" w:right="537"/>
      </w:pPr>
      <w:r>
        <w:t>При отнесении операци</w:t>
      </w:r>
      <w:r>
        <w:t>и к вмешательствам низкого риска (&lt;1%) не требуется дополнительного обследования, операцию можно выполнять, рекомендуется только идентифицировать факторы риска и дать рекомендации по изменению стиля жизни и медикаментозной терапии согласно национальным и м</w:t>
      </w:r>
      <w:r>
        <w:t>еждународным рекомендациям.</w:t>
      </w:r>
    </w:p>
    <w:p w:rsidR="008E3F15" w:rsidRDefault="005F449A">
      <w:pPr>
        <w:pStyle w:val="Heading1"/>
        <w:ind w:left="2"/>
      </w:pPr>
      <w:r>
        <w:t>Часть I. Сердечно-сосудистые болезни</w:t>
      </w:r>
    </w:p>
    <w:p w:rsidR="008E3F15" w:rsidRDefault="005F449A">
      <w:pPr>
        <w:ind w:left="2" w:right="965"/>
      </w:pPr>
      <w:r>
        <w:t>При повышенном риске операции (≥1%) — переход на следующий этап алгоритма, на котором проводится оценка функционального состояния пациента.</w:t>
      </w:r>
    </w:p>
    <w:p w:rsidR="008E3F15" w:rsidRDefault="005F449A">
      <w:pPr>
        <w:ind w:left="2" w:right="15"/>
      </w:pPr>
      <w:r>
        <w:rPr>
          <w:b/>
        </w:rPr>
        <w:t>IV этап: функциональное состояние.</w:t>
      </w:r>
      <w:r>
        <w:t xml:space="preserve"> Наиболее точным методом оценки функционального состояния считается кардиореспираторный нагрузочный тест, который проводится в специализированной лаборатории (Reeves T. et al., 2018). В условиях повседневной практики обычно используют тест с 6-минутной ход</w:t>
      </w:r>
      <w:r>
        <w:t>ьбой или заполнение опросника DASI (Shulman M. et al., 2019).</w:t>
      </w:r>
    </w:p>
    <w:p w:rsidR="008E3F15" w:rsidRDefault="005F449A">
      <w:pPr>
        <w:ind w:left="2" w:right="15"/>
      </w:pPr>
      <w:r>
        <w:t>Исследование METS показало, что субъективная оценка выявляла пациентов с максимальным потреблением кислорода &lt;14 мл/кг в мин с чувствительностью 19% при сопоставлении с результатами кардиореспир</w:t>
      </w:r>
      <w:r>
        <w:t>аторного нагрузочного теста. Неудивительно, что субъективная оценка не позволяла предсказать развитие кардиальных осложнений и смертности после операции, в отличие от более объективных методов оценки (Wijeysundera D. et al., 2018). Тактика предоперационног</w:t>
      </w:r>
      <w:r>
        <w:t xml:space="preserve">о ведения пациентов в зависимости от оценки функционального состояния пациента представлена в </w:t>
      </w:r>
      <w:r>
        <w:rPr>
          <w:b/>
        </w:rPr>
        <w:t>табл. 13.1</w:t>
      </w:r>
      <w:r>
        <w:t>.</w:t>
      </w:r>
    </w:p>
    <w:p w:rsidR="008E3F15" w:rsidRDefault="005F449A">
      <w:pPr>
        <w:spacing w:after="31"/>
        <w:ind w:left="2" w:right="15"/>
      </w:pPr>
      <w:r>
        <w:rPr>
          <w:b/>
        </w:rPr>
        <w:t xml:space="preserve">Таблица 13.1. </w:t>
      </w:r>
      <w:r>
        <w:t>Оценка функционального состояния пациента</w:t>
      </w:r>
    </w:p>
    <w:tbl>
      <w:tblPr>
        <w:tblStyle w:val="TableGrid"/>
        <w:tblW w:w="10485" w:type="dxa"/>
        <w:tblInd w:w="30" w:type="dxa"/>
        <w:tblCellMar>
          <w:top w:w="80" w:type="dxa"/>
          <w:left w:w="42" w:type="dxa"/>
          <w:bottom w:w="0" w:type="dxa"/>
          <w:right w:w="41" w:type="dxa"/>
        </w:tblCellMar>
        <w:tblLook w:val="04A0" w:firstRow="1" w:lastRow="0" w:firstColumn="1" w:lastColumn="0" w:noHBand="0" w:noVBand="1"/>
      </w:tblPr>
      <w:tblGrid>
        <w:gridCol w:w="2340"/>
        <w:gridCol w:w="3540"/>
        <w:gridCol w:w="4605"/>
      </w:tblGrid>
      <w:tr w:rsidR="008E3F15">
        <w:trPr>
          <w:trHeight w:val="570"/>
        </w:trPr>
        <w:tc>
          <w:tcPr>
            <w:tcW w:w="23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Функциональное состояние</w:t>
            </w:r>
          </w:p>
        </w:tc>
        <w:tc>
          <w:tcPr>
            <w:tcW w:w="3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rPr>
                <w:b/>
              </w:rPr>
              <w:t>Уровень физической нагрузки</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Тактика ведения</w:t>
            </w:r>
          </w:p>
        </w:tc>
      </w:tr>
      <w:tr w:rsidR="008E3F15">
        <w:trPr>
          <w:trHeight w:val="1050"/>
        </w:trPr>
        <w:tc>
          <w:tcPr>
            <w:tcW w:w="23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Плохое (&lt;4 МЕТ)</w:t>
            </w:r>
          </w:p>
        </w:tc>
        <w:tc>
          <w:tcPr>
            <w:tcW w:w="3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100" w:firstLine="0"/>
            </w:pPr>
            <w:r>
              <w:t>Не может пройти более 100 м по ровной поверхности, не может подняться на ≥2 пролета лестницы</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Необходимо обследование</w:t>
            </w:r>
          </w:p>
        </w:tc>
      </w:tr>
      <w:tr w:rsidR="008E3F15">
        <w:trPr>
          <w:trHeight w:val="810"/>
        </w:trPr>
        <w:tc>
          <w:tcPr>
            <w:tcW w:w="23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jc w:val="both"/>
            </w:pPr>
            <w:r>
              <w:t>Хорошее (4–10 МЕТ)</w:t>
            </w:r>
          </w:p>
        </w:tc>
        <w:tc>
          <w:tcPr>
            <w:tcW w:w="3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Поднимается на ≥2 пролета лестницы, ходьба без ограничений 5 км/ч</w:t>
            </w:r>
          </w:p>
        </w:tc>
        <w:tc>
          <w:tcPr>
            <w:tcW w:w="46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120" w:firstLine="0"/>
            </w:pPr>
            <w:r>
              <w:t>Хирургия возможна без обследования у асимптомных пациентов.</w:t>
            </w:r>
          </w:p>
          <w:p w:rsidR="008E3F15" w:rsidRDefault="005F449A">
            <w:pPr>
              <w:spacing w:after="0" w:line="259" w:lineRule="auto"/>
              <w:ind w:left="0" w:right="0" w:firstLine="0"/>
            </w:pPr>
            <w:r>
              <w:t>Обследование симптомных пациентов</w:t>
            </w:r>
          </w:p>
        </w:tc>
      </w:tr>
      <w:tr w:rsidR="008E3F15">
        <w:trPr>
          <w:trHeight w:val="570"/>
        </w:trPr>
        <w:tc>
          <w:tcPr>
            <w:tcW w:w="23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jc w:val="both"/>
            </w:pPr>
            <w:r>
              <w:t>Отличное (&gt;10 МЕТ)</w:t>
            </w:r>
          </w:p>
        </w:tc>
        <w:tc>
          <w:tcPr>
            <w:tcW w:w="35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222" w:firstLine="0"/>
            </w:pPr>
            <w:r>
              <w:t>Тяжелые нагрузки, спорт с высокими энергозатратами</w:t>
            </w:r>
          </w:p>
        </w:tc>
        <w:tc>
          <w:tcPr>
            <w:tcW w:w="460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Хирургия без обследования</w:t>
            </w:r>
          </w:p>
        </w:tc>
      </w:tr>
    </w:tbl>
    <w:p w:rsidR="008E3F15" w:rsidRDefault="005F449A">
      <w:pPr>
        <w:ind w:left="2" w:right="15"/>
      </w:pPr>
      <w:r>
        <w:t>В крупном исследовании BASEL-PMI у пациентов с высоким сердечно-сосудистым риском самооценка функциональной способности подъема &lt;2 лестничных пролетов была независимо связана с серьезными неблагоприятными сердечными событиями и смертностью</w:t>
      </w:r>
    </w:p>
    <w:p w:rsidR="008E3F15" w:rsidRDefault="005F449A">
      <w:pPr>
        <w:ind w:left="2" w:right="15"/>
      </w:pPr>
      <w:r>
        <w:t>от всех причин ч</w:t>
      </w:r>
      <w:r>
        <w:t>ерез 30 дней и 1 год (Lurati B. et al., 2021). Добавление самооценки функциональной способности к оценке риска с помощью индекса RCRI улучшило оценку риска.</w:t>
      </w:r>
    </w:p>
    <w:p w:rsidR="008E3F15" w:rsidRDefault="005F449A">
      <w:pPr>
        <w:ind w:left="2" w:right="186"/>
      </w:pPr>
      <w:r>
        <w:t>Индекс DASI, включающий 12 оценок нагрузок разной интенсивности, равный 34 баллам или менее, был св</w:t>
      </w:r>
      <w:r>
        <w:t>язан с повышением риска повреждения или ИМ, умеренных/тяжелых осложнений у хирургических пациентов в исследовании METS (Wijeysundera D. et al., 2018). Кроме того, индекс DASI лучше предсказывал риски, чем субъективная оценка анестезиологом функциональных в</w:t>
      </w:r>
      <w:r>
        <w:t>озможностей пациента.</w:t>
      </w:r>
    </w:p>
    <w:p w:rsidR="008E3F15" w:rsidRDefault="005F449A">
      <w:pPr>
        <w:numPr>
          <w:ilvl w:val="0"/>
          <w:numId w:val="7"/>
        </w:numPr>
        <w:ind w:right="184"/>
      </w:pPr>
      <w:r>
        <w:rPr>
          <w:b/>
        </w:rPr>
        <w:t xml:space="preserve">этап: дополнительное обследование. </w:t>
      </w:r>
      <w:r>
        <w:t>Дополнительное обследование для уточнения прогноза и наличия заболевания при сниженной функциональной способности целесообразно после получения согласия пациента на возможные хирургические вмешательс</w:t>
      </w:r>
      <w:r>
        <w:t>тва. При подозрении на коронарную болезнь проводят коронарную КТангиографию и/или визуальный стресс-тест. При отрицательных результатах нагрузочных тестов выполняется внесердечное хирургическое вмешательство, при положительных — проводится КГ и решается во</w:t>
      </w:r>
      <w:r>
        <w:t>прос о необходимости и сроках реваскуляризации мио карда. Возможно также рутинное проведение КГ без стресс-тестов (Сумин А.Н., Сумин Д.А., 2015). В случае сниженной функциональной способности пациента целесообразно оценить состояние сердца с помощью натрий</w:t>
      </w:r>
      <w:r>
        <w:t>уретического пептида и эхокардиографии, если это не было сделано ранее. Хотя пред операционная эхокардиография в целом не улучшает выживаемость пациентов и не снижает риск ССЗ даже при наличии коронарной болезни, выявление серьезных аномалий (например, выр</w:t>
      </w:r>
      <w:r>
        <w:t>аженной митральной регургитации) может повлиять на риск сердечно-сосудистых осложнений у отдельных пациентов (Chang H. et al.,</w:t>
      </w:r>
    </w:p>
    <w:p w:rsidR="008E3F15" w:rsidRDefault="005F449A">
      <w:pPr>
        <w:spacing w:after="31"/>
        <w:ind w:left="2" w:right="15"/>
      </w:pPr>
      <w:r>
        <w:t>2019; Liu Z. et al., 2022).</w:t>
      </w:r>
    </w:p>
    <w:p w:rsidR="008E3F15" w:rsidRDefault="005F449A">
      <w:pPr>
        <w:numPr>
          <w:ilvl w:val="0"/>
          <w:numId w:val="7"/>
        </w:numPr>
        <w:spacing w:after="179"/>
        <w:ind w:right="184"/>
      </w:pPr>
      <w:r>
        <w:rPr>
          <w:b/>
        </w:rPr>
        <w:t xml:space="preserve">этап: превентивное лечение. </w:t>
      </w:r>
      <w:r>
        <w:rPr>
          <w:i/>
        </w:rPr>
        <w:t xml:space="preserve">Реваскуляризация мио карда. </w:t>
      </w:r>
      <w:r>
        <w:t>У пациентов со стабильной нетяжелой СК или бе</w:t>
      </w:r>
      <w:r>
        <w:t>ссимптомной ишемией мио карда реваскуляризация нецелесообразна. Если реваскуляризация показана, то необходимо учитывать рекомендуемые сроки для некардиальных операций после вмешательств, обусловленные необходимостью двойной антиагрегантной терапии:</w:t>
      </w:r>
    </w:p>
    <w:p w:rsidR="008E3F15" w:rsidRDefault="005F449A">
      <w:pPr>
        <w:ind w:left="340" w:right="4994"/>
      </w:pPr>
      <w:r>
        <w:rPr>
          <w:rFonts w:ascii="Calibri" w:eastAsia="Calibri" w:hAnsi="Calibri" w:cs="Calibri"/>
          <w:noProof/>
          <w:color w:val="000000"/>
          <w:sz w:val="22"/>
        </w:rPr>
        <mc:AlternateContent>
          <mc:Choice Requires="wpg">
            <w:drawing>
              <wp:anchor distT="0" distB="0" distL="114300" distR="114300" simplePos="0" relativeHeight="251853824"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302432" name="Group 302432"/>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5158" name="Shape 15158"/>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160" name="Shape 1516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162" name="Shape 1516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164" name="Shape 15164"/>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2432" style="width:4.5pt;height:40.5pt;position:absolute;mso-position-horizontal-relative:text;mso-position-horizontal:absolute;margin-left:16.5pt;mso-position-vertical-relative:text;margin-top:2.74219pt;" coordsize="571,5143">
                <v:shape id="Shape 15158" style="position:absolute;width:571;height:571;left:0;top:0;" coordsize="57150,57150" path="m28575,0c32364,0,36009,595,39510,1885c43011,3373,46101,5457,48781,8334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334c11049,5457,14139,3373,17640,1885c21141,595,24786,0,28575,0x">
                  <v:stroke weight="0pt" endcap="flat" joinstyle="miter" miterlimit="10" on="false" color="#000000" opacity="0"/>
                  <v:fill on="true" color="#333333"/>
                </v:shape>
                <v:shape id="Shape 15160" style="position:absolute;width:571;height:571;left:0;top:1524;" coordsize="57150,57150" path="m28575,0c32364,0,36009,695,39510,2084c43011,3572,46101,5655,48781,8334c51460,11013,53525,14089,54975,17562c56425,20935,57150,24705,57150,28575c57150,32246,56425,35818,54975,39390c53525,42863,51460,45839,48781,48617c46101,51197,43011,53280,39510,54769c36009,56059,32364,56952,28575,57150c24786,56952,21141,56059,17640,54769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5162" style="position:absolute;width:571;height:571;left:0;top:3048;" coordsize="57150,57150" path="m28575,0c32364,0,36009,695,39510,2084c43011,3572,46101,5655,48781,8334c51460,10815,53525,13990,54975,17363c56425,20836,57150,24507,57150,28575c57150,32246,56425,35818,54975,39390c53525,42863,51460,45938,48781,48816c46101,51296,43011,53380,39510,54868c36009,56257,32364,56952,28575,57150c24786,56952,21141,56257,17640,54868c14139,53380,11049,51296,8369,48816c5690,45938,3625,42863,2175,39390c725,35818,0,32246,0,28575c0,24507,725,20836,2175,17363c3625,13990,5690,10815,8369,8334c11049,5655,14139,3572,17640,2084c21141,695,24786,0,28575,0x">
                  <v:stroke weight="0pt" endcap="flat" joinstyle="miter" miterlimit="10" on="false" color="#000000" opacity="0"/>
                  <v:fill on="true" color="#333333"/>
                </v:shape>
                <v:shape id="Shape 15164" style="position:absolute;width:571;height:571;left:0;top:4572;" coordsize="57150,57150" path="m28575,0c32364,0,36009,695,39510,2084c43011,3572,46101,5655,48781,8334c51460,11013,53525,14089,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4089,5690,11013,8369,8334c11049,5655,14139,3572,17640,2084c21141,695,24786,0,28575,0x">
                  <v:stroke weight="0pt" endcap="flat" joinstyle="miter" miterlimit="10" on="false" color="#000000" opacity="0"/>
                  <v:fill on="true" color="#333333"/>
                </v:shape>
                <w10:wrap type="square"/>
              </v:group>
            </w:pict>
          </mc:Fallback>
        </mc:AlternateContent>
      </w:r>
      <w:r>
        <w:t>ангиоп</w:t>
      </w:r>
      <w:r>
        <w:t>ластика — ≥2 нед; голометаллические стенты — ≥4 нед;</w:t>
      </w:r>
    </w:p>
    <w:p w:rsidR="008E3F15" w:rsidRDefault="005F449A">
      <w:pPr>
        <w:spacing w:after="179"/>
        <w:ind w:left="340" w:right="2606"/>
      </w:pPr>
      <w:r>
        <w:t>современные стенты, выделяющие лекарства, — ≥3–6 мес; стенты, выделяющие лекарства, первых поколений — ≥12 мес.</w:t>
      </w:r>
    </w:p>
    <w:p w:rsidR="008E3F15" w:rsidRDefault="005F449A">
      <w:pPr>
        <w:ind w:left="2" w:right="15"/>
      </w:pPr>
      <w:r>
        <w:t xml:space="preserve">При необходимости проведения внесердечной операции в более краткие сроки можно рассмотреть </w:t>
      </w:r>
      <w:r>
        <w:t>реваскуляризацию мио карда с помощью КШ, после которой не требуется обязательного приема двойной антиагрегантной терапии.</w:t>
      </w:r>
    </w:p>
    <w:p w:rsidR="008E3F15" w:rsidRDefault="005F449A">
      <w:pPr>
        <w:ind w:left="2" w:right="15"/>
      </w:pPr>
      <w:r>
        <w:t xml:space="preserve">Кроме того, по данным датских регистров, после реваскуляризации стентами, выделяющими лекарства, хирургическое лечение сопровождалось </w:t>
      </w:r>
      <w:r>
        <w:t>повышением риска ИМ и сердечной смерти только в первый месяц после вмешательства (Egholm G. et al., 2016).</w:t>
      </w:r>
    </w:p>
    <w:p w:rsidR="008E3F15" w:rsidRDefault="005F449A">
      <w:pPr>
        <w:spacing w:after="359"/>
        <w:ind w:left="2" w:right="15"/>
      </w:pPr>
      <w:r>
        <w:t>Анализ большой американской базы данных показал, что госпитальный риск ИМ и смерти при несердечной хирургии в первые 6 мес после ЧКВ повышен в 2 раза (10 против 5%), особенно в первый месяц, а кровотечения описаны у 32% пациентов (Smilowitz N. et al., 2019</w:t>
      </w:r>
      <w:r>
        <w:t xml:space="preserve">). </w:t>
      </w:r>
      <w:r>
        <w:rPr>
          <w:i/>
        </w:rPr>
        <w:t xml:space="preserve">Коррекция пороков сердца. </w:t>
      </w:r>
      <w:r>
        <w:t>Степень риска у пациентов с пороком сердца значительно варьирует в зависимости от вида и тяжести поражения клапанов, а также от типа предстоящего хирургического вмешательства. Общий подход ведения пациентов с пороками сердца пр</w:t>
      </w:r>
      <w:r>
        <w:t xml:space="preserve">едставлен на </w:t>
      </w:r>
      <w:r>
        <w:rPr>
          <w:b/>
        </w:rPr>
        <w:t>рис. 13.2</w:t>
      </w:r>
      <w:r>
        <w:t>.</w:t>
      </w:r>
    </w:p>
    <w:p w:rsidR="008E3F15" w:rsidRDefault="005F449A">
      <w:pPr>
        <w:pStyle w:val="Heading1"/>
        <w:ind w:left="2"/>
      </w:pPr>
      <w:r>
        <w:t>Часть I. Сердечно-сосудистые болезни</w:t>
      </w:r>
    </w:p>
    <w:p w:rsidR="008E3F15" w:rsidRDefault="005F449A">
      <w:pPr>
        <w:spacing w:after="65" w:line="259" w:lineRule="auto"/>
        <w:ind w:left="0" w:right="0" w:firstLine="0"/>
      </w:pPr>
      <w:r>
        <w:rPr>
          <w:noProof/>
        </w:rPr>
        <w:drawing>
          <wp:inline distT="0" distB="0" distL="0" distR="0">
            <wp:extent cx="5057775" cy="3114675"/>
            <wp:effectExtent l="0" t="0" r="0" b="0"/>
            <wp:docPr id="15195" name="Picture 15195"/>
            <wp:cNvGraphicFramePr/>
            <a:graphic xmlns:a="http://schemas.openxmlformats.org/drawingml/2006/main">
              <a:graphicData uri="http://schemas.openxmlformats.org/drawingml/2006/picture">
                <pic:pic xmlns:pic="http://schemas.openxmlformats.org/drawingml/2006/picture">
                  <pic:nvPicPr>
                    <pic:cNvPr id="15195" name="Picture 15195"/>
                    <pic:cNvPicPr/>
                  </pic:nvPicPr>
                  <pic:blipFill>
                    <a:blip r:embed="rId133"/>
                    <a:stretch>
                      <a:fillRect/>
                    </a:stretch>
                  </pic:blipFill>
                  <pic:spPr>
                    <a:xfrm>
                      <a:off x="0" y="0"/>
                      <a:ext cx="5057775" cy="3114675"/>
                    </a:xfrm>
                    <a:prstGeom prst="rect">
                      <a:avLst/>
                    </a:prstGeom>
                  </pic:spPr>
                </pic:pic>
              </a:graphicData>
            </a:graphic>
          </wp:inline>
        </w:drawing>
      </w:r>
    </w:p>
    <w:p w:rsidR="008E3F15" w:rsidRDefault="005F449A">
      <w:pPr>
        <w:spacing w:after="31"/>
        <w:ind w:left="2" w:right="15"/>
      </w:pPr>
      <w:r>
        <w:rPr>
          <w:b/>
        </w:rPr>
        <w:t xml:space="preserve">Рис. 13.2. </w:t>
      </w:r>
      <w:r>
        <w:t>Схема ведения пациентов с пороками клапанов</w:t>
      </w:r>
    </w:p>
    <w:p w:rsidR="008E3F15" w:rsidRDefault="005F449A">
      <w:pPr>
        <w:ind w:left="2" w:right="15"/>
      </w:pPr>
      <w:r>
        <w:t xml:space="preserve">Протезирование клапана рекомендовано у симптомных пациентов с тяжелым пороком клапана перед плановой внесердечной операцией в том случае, </w:t>
      </w:r>
      <w:r>
        <w:t>если нет высокого риска неблагоприятных событий при кардиохирургическом вмешательстве.</w:t>
      </w:r>
    </w:p>
    <w:p w:rsidR="008E3F15" w:rsidRDefault="005F449A">
      <w:pPr>
        <w:ind w:left="2" w:right="15"/>
      </w:pPr>
      <w:r>
        <w:t xml:space="preserve">Протезирование клапана может рассматриваться у бессимптомных пациентов с тяжелым пороком клапана перед плановой внесердечной операцией высокого риска, если нет высокого </w:t>
      </w:r>
      <w:r>
        <w:t>риска неблагоприятных событий при кардиохирургическом вмешательстве. Выполнение плановой внесердечной хирургической операции невысокого риска может рассматриваться у асимптомных пациентов с тяжелым пороком клапана без предварительных манипуляций на клапане</w:t>
      </w:r>
      <w:r>
        <w:t>.</w:t>
      </w:r>
    </w:p>
    <w:p w:rsidR="008E3F15" w:rsidRDefault="005F449A">
      <w:pPr>
        <w:ind w:left="2" w:right="15"/>
      </w:pPr>
      <w:r>
        <w:t>Возможность транскатетерного лечения (имплантация клапана, пластика, комиссуротомия) должна быть оценена консилиумом специалистов для симптомных пациентов с тяжелым пороком клапана, которые имеют высокий риск неблагоприятного исхода при протезировании кл</w:t>
      </w:r>
      <w:r>
        <w:t>апана.</w:t>
      </w:r>
    </w:p>
    <w:p w:rsidR="008E3F15" w:rsidRDefault="005F449A">
      <w:pPr>
        <w:ind w:left="2" w:right="96"/>
      </w:pPr>
      <w:r>
        <w:t>Пластика клапанов или имплантация биологических клапанов (у пациентов после 70 лет) позволяет избежать необходимости постоянного приема оральных антикоагулянтов. У пациентов с клапанными пороками профилактика инфекционного эндокардита c помощью анти</w:t>
      </w:r>
      <w:r>
        <w:t xml:space="preserve">биотиков (например, ампициллин 2 г в/м или в/в за 30–60 мин до процедуры) показана при инвазивных манипуляциях в условиях инфекции (например, дренаж абсцесса) (ESC). </w:t>
      </w:r>
      <w:r>
        <w:rPr>
          <w:i/>
        </w:rPr>
        <w:t xml:space="preserve">Артериальная гипертензия. </w:t>
      </w:r>
      <w:r>
        <w:t>Пациенты с впервые диагностированной артериальной гипертензией п</w:t>
      </w:r>
      <w:r>
        <w:t>еред операцией должны быть обследованы с целью выявления поражения органов-мишеней и факторов сердечно-сосудистого риска.</w:t>
      </w:r>
    </w:p>
    <w:p w:rsidR="008E3F15" w:rsidRDefault="005F449A">
      <w:pPr>
        <w:ind w:left="2" w:right="15"/>
      </w:pPr>
      <w:r>
        <w:t>Следует избегать выраженных колебаний АД в периоперационном периоде у пациентов, страдающих артериальной гипертензией.</w:t>
      </w:r>
    </w:p>
    <w:p w:rsidR="008E3F15" w:rsidRDefault="005F449A">
      <w:pPr>
        <w:ind w:left="2" w:right="787"/>
      </w:pPr>
      <w:r>
        <w:t>Допускается не откладывать внесердечное хирургическое вмешательство у пациентов с АДс &lt;180 мм рт.ст. и/или диастолическим АД &lt;100 мм рт.ст.</w:t>
      </w:r>
    </w:p>
    <w:p w:rsidR="008E3F15" w:rsidRDefault="005F449A">
      <w:pPr>
        <w:ind w:left="2" w:right="15"/>
      </w:pPr>
      <w:r>
        <w:rPr>
          <w:i/>
        </w:rPr>
        <w:t>Сердечная недостаточность.</w:t>
      </w:r>
      <w:r>
        <w:t xml:space="preserve"> У пациентов с установленной или подозреваемой СН рекомендованы оценка функции левого желу</w:t>
      </w:r>
      <w:r>
        <w:t>дочка и определение этиологии заболевания. Пациентам с установленной СН, которым планируется выполнение внесердечного хирургического вмешательства высокого риска, рекомендовано назначение оптимальной медикаментозной терапии (β-адреноблокаторы, иАПФ/БРА, аМ</w:t>
      </w:r>
      <w:r>
        <w:t>КР и диуретики) согласно существующим рекомендациям.</w:t>
      </w:r>
    </w:p>
    <w:p w:rsidR="008E3F15" w:rsidRDefault="005F449A">
      <w:pPr>
        <w:ind w:left="2" w:right="133"/>
      </w:pPr>
      <w:r>
        <w:t>Для пациентов с впервые диагностированной СН предпочтительно, чтобы выполнение хирургической операции повышенного риска было отложено на срок не менее 3 мес с момента начала терапии СН для возможности ти</w:t>
      </w:r>
      <w:r>
        <w:t>трации дозы препаратов до максимальной эффективной и потенциального достижения улучшения функции левого желудочка и его ремоделирования.</w:t>
      </w:r>
    </w:p>
    <w:p w:rsidR="008E3F15" w:rsidRDefault="005F449A">
      <w:pPr>
        <w:ind w:left="2" w:right="15"/>
      </w:pPr>
      <w:r>
        <w:t>Начало терапии высокими дозами β-адреноблокаторов и/или иАПФ без адекватной титрации дозы незадолго до операции не реко</w:t>
      </w:r>
      <w:r>
        <w:t>мендовано. Пациенты с СН должны находиться в состоянии нормоволемии с оптимальной органной перфузией.</w:t>
      </w:r>
    </w:p>
    <w:p w:rsidR="008E3F15" w:rsidRDefault="005F449A">
      <w:pPr>
        <w:ind w:left="2" w:right="15"/>
      </w:pPr>
      <w:r>
        <w:rPr>
          <w:i/>
        </w:rPr>
        <w:t xml:space="preserve">Нарушения ритма и проводимости сердца. </w:t>
      </w:r>
      <w:r>
        <w:t>Многие аритмии (например, ФП, устойчивая ЖТ, АВ-блокада, дисфункция синусового узла) могут быть проявлением структу</w:t>
      </w:r>
      <w:r>
        <w:t>рного заболевания мио карда. Следует устранить возможные провоцирующие факторы (электролитный дисбаланс, лекарственные препараты с проаритмическим эффектом и т.д.).</w:t>
      </w:r>
    </w:p>
    <w:p w:rsidR="008E3F15" w:rsidRDefault="005F449A">
      <w:pPr>
        <w:ind w:left="2" w:right="15"/>
      </w:pPr>
      <w:r>
        <w:t>Не существует убедительных доказательств, что желудочковые ЭС любой градации или неустойчив</w:t>
      </w:r>
      <w:r>
        <w:t xml:space="preserve">ая ЖТ ассоциированы с худшим прогнозом или что антиаритмическая терапия положительно влияет на частоту периоперационных осложнений. При устойчивых ЖТ проводится профилактическое медикаментозное лечение, обычно с помощью амиодарона. При частых и симптомных </w:t>
      </w:r>
      <w:r>
        <w:t>приступах ФП проводится профилактическая антиаритмическая терапия или контролируется ЧСС, обычно с помощью β-адреноблокаторов. В тяжелых случаях может быть показана катетерная абляция.</w:t>
      </w:r>
    </w:p>
    <w:p w:rsidR="008E3F15" w:rsidRDefault="005F449A">
      <w:pPr>
        <w:ind w:left="2" w:right="313"/>
      </w:pPr>
      <w:r>
        <w:t>В случае терапии варфарином последний отменяют за 5 дней, а прямые орал</w:t>
      </w:r>
      <w:r>
        <w:t xml:space="preserve">ьные антикоагулянты — за 1–3 сут (в зависимости от рСКФ и риска кровотечений) до операции. Профилактическое использование кардиостимуляции перед внесердечным хирургическим вмешательством не рекомендовано. Установка кардиостимулятора может быть оправдана в </w:t>
      </w:r>
      <w:r>
        <w:t>предоперационном периоде у пациентов с полной АВ-блокадой или симптомными эпизодами асистолии.</w:t>
      </w:r>
    </w:p>
    <w:p w:rsidR="008E3F15" w:rsidRDefault="005F449A">
      <w:pPr>
        <w:ind w:left="2" w:right="15"/>
      </w:pPr>
      <w:r>
        <w:rPr>
          <w:i/>
        </w:rPr>
        <w:t>Медикаментозное лечение.</w:t>
      </w:r>
      <w:r>
        <w:t xml:space="preserve"> Тактика приема лекарственных препаратов в периоперационном периоде представлена в </w:t>
      </w:r>
      <w:r>
        <w:rPr>
          <w:b/>
        </w:rPr>
        <w:t>табл. 13.2</w:t>
      </w:r>
      <w:r>
        <w:t>.</w:t>
      </w:r>
    </w:p>
    <w:p w:rsidR="008E3F15" w:rsidRDefault="005F449A">
      <w:pPr>
        <w:spacing w:after="31"/>
        <w:ind w:left="2" w:right="15"/>
      </w:pPr>
      <w:r>
        <w:rPr>
          <w:b/>
        </w:rPr>
        <w:t xml:space="preserve">Таблица 13.2. </w:t>
      </w:r>
      <w:r>
        <w:t>Режим приема лекарственных п</w:t>
      </w:r>
      <w:r>
        <w:t>репаратов в периоперационном периоде</w:t>
      </w:r>
    </w:p>
    <w:tbl>
      <w:tblPr>
        <w:tblStyle w:val="TableGrid"/>
        <w:tblW w:w="10485" w:type="dxa"/>
        <w:tblInd w:w="30" w:type="dxa"/>
        <w:tblCellMar>
          <w:top w:w="80" w:type="dxa"/>
          <w:left w:w="42" w:type="dxa"/>
          <w:bottom w:w="0" w:type="dxa"/>
          <w:right w:w="115" w:type="dxa"/>
        </w:tblCellMar>
        <w:tblLook w:val="04A0" w:firstRow="1" w:lastRow="0" w:firstColumn="1" w:lastColumn="0" w:noHBand="0" w:noVBand="1"/>
      </w:tblPr>
      <w:tblGrid>
        <w:gridCol w:w="2790"/>
        <w:gridCol w:w="7695"/>
      </w:tblGrid>
      <w:tr w:rsidR="008E3F15">
        <w:trPr>
          <w:trHeight w:val="330"/>
        </w:trPr>
        <w:tc>
          <w:tcPr>
            <w:tcW w:w="27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Препараты</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Показания, рекомендации</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β-Адреноблокаторы</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Продолжить, если получали до операции.</w:t>
            </w:r>
          </w:p>
          <w:p w:rsidR="008E3F15" w:rsidRDefault="005F449A">
            <w:pPr>
              <w:spacing w:after="0" w:line="259" w:lineRule="auto"/>
              <w:ind w:left="0" w:right="0" w:firstLine="0"/>
            </w:pPr>
            <w:r>
              <w:t>Можно назначить за ≥2 сут до операции у пациентов с высоким риском ишемии/ИМ, ФП</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Статины</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Продолжить прием.</w:t>
            </w:r>
          </w:p>
          <w:p w:rsidR="008E3F15" w:rsidRDefault="005F449A">
            <w:pPr>
              <w:spacing w:after="0" w:line="259" w:lineRule="auto"/>
              <w:ind w:left="0" w:right="0" w:firstLine="0"/>
            </w:pPr>
            <w:r>
              <w:t>Назначить при высоком сердечно-сосудистом риске не позднее чем за 2 нед перед сосудистыми операциями в высокой дозе</w:t>
            </w:r>
          </w:p>
        </w:tc>
      </w:tr>
      <w:tr w:rsidR="008E3F15">
        <w:trPr>
          <w:trHeight w:val="57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иАПФ/БРА, иНГЛТ-2</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СНнФВ и СНпФВ.</w:t>
            </w:r>
          </w:p>
          <w:p w:rsidR="008E3F15" w:rsidRDefault="005F449A">
            <w:pPr>
              <w:spacing w:after="0" w:line="259" w:lineRule="auto"/>
              <w:ind w:left="0" w:right="0" w:firstLine="0"/>
            </w:pPr>
            <w:r>
              <w:t>Отменить утреннюю дозу в день операции</w:t>
            </w:r>
          </w:p>
        </w:tc>
      </w:tr>
      <w:tr w:rsidR="008E3F15">
        <w:trPr>
          <w:trHeight w:val="57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Диуретики</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Застойная СН.</w:t>
            </w:r>
          </w:p>
          <w:p w:rsidR="008E3F15" w:rsidRDefault="005F449A">
            <w:pPr>
              <w:spacing w:after="0" w:line="259" w:lineRule="auto"/>
              <w:ind w:left="0" w:right="0" w:firstLine="0"/>
            </w:pPr>
            <w:r>
              <w:t>Отменить утреннюю дозу в день операции</w:t>
            </w:r>
          </w:p>
        </w:tc>
      </w:tr>
      <w:tr w:rsidR="008E3F15">
        <w:trPr>
          <w:trHeight w:val="81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Антиагреганты</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Отменить клопидогрел, тикагрелор за 5 сут до операции.</w:t>
            </w:r>
          </w:p>
          <w:p w:rsidR="008E3F15" w:rsidRDefault="005F449A">
            <w:pPr>
              <w:spacing w:after="0" w:line="259" w:lineRule="auto"/>
              <w:ind w:left="0" w:right="0" w:firstLine="0"/>
            </w:pPr>
            <w:r>
              <w:t>Отменить АСК, прасугрел за 7 сут до операции.</w:t>
            </w:r>
          </w:p>
          <w:p w:rsidR="008E3F15" w:rsidRDefault="005F449A">
            <w:pPr>
              <w:spacing w:after="0" w:line="259" w:lineRule="auto"/>
              <w:ind w:left="0" w:right="0" w:firstLine="0"/>
            </w:pPr>
            <w:r>
              <w:t>При высоком риске тромбозов продолжить лечение</w:t>
            </w:r>
          </w:p>
        </w:tc>
      </w:tr>
      <w:tr w:rsidR="008E3F15">
        <w:trPr>
          <w:trHeight w:val="1050"/>
        </w:trPr>
        <w:tc>
          <w:tcPr>
            <w:tcW w:w="27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Антикоагулянты</w:t>
            </w:r>
          </w:p>
        </w:tc>
        <w:tc>
          <w:tcPr>
            <w:tcW w:w="76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0" w:right="0" w:firstLine="0"/>
            </w:pPr>
            <w:r>
              <w:t>Варфарин отменить за 5 сут. Если нет очень высокого риска тромбоза, то без гепаринового моста.</w:t>
            </w:r>
          </w:p>
          <w:p w:rsidR="008E3F15" w:rsidRDefault="005F449A">
            <w:pPr>
              <w:spacing w:after="0" w:line="259" w:lineRule="auto"/>
              <w:ind w:left="0" w:right="0" w:firstLine="0"/>
            </w:pPr>
            <w:r>
              <w:t>Отменить прямые антикоагулянты за 1–2 сут (или ранее при дисфункции почек)</w:t>
            </w:r>
          </w:p>
        </w:tc>
      </w:tr>
      <w:tr w:rsidR="008E3F15">
        <w:trPr>
          <w:trHeight w:val="570"/>
        </w:trPr>
        <w:tc>
          <w:tcPr>
            <w:tcW w:w="27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Антиаритмические препараты</w:t>
            </w:r>
          </w:p>
        </w:tc>
        <w:tc>
          <w:tcPr>
            <w:tcW w:w="76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Продолжить прием при нежелательных тахиаритмиях</w:t>
            </w:r>
          </w:p>
        </w:tc>
      </w:tr>
    </w:tbl>
    <w:p w:rsidR="008E3F15" w:rsidRDefault="005F449A">
      <w:pPr>
        <w:pStyle w:val="Heading1"/>
        <w:ind w:left="2"/>
      </w:pPr>
      <w:r>
        <w:t>Часть I. Сердечно-сосудистые болезни</w:t>
      </w:r>
    </w:p>
    <w:p w:rsidR="008E3F15" w:rsidRDefault="005F449A">
      <w:pPr>
        <w:ind w:left="2" w:right="87"/>
      </w:pPr>
      <w:r>
        <w:t>β-Адреноблокаторы, по-видимому, могут снизить риск ИМ, ФП, но не смертность при возрастании частоты гипотензии и брадикардии (Cochrane Reviews; Oesterle A. et al., 2018). Антиагреганты не влияют существенно на общую и сердечно-сосудистую смертность, частот</w:t>
      </w:r>
      <w:r>
        <w:t>у острых артериальных ишемических событий, но возрастает риск кровотечений, поэтому от приема лучше воздержаться (Wolff G. et al., 2018; Graham M. et al., 2018).</w:t>
      </w:r>
    </w:p>
    <w:p w:rsidR="008E3F15" w:rsidRDefault="005F449A">
      <w:pPr>
        <w:ind w:left="2" w:right="15"/>
      </w:pPr>
      <w:r>
        <w:t>Нельзя исключить позитивное влияние статинов на периоперационные сердечно-сосудистые риски, ос</w:t>
      </w:r>
      <w:r>
        <w:t>обенно при сосудистых операциях у пациентов высокого риска (Cochrane Reviews; Ma B. et al., 2018; Antoniou G. et al., 2015).</w:t>
      </w:r>
    </w:p>
    <w:p w:rsidR="008E3F15" w:rsidRDefault="005F449A">
      <w:pPr>
        <w:spacing w:after="359"/>
        <w:ind w:left="2" w:right="451"/>
      </w:pPr>
      <w:r>
        <w:t>Использование гепаринового моста после отмены оральных антикоагулянтов (варфарина, возможно и прямых антикоагулянтов) у пациентов с</w:t>
      </w:r>
      <w:r>
        <w:t xml:space="preserve"> механическими клапанами или ФП не снижает риск сердечно-сосудистых тромботических событий (Kuo H. et al., 2020; MARK; PERIOP2).</w:t>
      </w:r>
    </w:p>
    <w:p w:rsidR="008E3F15" w:rsidRDefault="005F449A">
      <w:pPr>
        <w:pStyle w:val="Heading1"/>
        <w:ind w:left="2"/>
      </w:pPr>
      <w:r>
        <w:t>Часть I. Сердечно-сосудистые болезни</w:t>
      </w:r>
    </w:p>
    <w:p w:rsidR="008E3F15" w:rsidRDefault="005F449A">
      <w:pPr>
        <w:spacing w:after="31"/>
        <w:ind w:left="2" w:right="15"/>
      </w:pPr>
      <w:r>
        <w:t>Реваскуляризация мио карда</w:t>
      </w:r>
    </w:p>
    <w:p w:rsidR="008E3F15" w:rsidRDefault="005F449A">
      <w:pPr>
        <w:ind w:left="2" w:right="229"/>
      </w:pPr>
      <w:r>
        <w:t>Ведение пациентов с заболеваниями сердца, в том числе с коронар</w:t>
      </w:r>
      <w:r>
        <w:t>ной болезнью, включает наряду с медикаментозной терапией отбор пациентов для инвазивного лечения, участие в работе мультидисциплинарного консилиума по определению тактики лечения, предоперационное обследование, периоперационное сопровождение, а в послеопер</w:t>
      </w:r>
      <w:r>
        <w:t>ационном периоде — реабилитацию и вторичную профилактику.</w:t>
      </w:r>
    </w:p>
    <w:p w:rsidR="008E3F15" w:rsidRDefault="005F449A">
      <w:pPr>
        <w:ind w:left="2" w:right="15"/>
      </w:pPr>
      <w:r>
        <w:t>Эти задачи выполняют кардиологи поликлиник, стационаров и центров сердечно-сосудистой хирургии.</w:t>
      </w:r>
    </w:p>
    <w:p w:rsidR="008E3F15" w:rsidRDefault="005F449A">
      <w:pPr>
        <w:ind w:left="2" w:right="15"/>
      </w:pPr>
      <w:r>
        <w:t xml:space="preserve">С целью оптимизации отбора пациентов со стабильной коронарной болезнью для реваскуляризации мио карда </w:t>
      </w:r>
      <w:r>
        <w:t xml:space="preserve">разработан пошаговый алгоритм, представленный на </w:t>
      </w:r>
      <w:r>
        <w:rPr>
          <w:b/>
        </w:rPr>
        <w:t>рис. 13.3</w:t>
      </w:r>
      <w:r>
        <w:t>.</w:t>
      </w:r>
    </w:p>
    <w:p w:rsidR="008E3F15" w:rsidRDefault="005F449A">
      <w:pPr>
        <w:spacing w:after="65" w:line="259" w:lineRule="auto"/>
        <w:ind w:left="0" w:right="0" w:firstLine="0"/>
      </w:pPr>
      <w:r>
        <w:rPr>
          <w:noProof/>
        </w:rPr>
        <w:drawing>
          <wp:inline distT="0" distB="0" distL="0" distR="0">
            <wp:extent cx="5057775" cy="3943350"/>
            <wp:effectExtent l="0" t="0" r="0" b="0"/>
            <wp:docPr id="15356" name="Picture 15356"/>
            <wp:cNvGraphicFramePr/>
            <a:graphic xmlns:a="http://schemas.openxmlformats.org/drawingml/2006/main">
              <a:graphicData uri="http://schemas.openxmlformats.org/drawingml/2006/picture">
                <pic:pic xmlns:pic="http://schemas.openxmlformats.org/drawingml/2006/picture">
                  <pic:nvPicPr>
                    <pic:cNvPr id="15356" name="Picture 15356"/>
                    <pic:cNvPicPr/>
                  </pic:nvPicPr>
                  <pic:blipFill>
                    <a:blip r:embed="rId134"/>
                    <a:stretch>
                      <a:fillRect/>
                    </a:stretch>
                  </pic:blipFill>
                  <pic:spPr>
                    <a:xfrm>
                      <a:off x="0" y="0"/>
                      <a:ext cx="5057775" cy="3943350"/>
                    </a:xfrm>
                    <a:prstGeom prst="rect">
                      <a:avLst/>
                    </a:prstGeom>
                  </pic:spPr>
                </pic:pic>
              </a:graphicData>
            </a:graphic>
          </wp:inline>
        </w:drawing>
      </w:r>
    </w:p>
    <w:p w:rsidR="008E3F15" w:rsidRDefault="005F449A">
      <w:pPr>
        <w:ind w:left="2" w:right="15"/>
      </w:pPr>
      <w:r>
        <w:rPr>
          <w:b/>
        </w:rPr>
        <w:t xml:space="preserve">Рис. 13.3. </w:t>
      </w:r>
      <w:r>
        <w:t>Алгоритм отбора пациентов со стабильной коронарной болезнью для реваскуляризации мио карда</w:t>
      </w:r>
    </w:p>
    <w:p w:rsidR="008E3F15" w:rsidRDefault="005F449A">
      <w:pPr>
        <w:numPr>
          <w:ilvl w:val="0"/>
          <w:numId w:val="8"/>
        </w:numPr>
        <w:ind w:right="15"/>
      </w:pPr>
      <w:r>
        <w:rPr>
          <w:b/>
        </w:rPr>
        <w:t xml:space="preserve">этап: диагностика обструктивной коронарной болезни. </w:t>
      </w:r>
      <w:r>
        <w:t>С целью снизить частоту неинформативных диагностических тестов, включая инвазивную КГ, целесообразно оценить претестовую вероятность обструктивной коронарной болезни.</w:t>
      </w:r>
    </w:p>
    <w:p w:rsidR="008E3F15" w:rsidRDefault="005F449A">
      <w:pPr>
        <w:ind w:left="2" w:right="295"/>
      </w:pPr>
      <w:r>
        <w:t>У пациентов с промежуточной претестовой вероятностью обструктивной коронарной болезни нео</w:t>
      </w:r>
      <w:r>
        <w:t>бходимо продолжить проведение неинвазивных исследований: стресс-тесты с визуализацией (эмиссионная томография, эхокардиография), КТ-ангиография коронарных артерий. В случае выявления ишемии мио карда или признаков значимого коронарного стеноза перейти к сл</w:t>
      </w:r>
      <w:r>
        <w:t>едующему этапу.</w:t>
      </w:r>
    </w:p>
    <w:p w:rsidR="008E3F15" w:rsidRDefault="005F449A">
      <w:pPr>
        <w:numPr>
          <w:ilvl w:val="0"/>
          <w:numId w:val="8"/>
        </w:numPr>
        <w:spacing w:after="179"/>
        <w:ind w:right="15"/>
      </w:pPr>
      <w:r>
        <w:rPr>
          <w:b/>
        </w:rPr>
        <w:t xml:space="preserve">этап: оценка показаний для реваскуляризации. </w:t>
      </w:r>
      <w:r>
        <w:t>Наряду с неблагоприятным прогнозом заболевания показаниями к КГ у пациентов с подозрением на обструктивную коронарную болезнь являются следующие (ACC/AHA/AATS/PCNA/SCAI/STS).</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54848" behindDoc="1" locked="0" layoutInCell="1" allowOverlap="1">
                <wp:simplePos x="0" y="0"/>
                <wp:positionH relativeFrom="column">
                  <wp:posOffset>209550</wp:posOffset>
                </wp:positionH>
                <wp:positionV relativeFrom="paragraph">
                  <wp:posOffset>34826</wp:posOffset>
                </wp:positionV>
                <wp:extent cx="438150" cy="209550"/>
                <wp:effectExtent l="0" t="0" r="0" b="0"/>
                <wp:wrapNone/>
                <wp:docPr id="300121" name="Group 300121"/>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5373" name="Shape 15373"/>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375" name="Shape 15375"/>
                        <wps:cNvSpPr/>
                        <wps:spPr>
                          <a:xfrm>
                            <a:off x="38100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0121" style="width:34.5pt;height:16.5pt;position:absolute;z-index:-2147483624;mso-position-horizontal-relative:text;mso-position-horizontal:absolute;margin-left:16.5pt;mso-position-vertical-relative:text;margin-top:2.74219pt;" coordsize="4381,2095">
                <v:shape id="Shape 15373" style="position:absolute;width:571;height:571;left:0;top:0;"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v:shape id="Shape 15375" style="position:absolute;width:571;height:571;left:3810;top:1524;"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791,5690,10716,8370,8136c11049,5457,14139,3373,17640,2084c21141,695,24786,0,28575,0x">
                  <v:stroke weight="0pt" endcap="flat" joinstyle="miter" miterlimit="10" on="false" color="#000000" opacity="0"/>
                  <v:fill on="true" color="#333333"/>
                </v:shape>
              </v:group>
            </w:pict>
          </mc:Fallback>
        </mc:AlternateContent>
      </w:r>
      <w:r>
        <w:rPr>
          <w:i/>
        </w:rPr>
        <w:t>I класс (рекомендуе</w:t>
      </w:r>
      <w:r>
        <w:rPr>
          <w:i/>
        </w:rPr>
        <w:t>тся).</w:t>
      </w:r>
    </w:p>
    <w:p w:rsidR="008E3F15" w:rsidRDefault="005F449A">
      <w:pPr>
        <w:ind w:left="1210" w:right="924"/>
      </w:pPr>
      <w:r>
        <w:t>Пациентам с предположительно стабильной коронарной болезнью и неприемлемыми ишемическими симптомами, несмотря на адекватную медикаментозную терапию, которые настроены или являются кандидатами на коронарную реваскуляризацию.</w:t>
      </w:r>
    </w:p>
    <w:p w:rsidR="008E3F15" w:rsidRDefault="005F449A">
      <w:pPr>
        <w:ind w:left="940" w:right="777"/>
      </w:pPr>
      <w:r>
        <w:rPr>
          <w:rFonts w:ascii="Calibri" w:eastAsia="Calibri" w:hAnsi="Calibri" w:cs="Calibri"/>
          <w:noProof/>
          <w:color w:val="000000"/>
          <w:sz w:val="22"/>
        </w:rPr>
        <mc:AlternateContent>
          <mc:Choice Requires="wpg">
            <w:drawing>
              <wp:anchor distT="0" distB="0" distL="114300" distR="114300" simplePos="0" relativeHeight="251855872" behindDoc="0" locked="0" layoutInCell="1" allowOverlap="1">
                <wp:simplePos x="0" y="0"/>
                <wp:positionH relativeFrom="column">
                  <wp:posOffset>590550</wp:posOffset>
                </wp:positionH>
                <wp:positionV relativeFrom="paragraph">
                  <wp:posOffset>34826</wp:posOffset>
                </wp:positionV>
                <wp:extent cx="57150" cy="514350"/>
                <wp:effectExtent l="0" t="0" r="0" b="0"/>
                <wp:wrapSquare wrapText="bothSides"/>
                <wp:docPr id="300122" name="Group 300122"/>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5380" name="Shape 15380"/>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363"/>
                                </a:cubicBezTo>
                                <a:cubicBezTo>
                                  <a:pt x="3625" y="13791"/>
                                  <a:pt x="5690" y="10716"/>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383" name="Shape 15383"/>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385" name="Shape 1538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0122" style="width:4.50001pt;height:40.5pt;position:absolute;mso-position-horizontal-relative:text;mso-position-horizontal:absolute;margin-left:46.5pt;mso-position-vertical-relative:text;margin-top:2.74219pt;" coordsize="571,5143">
                <v:shape id="Shape 15380" style="position:absolute;width:571;height:571;left:0;top:0;"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363c3625,13791,5690,10716,8370,8136c11049,5457,14139,3373,17640,2084c21141,695,24786,0,28575,0x">
                  <v:stroke weight="0pt" endcap="flat" joinstyle="miter" miterlimit="10" on="false" color="#000000" opacity="0"/>
                  <v:fill on="true" color="#333333"/>
                </v:shape>
                <v:shape id="Shape 15383" style="position:absolute;width:571;height:571;left:0;top:3048;"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3990,5690,10815,8370,8334c11049,5457,14139,3373,17640,2084c21141,695,24786,0,28575,0x">
                  <v:stroke weight="0pt" endcap="flat" joinstyle="miter" miterlimit="10" on="false" color="#000000" opacity="0"/>
                  <v:fill on="true" color="#333333"/>
                </v:shape>
                <v:shape id="Shape 15385" style="position:absolute;width:571;height:571;left:0;top:4572;"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990,5690,10815,8370,8334c11049,5457,14139,3373,17640,2084c21141,695,24786,0,28575,0x">
                  <v:stroke weight="0pt" endcap="flat" joinstyle="miter" miterlimit="10" on="false" color="#000000" opacity="0"/>
                  <v:fill on="true" color="#333333"/>
                </v:shape>
                <w10:wrap type="square"/>
              </v:group>
            </w:pict>
          </mc:Fallback>
        </mc:AlternateContent>
      </w:r>
      <w:r>
        <w:t>Выжившим после ВСС или при наличии опасных желудочковых аритмий для оценки сердечного риска. Пациентам с СН для оценки риска.</w:t>
      </w:r>
    </w:p>
    <w:p w:rsidR="008E3F15" w:rsidRDefault="005F449A">
      <w:pPr>
        <w:ind w:left="940" w:right="15"/>
      </w:pPr>
      <w:r>
        <w:t>Пациентам с высокой вероятностью тяжелой коронарной болезни по клинической картине и неинвазивным тестам (ФВЛЖ ≤35%, не объяснимая</w:t>
      </w:r>
      <w:r>
        <w:t xml:space="preserve"> некоронарогенными болезнями, аномалии перфузии в покое ≥10% без ИМ в анамнезе, при стресс-ЭКГ депрессия </w:t>
      </w:r>
      <w:r>
        <w:rPr>
          <w:i/>
        </w:rPr>
        <w:t>ST</w:t>
      </w:r>
      <w:r>
        <w:t xml:space="preserve"> ≥2 мм при низкой нагрузке или персистирующая при восстановлении, индуцированные нагрузкой подъем </w:t>
      </w:r>
      <w:r>
        <w:rPr>
          <w:i/>
        </w:rPr>
        <w:t>ST</w:t>
      </w:r>
      <w:r>
        <w:t xml:space="preserve"> или ЖТ/ФЖ).</w:t>
      </w:r>
    </w:p>
    <w:p w:rsidR="008E3F15" w:rsidRDefault="005F449A">
      <w:pPr>
        <w:spacing w:line="259" w:lineRule="auto"/>
        <w:ind w:left="602" w:right="0"/>
      </w:pPr>
      <w:r>
        <w:rPr>
          <w:rFonts w:ascii="Calibri" w:eastAsia="Calibri" w:hAnsi="Calibri" w:cs="Calibri"/>
          <w:noProof/>
          <w:color w:val="000000"/>
          <w:sz w:val="22"/>
        </w:rPr>
        <mc:AlternateContent>
          <mc:Choice Requires="wpg">
            <w:drawing>
              <wp:anchor distT="0" distB="0" distL="114300" distR="114300" simplePos="0" relativeHeight="251856896" behindDoc="1" locked="0" layoutInCell="1" allowOverlap="1">
                <wp:simplePos x="0" y="0"/>
                <wp:positionH relativeFrom="column">
                  <wp:posOffset>209550</wp:posOffset>
                </wp:positionH>
                <wp:positionV relativeFrom="paragraph">
                  <wp:posOffset>34826</wp:posOffset>
                </wp:positionV>
                <wp:extent cx="438150" cy="209550"/>
                <wp:effectExtent l="0" t="0" r="0" b="0"/>
                <wp:wrapNone/>
                <wp:docPr id="300123" name="Group 300123"/>
                <wp:cNvGraphicFramePr/>
                <a:graphic xmlns:a="http://schemas.openxmlformats.org/drawingml/2006/main">
                  <a:graphicData uri="http://schemas.microsoft.com/office/word/2010/wordprocessingGroup">
                    <wpg:wgp>
                      <wpg:cNvGrpSpPr/>
                      <wpg:grpSpPr>
                        <a:xfrm>
                          <a:off x="0" y="0"/>
                          <a:ext cx="438150" cy="209550"/>
                          <a:chOff x="0" y="0"/>
                          <a:chExt cx="438150" cy="209550"/>
                        </a:xfrm>
                      </wpg:grpSpPr>
                      <wps:wsp>
                        <wps:cNvPr id="15395" name="Shape 1539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397" name="Shape 15397"/>
                        <wps:cNvSpPr/>
                        <wps:spPr>
                          <a:xfrm>
                            <a:off x="381000" y="1524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0123" style="width:34.5pt;height:16.5pt;position:absolute;z-index:-2147483602;mso-position-horizontal-relative:text;mso-position-horizontal:absolute;margin-left:16.5pt;mso-position-vertical-relative:text;margin-top:2.74219pt;" coordsize="4381,2095">
                <v:shape id="Shape 15395" style="position:absolute;width:571;height:571;left:0;top:0;" coordsize="57150,57150" path="m28575,0c32364,0,36009,695,39510,2084c43011,3373,46101,5457,48781,8334c51460,10815,53525,13990,54975,17562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5397" style="position:absolute;width:571;height:571;left:3810;top:1524;" coordsize="57150,57150" path="m28575,0c32364,0,36009,695,39510,2183c43011,3572,46101,5655,48781,8334c51460,10815,53525,13990,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990,5690,10815,8370,8334c11049,5655,14139,3572,17640,2183c21141,695,24786,0,28575,0x">
                  <v:stroke weight="0pt" endcap="flat" joinstyle="miter" miterlimit="10" on="false" color="#000000" opacity="0"/>
                  <v:fill on="true" color="#333333"/>
                </v:shape>
              </v:group>
            </w:pict>
          </mc:Fallback>
        </mc:AlternateContent>
      </w:r>
      <w:r>
        <w:rPr>
          <w:i/>
        </w:rPr>
        <w:t>IIa класс (целесообразно).</w:t>
      </w:r>
    </w:p>
    <w:p w:rsidR="008E3F15" w:rsidRDefault="005F449A">
      <w:pPr>
        <w:ind w:left="1210" w:right="309"/>
      </w:pPr>
      <w:r>
        <w:t>Для опре</w:t>
      </w:r>
      <w:r>
        <w:t>деления степени и тяжести болезни коронарных артерий у пациентов с подозрением на стабильную коронарную болезнь, если клиническая картина и результаты неинвазивных тестов (исключая стресс-тест) указывают на высокую вероятность тяжелой коронарной болезни, и</w:t>
      </w:r>
      <w:r>
        <w:t xml:space="preserve"> которые настроены или являются кандидатами на коронарную реваскуляризацию.</w:t>
      </w:r>
    </w:p>
    <w:p w:rsidR="008E3F15" w:rsidRDefault="005F449A">
      <w:pPr>
        <w:ind w:left="12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00124" name="Group 30012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5403" name="Shape 15403"/>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0124" style="width:4.50001pt;height:4.5pt;mso-position-horizontal-relative:char;mso-position-vertical-relative:line" coordsize="571,571">
                <v:shape id="Shape 15403" style="position:absolute;width:571;height:571;left:0;top:0;" coordsize="57150,57150" path="m28575,0c32364,0,36009,595,39510,1885c43011,3373,46101,5457,48781,8334c51460,10815,53525,13990,54975,17363c56425,20935,57150,24705,57150,28575c57150,32246,56425,36016,54975,39390c53525,42863,51460,45938,48781,48816c46101,51296,43011,53380,39510,54868c36009,56257,32364,56952,28575,57150c24786,56952,21141,56257,17640,54868c14139,53380,11049,51296,8370,48816c5690,45938,3625,42863,2175,39390c725,36016,0,32246,0,28575c0,24705,725,20935,2175,17363c3625,13990,5690,10815,8370,8334c11049,5457,14139,3373,17640,1885c21141,595,24786,0,28575,0x">
                  <v:stroke weight="0pt" endcap="flat" joinstyle="miter" miterlimit="10" on="false" color="#000000" opacity="0"/>
                  <v:fill on="true" color="#333333"/>
                </v:shape>
              </v:group>
            </w:pict>
          </mc:Fallback>
        </mc:AlternateContent>
      </w:r>
      <w:r>
        <w:t xml:space="preserve"> Пациентам с подозрением на симптомную стабильную коронарную болезнь, которые не могут выполнить стресс-тест или имеют сомнительные</w:t>
      </w:r>
    </w:p>
    <w:p w:rsidR="008E3F15" w:rsidRDefault="005F449A">
      <w:pPr>
        <w:ind w:left="1210" w:right="15"/>
      </w:pPr>
      <w:r>
        <w:t xml:space="preserve">или недиагностические результаты, когда высока </w:t>
      </w:r>
      <w:r>
        <w:t>вероятность, что данные КГ могут существенно изменить лечение.</w:t>
      </w:r>
    </w:p>
    <w:p w:rsidR="008E3F15" w:rsidRDefault="005F449A">
      <w:pPr>
        <w:ind w:left="1200" w:right="511"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02797" name="Group 30279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5416" name="Shape 1541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70"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70"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2797" style="width:4.50001pt;height:4.5pt;mso-position-horizontal-relative:char;mso-position-vertical-relative:line" coordsize="571,571">
                <v:shape id="Shape 15416" style="position:absolute;width:571;height:571;left:0;top:0;" coordsize="57150,57150" path="m28575,0c32364,0,36009,695,39510,2084c43011,3373,46101,5358,48781,8136c51460,10716,53525,13791,54975,17562c56425,20935,57150,24705,57150,28575c57150,32246,56425,35818,54975,39291c53525,42863,51460,45938,48781,48617c46101,51296,43011,53380,39510,54769c36009,56257,32364,56952,28575,57150c24786,56952,21141,56257,17640,54769c14139,53380,11049,51296,8370,48617c5690,45938,3625,42863,2175,39291c725,35818,0,32246,0,28575c0,24705,725,20935,2175,17562c3625,13791,5690,10716,8370,8136c11049,5358,14139,3373,17640,2084c21141,695,24786,0,28575,0x">
                  <v:stroke weight="0pt" endcap="flat" joinstyle="miter" miterlimit="10" on="false" color="#000000" opacity="0"/>
                  <v:fill on="true" color="#333333"/>
                </v:shape>
              </v:group>
            </w:pict>
          </mc:Fallback>
        </mc:AlternateContent>
      </w:r>
      <w:r>
        <w:t xml:space="preserve"> Пациентам с ФВЛЖ ≤50% и промежуточным риском при неинвазивных тестах с ишемией мио карда (аномалии перфузии в покое 5–9,9% без ИМ в анамнезе, депрессия </w:t>
      </w:r>
      <w:r>
        <w:rPr>
          <w:i/>
        </w:rPr>
        <w:t xml:space="preserve">ST </w:t>
      </w:r>
      <w:r>
        <w:t>≥1 мм с симптомами при стресс-ЭКГ).</w:t>
      </w:r>
    </w:p>
    <w:p w:rsidR="008E3F15" w:rsidRDefault="005F449A">
      <w:pPr>
        <w:ind w:left="940" w:right="15"/>
      </w:pPr>
      <w:r>
        <w:rPr>
          <w:rFonts w:ascii="Calibri" w:eastAsia="Calibri" w:hAnsi="Calibri" w:cs="Calibri"/>
          <w:noProof/>
          <w:color w:val="000000"/>
          <w:sz w:val="22"/>
        </w:rPr>
        <mc:AlternateContent>
          <mc:Choice Requires="wpg">
            <w:drawing>
              <wp:anchor distT="0" distB="0" distL="114300" distR="114300" simplePos="0" relativeHeight="251857920" behindDoc="0" locked="0" layoutInCell="1" allowOverlap="1">
                <wp:simplePos x="0" y="0"/>
                <wp:positionH relativeFrom="column">
                  <wp:posOffset>590550</wp:posOffset>
                </wp:positionH>
                <wp:positionV relativeFrom="paragraph">
                  <wp:posOffset>34826</wp:posOffset>
                </wp:positionV>
                <wp:extent cx="57150" cy="361950"/>
                <wp:effectExtent l="0" t="0" r="0" b="0"/>
                <wp:wrapSquare wrapText="bothSides"/>
                <wp:docPr id="302800" name="Group 302800"/>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5422" name="Shape 15422"/>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425" name="Shape 15425"/>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70"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2800" style="width:4.50001pt;height:28.5pt;position:absolute;mso-position-horizontal-relative:text;mso-position-horizontal:absolute;margin-left:46.5pt;mso-position-vertical-relative:text;margin-top:2.74219pt;" coordsize="571,3619">
                <v:shape id="Shape 15422" style="position:absolute;width:571;height:571;left:0;top:0;" coordsize="57150,57150" path="m28575,0c32364,0,36009,695,39510,2084c43011,3373,46101,5457,48781,8136c51460,10815,53525,13990,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3990,5690,10815,8370,8136c11049,5457,14139,3373,17640,2084c21141,695,24786,0,28575,0x">
                  <v:stroke weight="0pt" endcap="flat" joinstyle="miter" miterlimit="10" on="false" color="#000000" opacity="0"/>
                  <v:fill on="true" color="#333333"/>
                </v:shape>
                <v:shape id="Shape 15425" style="position:absolute;width:571;height:571;left:0;top:3048;" coordsize="57150,57150" path="m28575,0c32364,0,36009,695,39510,2084c43011,3373,46101,5457,48781,8136c51460,10815,53525,13990,54975,17562c56425,20935,57150,24705,57150,28575c57150,32246,56425,35818,54975,39291c53525,42863,51460,45938,48781,48617c46101,51197,43011,53280,39510,54769c36009,56257,32364,56952,28575,57150c24786,56952,21141,56257,17640,54769c14139,53280,11049,51197,8370,48617c5690,45938,3625,42863,2175,39291c725,35818,0,32246,0,28575c0,24705,725,20935,2175,17562c3625,13990,5690,10815,8370,8136c11049,5457,14139,3373,17640,2084c21141,695,24786,0,28575,0x">
                  <v:stroke weight="0pt" endcap="flat" joinstyle="miter" miterlimit="10" on="false" color="#000000" opacity="0"/>
                  <v:fill on="true" color="#333333"/>
                </v:shape>
                <w10:wrap type="square"/>
              </v:group>
            </w:pict>
          </mc:Fallback>
        </mc:AlternateContent>
      </w:r>
      <w:r>
        <w:t>Если получена неоднозначная прогностическая информация после неинвазивных тестов или когда неинвазивные тесты противопоказаны или неадекватны. Пациентам с неудовлетворительным качеством жизни вследствие СК, ФВЛЖ &gt;50% и промежуточным риском при неинвазивны</w:t>
      </w:r>
      <w:r>
        <w:t>х тестах.</w:t>
      </w:r>
    </w:p>
    <w:p w:rsidR="008E3F15" w:rsidRDefault="005F449A">
      <w:pPr>
        <w:ind w:left="2" w:right="15"/>
      </w:pPr>
      <w:r>
        <w:t>КГ может использоваться для диагностики коронарной болезни у пациентов, неспособных пройти стресс-тесты, при сниженной ФВЛЖ &lt;50%.</w:t>
      </w:r>
    </w:p>
    <w:p w:rsidR="008E3F15" w:rsidRDefault="005F449A">
      <w:pPr>
        <w:ind w:left="2" w:right="15"/>
      </w:pPr>
      <w:r>
        <w:t>КГ может быть показана после неинвазивной стратификации риска с целью определения возможностей проведения реваскуляр</w:t>
      </w:r>
      <w:r>
        <w:t>изации.</w:t>
      </w:r>
    </w:p>
    <w:p w:rsidR="008E3F15" w:rsidRDefault="005F449A">
      <w:pPr>
        <w:ind w:left="2" w:right="155"/>
      </w:pPr>
      <w:r>
        <w:t>У пациентов с высокой претестовой вероятностью обструктивной коронарной болезни и тяжелыми симптомами либо высоким риском сердечно-сосудистых событий ранняя КГ без предыдущей неинвазивной стратификации риска может быть хорошей стратегией идентифика</w:t>
      </w:r>
      <w:r>
        <w:t>ции поражений, потенциально подходящих для реваскуляризации. Измерение фракционного резерва кровотока показано, если его проведение уместно. Методы проведения КГ существенно улучшились за последнее время, что привело к уменьшению частоты осложнений и ранне</w:t>
      </w:r>
      <w:r>
        <w:t>му вставанию после процедуры. Это особенно справедливо для КГ, проводимой через лучевую артерию.</w:t>
      </w:r>
    </w:p>
    <w:p w:rsidR="008E3F15" w:rsidRDefault="005F449A">
      <w:pPr>
        <w:ind w:left="2" w:right="15"/>
      </w:pPr>
      <w:r>
        <w:t>КГ нельзя проводить у пациентов со СК, которые отказываются от инвазивных процедур, предпочитают избегать реваскуляризации, которые не являются кандидатами для</w:t>
      </w:r>
      <w:r>
        <w:t xml:space="preserve"> ЧКВ или КШ или у которых предполагается, что реваскуляризация не приведет к улучшению функционального статуса или качества жизни.</w:t>
      </w:r>
    </w:p>
    <w:p w:rsidR="008E3F15" w:rsidRDefault="005F449A">
      <w:pPr>
        <w:spacing w:after="359"/>
        <w:ind w:left="2" w:right="15"/>
      </w:pPr>
      <w:r>
        <w:t>Нередко КГ проводится пациентам без достаточных показаний для данной инвазивной процедуры. Соответственно, у большого процент</w:t>
      </w:r>
      <w:r>
        <w:t>а больных не находят изменений при КГ. Особенно часто отсутствие значимых обструктивных поражений коронарных артерий наблюдается у женщин, которым КГ выполняют в связи с симптомами болей в грудной клетке и одышки при нагрузке, что нередко бывает обусловлен</w:t>
      </w:r>
      <w:r>
        <w:t>о микрососудистой или вазоспастической СК, а то и вовсе неангинозной болью мышечно-скелетного происхождения.</w:t>
      </w:r>
    </w:p>
    <w:p w:rsidR="008E3F15" w:rsidRDefault="005F449A">
      <w:pPr>
        <w:pStyle w:val="Heading1"/>
        <w:ind w:left="2"/>
      </w:pPr>
      <w:r>
        <w:t>Часть I. Сердечно-сосудистые болезни</w:t>
      </w:r>
    </w:p>
    <w:p w:rsidR="008E3F15" w:rsidRDefault="005F449A">
      <w:pPr>
        <w:ind w:left="2" w:right="111"/>
      </w:pPr>
      <w:r>
        <w:t>По данным одного из многоцентровых регистров, в отдельных госпиталях процент больных с нормальными коронарными артериями различается очень сильно — от 18 до 77%, среднее значение соответствует 42%. При этом в национальной базе США незначимые стенозы корона</w:t>
      </w:r>
      <w:r>
        <w:t>рных артерий (до 50%) или их отсутствие прослеживались в 58% случаев. Современные европейские показания для реваскуляризации представлены в главе «Коронарные синдромы хронические».</w:t>
      </w:r>
    </w:p>
    <w:p w:rsidR="008E3F15" w:rsidRDefault="005F449A">
      <w:pPr>
        <w:ind w:left="2" w:right="188"/>
      </w:pPr>
      <w:r>
        <w:rPr>
          <w:b/>
        </w:rPr>
        <w:t xml:space="preserve">III этап: выбор метода реваскуляризации. </w:t>
      </w:r>
      <w:r>
        <w:t>После проведения КГ и выявления зн</w:t>
      </w:r>
      <w:r>
        <w:t>ачимых стенозов коронарных артерий необходимо оценить целесообразность инвазивного лечения коронарной болезни, которое, наряду с возможными выгодами, сопровождается рисками осложнений. Пациенты обычно предпочитают ЧКВ, даже если выгоды КШ очевидны. Необход</w:t>
      </w:r>
      <w:r>
        <w:t>имо решить, когда, кому, на каком этапе показана реваскуляризация, какой вид вмешательства в наибольшей степени поможет больному сохранить приемлемое качество жизни, а главное — продлить ее. Такие ответственные решения целесообразно принимать коллективно в</w:t>
      </w:r>
      <w:r>
        <w:t xml:space="preserve"> рамках мультидисциплинарного консилиума — кардиокоманды, состоящей из кардиолога, рентгенхирурга и кардиохирурга.</w:t>
      </w:r>
    </w:p>
    <w:p w:rsidR="008E3F15" w:rsidRDefault="005F449A">
      <w:pPr>
        <w:ind w:left="2" w:right="15"/>
      </w:pPr>
      <w:r>
        <w:t>При определении показаний к реваскуляризации мио карда мультидисциплинарный консилиум основывается на оценке анатомического субстрата, наличи</w:t>
      </w:r>
      <w:r>
        <w:t>я документированной ишемии (или снижения фракционного резерва кровотока), риска оперативного вмешательства, наличия сопутствующей патологии (</w:t>
      </w:r>
      <w:r>
        <w:rPr>
          <w:b/>
        </w:rPr>
        <w:t>рис. 13.4</w:t>
      </w:r>
      <w:r>
        <w:t>).</w:t>
      </w:r>
    </w:p>
    <w:p w:rsidR="008E3F15" w:rsidRDefault="005F449A">
      <w:pPr>
        <w:spacing w:after="65" w:line="259" w:lineRule="auto"/>
        <w:ind w:left="0" w:right="0" w:firstLine="0"/>
      </w:pPr>
      <w:r>
        <w:rPr>
          <w:noProof/>
        </w:rPr>
        <w:drawing>
          <wp:inline distT="0" distB="0" distL="0" distR="0">
            <wp:extent cx="5057775" cy="2695575"/>
            <wp:effectExtent l="0" t="0" r="0" b="0"/>
            <wp:docPr id="15483" name="Picture 15483"/>
            <wp:cNvGraphicFramePr/>
            <a:graphic xmlns:a="http://schemas.openxmlformats.org/drawingml/2006/main">
              <a:graphicData uri="http://schemas.openxmlformats.org/drawingml/2006/picture">
                <pic:pic xmlns:pic="http://schemas.openxmlformats.org/drawingml/2006/picture">
                  <pic:nvPicPr>
                    <pic:cNvPr id="15483" name="Picture 15483"/>
                    <pic:cNvPicPr/>
                  </pic:nvPicPr>
                  <pic:blipFill>
                    <a:blip r:embed="rId135"/>
                    <a:stretch>
                      <a:fillRect/>
                    </a:stretch>
                  </pic:blipFill>
                  <pic:spPr>
                    <a:xfrm>
                      <a:off x="0" y="0"/>
                      <a:ext cx="5057775" cy="2695575"/>
                    </a:xfrm>
                    <a:prstGeom prst="rect">
                      <a:avLst/>
                    </a:prstGeom>
                  </pic:spPr>
                </pic:pic>
              </a:graphicData>
            </a:graphic>
          </wp:inline>
        </w:drawing>
      </w:r>
    </w:p>
    <w:p w:rsidR="008E3F15" w:rsidRDefault="005F449A">
      <w:pPr>
        <w:spacing w:after="179"/>
        <w:ind w:left="2" w:right="1904"/>
      </w:pPr>
      <w:r>
        <w:rPr>
          <w:b/>
        </w:rPr>
        <w:t xml:space="preserve">Рис. 13.4. </w:t>
      </w:r>
      <w:r>
        <w:t>Упрощенная схема выбора метода реваскуляризации мио карда КШ предпочтительнее ЧКВ при след</w:t>
      </w:r>
      <w:r>
        <w:t>ующих состояниях.</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58944" behindDoc="0" locked="0" layoutInCell="1" allowOverlap="1">
                <wp:simplePos x="0" y="0"/>
                <wp:positionH relativeFrom="column">
                  <wp:posOffset>209550</wp:posOffset>
                </wp:positionH>
                <wp:positionV relativeFrom="paragraph">
                  <wp:posOffset>34826</wp:posOffset>
                </wp:positionV>
                <wp:extent cx="57150" cy="819150"/>
                <wp:effectExtent l="0" t="0" r="0" b="0"/>
                <wp:wrapSquare wrapText="bothSides"/>
                <wp:docPr id="302961" name="Group 302961"/>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15487" name="Shape 15487"/>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489" name="Shape 15489"/>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491" name="Shape 15491"/>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494" name="Shape 15494"/>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496" name="Shape 15496"/>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2961" style="width:4.5pt;height:64.5pt;position:absolute;mso-position-horizontal-relative:text;mso-position-horizontal:absolute;margin-left:16.5pt;mso-position-vertical-relative:text;margin-top:2.74219pt;" coordsize="571,8191">
                <v:shape id="Shape 15487"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5489" style="position:absolute;width:571;height:571;left:0;top:1524;"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5491" style="position:absolute;width:571;height:571;left: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5494" style="position:absolute;width:571;height:571;left:0;top:6096;" coordsize="57150,57150" path="m28575,0c32364,0,36009,695,39510,2084c43011,3373,46101,5358,48781,8136c51460,10716,53525,13791,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791,5690,10716,8369,8136c11049,5358,14139,3373,17640,2084c21141,695,24786,0,28575,0x">
                  <v:stroke weight="0pt" endcap="flat" joinstyle="miter" miterlimit="10" on="false" color="#000000" opacity="0"/>
                  <v:fill on="true" color="#333333"/>
                </v:shape>
                <v:shape id="Shape 15496" style="position:absolute;width:571;height:571;left:0;top:7620;"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Стеноз ствола левой коронарной артерии (≥50%).</w:t>
      </w:r>
    </w:p>
    <w:p w:rsidR="008E3F15" w:rsidRDefault="005F449A">
      <w:pPr>
        <w:spacing w:after="31"/>
        <w:ind w:left="340" w:right="15"/>
      </w:pPr>
      <w:r>
        <w:t>Сложное поражение (≥70%) трех основных артерий (индекс SYNTAX &gt;22).</w:t>
      </w:r>
    </w:p>
    <w:p w:rsidR="008E3F15" w:rsidRDefault="005F449A">
      <w:pPr>
        <w:ind w:left="340" w:right="15"/>
      </w:pPr>
      <w:r>
        <w:t>Проксимальный стеноз передней нисходящей коронарной артерии + стеноз другой основной коронарной артерии.</w:t>
      </w:r>
    </w:p>
    <w:p w:rsidR="008E3F15" w:rsidRDefault="005F449A">
      <w:pPr>
        <w:spacing w:after="31"/>
        <w:ind w:left="340" w:right="15"/>
      </w:pPr>
      <w:r>
        <w:t>Многососудистое поражение у пациентов с СД.</w:t>
      </w:r>
    </w:p>
    <w:p w:rsidR="008E3F15" w:rsidRDefault="005F449A">
      <w:pPr>
        <w:spacing w:after="179"/>
        <w:ind w:left="340" w:right="216"/>
      </w:pPr>
      <w:r>
        <w:t>ХСН и ФВЛЖ ≤35% в случаях значительного стеноза передней нисходящей артерии или многососудистого поражения.</w:t>
      </w:r>
    </w:p>
    <w:p w:rsidR="008E3F15" w:rsidRDefault="005F449A">
      <w:pPr>
        <w:ind w:left="2" w:right="15"/>
      </w:pPr>
      <w:r>
        <w:t>Для прогностической оценки в средне- и долгосрочной (≥1 года) перспективе рекомендуется использовать шка</w:t>
      </w:r>
      <w:r>
        <w:t>лу SYNTAX как для ЧКВ, так и для КШ. Первоначально шкала SYNTAX была разработана для классификации анатомической сложности коронарных стенозов у больных с трехсосудистым поражением и стенозами ствола левой коронарной артерии. В последующем было показано, ч</w:t>
      </w:r>
      <w:r>
        <w:t>то значения данной шкалы оказались независимым предиктором больших сердечно-сосудистых событий у больных после ЧКВ, но не после КШ. Шкала SYNTAX имеет выраженную вариабельность оценок у одного врача и разных врачей, что может привести к ошибочному выбору м</w:t>
      </w:r>
      <w:r>
        <w:t>етода реваскуляризации. Поэтому шкала является лишь вспомогательным инструментом, который кардиокоманда должна учитывать при решении вопроса о целесообразности и методе выбора хирургического вмешательства. Недавно создана шкала SYNTAX II 2020, которая на о</w:t>
      </w:r>
      <w:r>
        <w:t>сновании оценки 5-летнего риска ССЗ и 10-летнего риска смерти в зависимости от метода реваскуляризации помогает более точно определить оптимальный метод лечения (Takahashi K. et al., 2020).</w:t>
      </w:r>
    </w:p>
    <w:p w:rsidR="008E3F15" w:rsidRDefault="005F449A">
      <w:pPr>
        <w:ind w:left="2" w:right="15"/>
      </w:pPr>
      <w:r>
        <w:t>Мультидисциплинарное принятие решения кардиокомандой может минимиз</w:t>
      </w:r>
      <w:r>
        <w:t>ировать возможные ошибки и уменьшить тенденциозность предпочтений лечащих врачей. Стандартные, основанные на доказательствах междисциплинарные протоколы учреждений могут применяться для обычных ситуаций, чтобы избежать необходимости контроля каждого случая</w:t>
      </w:r>
      <w:r>
        <w:t xml:space="preserve"> всех диагностических ангиограмм, однако сложные случаи должны обсуждаться индивидуально. В таких ситуациях лечебное вмешательство не должно выполняться одномоментно с диагностикой, чтобы дать достаточно времени для получения всей необходимой информации, а</w:t>
      </w:r>
      <w:r>
        <w:t xml:space="preserve"> также для детального обсуждения с пациентом. Основания принятого решения и соглашения относительно метода реваскуляризации следует документировать в истории болезни.</w:t>
      </w:r>
    </w:p>
    <w:p w:rsidR="008E3F15" w:rsidRDefault="005F449A">
      <w:pPr>
        <w:ind w:left="2" w:right="15"/>
      </w:pPr>
      <w:r>
        <w:rPr>
          <w:i/>
        </w:rPr>
        <w:t xml:space="preserve">Информирование пациента и получение согласия. </w:t>
      </w:r>
      <w:r>
        <w:t>Важным аспектом является информированное со</w:t>
      </w:r>
      <w:r>
        <w:t>гласие пациента на процедуру реваскуляризации, при этом пациент должен быть информирован о возможных вариантах лечения до принятия решения мультидисциплинарным консилиумом, и его предпочтения должны учитываться при данном решении.</w:t>
      </w:r>
    </w:p>
    <w:p w:rsidR="008E3F15" w:rsidRDefault="005F449A">
      <w:pPr>
        <w:ind w:left="2" w:right="15"/>
      </w:pPr>
      <w:r>
        <w:t xml:space="preserve">Процесс информированного </w:t>
      </w:r>
      <w:r>
        <w:t>согласия не должен рассматриваться как простая юридическая необходимость, но как возможность улучшить процесс принятия решения. Факторы, связанные с пациентом, учреждением и другими службами оказания помощи, могут повлиять на принятие решения. Информирован</w:t>
      </w:r>
      <w:r>
        <w:t>ное согласие требует прозрачности, особенно если есть неоднозначность в отношении вариантов лечения.</w:t>
      </w:r>
    </w:p>
    <w:p w:rsidR="008E3F15" w:rsidRDefault="005F449A">
      <w:pPr>
        <w:ind w:left="2" w:right="761"/>
      </w:pPr>
      <w:r>
        <w:t>Рекомендуется, чтобы пациенты перед КГ были информированы как о преимуществах и рисках процедуры, так и о дальнейших путях лечения после получения данных э</w:t>
      </w:r>
      <w:r>
        <w:t>той процедуры.</w:t>
      </w:r>
    </w:p>
    <w:p w:rsidR="008E3F15" w:rsidRDefault="005F449A">
      <w:pPr>
        <w:spacing w:after="31"/>
        <w:ind w:left="2" w:right="15"/>
      </w:pPr>
      <w:r>
        <w:t>Для принятия решения должно быть дано достаточно времени.</w:t>
      </w:r>
    </w:p>
    <w:p w:rsidR="008E3F15" w:rsidRDefault="005F449A">
      <w:pPr>
        <w:ind w:left="2" w:right="15"/>
      </w:pPr>
      <w:r>
        <w:t xml:space="preserve">Для оценки подходящего варианта реваскуляризации в учреждении следует использовать алгоритмы, разработанные кардиокомандой в соответствии с современными рекомендациями. В ЧКВ-центрах без хирургии протоколы следует составлять с участием партнерских центров </w:t>
      </w:r>
      <w:r>
        <w:t>с хирургией.</w:t>
      </w:r>
    </w:p>
    <w:p w:rsidR="008E3F15" w:rsidRDefault="005F449A">
      <w:pPr>
        <w:ind w:left="2" w:right="15"/>
      </w:pPr>
      <w:r>
        <w:t>Рекомендуется, чтобы при трудностях принятия решения пациентом и при отсутствии стандартно рекомендуемых алгоритмов в данной ситуации происходило обсуждение стратегии кардиокомандой.</w:t>
      </w:r>
    </w:p>
    <w:p w:rsidR="008E3F15" w:rsidRDefault="005F449A">
      <w:pPr>
        <w:spacing w:after="359"/>
        <w:ind w:left="2" w:right="15"/>
      </w:pPr>
      <w:r>
        <w:t>Решения о лечении не должны основываться только на результат</w:t>
      </w:r>
      <w:r>
        <w:t xml:space="preserve">ах обследований и на мнении врача об обстоятельствах пациента, поскольку активное участие в процессе принятия решения может дать лучшие результаты. Пациенты склонны заблуждаться ввиду предубеждений, когда принимают решение о коронарной реваскуляризации, и </w:t>
      </w:r>
      <w:r>
        <w:t>предпочтения пациентов нередко расходятся с доказательной базой лучшего метода. Пациенты могут плохо понимать свое заболевание и иметь необоснованные ожидания в отношении исходов и эффекта предполагаемого вмешательства. Не менее 68% пациентов даже не знают</w:t>
      </w:r>
      <w:r>
        <w:t xml:space="preserve"> об альтернативах стратегий реваскуляризации.</w:t>
      </w:r>
    </w:p>
    <w:p w:rsidR="008E3F15" w:rsidRDefault="005F449A">
      <w:pPr>
        <w:pStyle w:val="Heading1"/>
        <w:ind w:left="2"/>
      </w:pPr>
      <w:r>
        <w:t>Часть I. Сердечно-сосудистые болезни</w:t>
      </w:r>
    </w:p>
    <w:p w:rsidR="008E3F15" w:rsidRDefault="005F449A">
      <w:pPr>
        <w:ind w:left="2" w:right="229"/>
      </w:pPr>
      <w:r>
        <w:t>С пациентом необходимо тщательно обсудить как краткосрочные, связанные с процедурой риски, так и долгосрочные риски и преимущества — такие как выживаемость, избавление от СК</w:t>
      </w:r>
      <w:r>
        <w:t>, качество жизни, потенциальная возможность нового вмешательства, а также неуверенность в отношении той или иной стратегии.</w:t>
      </w:r>
    </w:p>
    <w:p w:rsidR="008E3F15" w:rsidRDefault="005F449A">
      <w:pPr>
        <w:ind w:left="2" w:right="206"/>
      </w:pPr>
      <w:r>
        <w:t>При необходимости альтернативного мнения или при желании обсудить вопросы с другим врачом должно быть дано достаточно времени (до не</w:t>
      </w:r>
      <w:r>
        <w:t>скольких дней — сколько надо) между диагностическим вмешательством и лечебным. Информация для пациента должна быть точная, основанная на доказательствах, свежая, доступная, максимально относящаяся к ситуации пациента и не противоречащая закону. Очень важно</w:t>
      </w:r>
      <w:r>
        <w:t xml:space="preserve"> использовать термины, которые пациент сможет понять. Необходим письменный вариант информации. Подобные рекомендации относятся к пациентам в стабильном состоянии, для которых существуют варианты лечения и которые в состоянии принять решение вне временных о</w:t>
      </w:r>
      <w:r>
        <w:t>граничений срочной или неотложной ситуации.</w:t>
      </w:r>
    </w:p>
    <w:p w:rsidR="008E3F15" w:rsidRDefault="005F449A">
      <w:pPr>
        <w:ind w:left="2" w:right="15"/>
      </w:pPr>
      <w:r>
        <w:t>Необозначенное лечение использовать нельзя. Пациент имеет право получить информацию об уровне квалификации оператора, работе центра и его оснащенности в отношении разных методов лечения. Пациентам, направляемым н</w:t>
      </w:r>
      <w:r>
        <w:t>а реваскуляризацию, необходимо понимать, что оперативное лечение не устраняет атеросклеротическое заболевание коронарных артерий и им потребуется продолжать медикаментозную терапию, а также изменить образ жизни и следовать другим стратегиям.</w:t>
      </w:r>
    </w:p>
    <w:p w:rsidR="008E3F15" w:rsidRDefault="005F449A">
      <w:pPr>
        <w:ind w:left="2" w:right="286"/>
      </w:pPr>
      <w:r>
        <w:rPr>
          <w:i/>
        </w:rPr>
        <w:t>Риски инвазивн</w:t>
      </w:r>
      <w:r>
        <w:rPr>
          <w:i/>
        </w:rPr>
        <w:t xml:space="preserve">ого лечения. </w:t>
      </w:r>
      <w:r>
        <w:t>Информируя пациента о пользе хирургических вмешательств, следует указать на возможные риски. В частности, в США операционная смертность при изолированном КШ составила 1–2%, а при ЧКВ — 0,8–1% (Alkhouli M. et al., 2020). На основе анализа больш</w:t>
      </w:r>
      <w:r>
        <w:t xml:space="preserve">ого числа вмешательств созданы математические модели для оценки периоперационных рисков, рекомендованные авторитетными профессиональными медицинскими обществами. Удобнее пользоваться данными инструментами в мобильных устройствах. Для оценки краткосрочного </w:t>
      </w:r>
      <w:r>
        <w:t>(до 30 дней) риска КШ, а также пороков клапанов сердца рекомендуется шкала STS (предпочтительнее) или более простая и общедоступная шкала EuroSCORE II.</w:t>
      </w:r>
    </w:p>
    <w:p w:rsidR="008E3F15" w:rsidRDefault="005F449A">
      <w:pPr>
        <w:ind w:left="2" w:right="79"/>
      </w:pPr>
      <w:r>
        <w:rPr>
          <w:b/>
        </w:rPr>
        <w:t>IV этап: предоперационная подготовка.</w:t>
      </w:r>
      <w:r>
        <w:t xml:space="preserve"> Перед ЧКВ пациент принимает 300 мг АСК и 600 мг клопидогрела не по</w:t>
      </w:r>
      <w:r>
        <w:t>зднее чем за 2 ч до вмешательства. Целесообразно назначить статин в высокой дозе (80 мг аторвастатина за 12 ч, 40 мг — перед процедурой и далее 40 мг/сут или 40/20 мг розувастатина), который может уменьшить риск перипроцедурного ИМ и острого повреждения по</w:t>
      </w:r>
      <w:r>
        <w:t>чек.</w:t>
      </w:r>
    </w:p>
    <w:p w:rsidR="008E3F15" w:rsidRDefault="005F449A">
      <w:pPr>
        <w:ind w:left="2" w:right="15"/>
      </w:pPr>
      <w:r>
        <w:t>Применение АСК перед КШ может улучшить проходимость шунтов, снизить смертность и частоту поздних ИМ. Лишь в случаях высокого риска кровотечений и отказа пациента от трансфузий крови следует рассмотреть отмену АСК за 3–5 сут до операции. Если пациент р</w:t>
      </w:r>
      <w:r>
        <w:t>анее не получал статины, их назначают не позднее чем за 2 нед до КШ. Лечение статинами снижает риск постоперационной ФП, инсульта/транзиторной ишемической атаки, длительность пребывания в палате интенсивной терапии и стационаре, но не влияет на периопераци</w:t>
      </w:r>
      <w:r>
        <w:t>онную смертность, риски ИМ и почечной дисфункции (Cochrane Reviews).</w:t>
      </w:r>
    </w:p>
    <w:p w:rsidR="008E3F15" w:rsidRDefault="005F449A">
      <w:pPr>
        <w:ind w:left="2" w:right="383"/>
      </w:pPr>
      <w:r>
        <w:t>Оральные антикоагулянты отменяют перед КШ с последующим возобновлением по достижении гемостаза, но не раньше чем через 6–10 ч после операции. В случае варфарина необходима его отмена за 5</w:t>
      </w:r>
      <w:r>
        <w:t xml:space="preserve"> дней до операции для достижения нормальных значений МНО &lt;1,5. При высоком риске тромбоэмболических осложнений на этот период назначается НФГ (в/в введение с активированным частичным тромбопластиновым временем в 1,5–2 раза выше исходного) или НМГ. Удобнее </w:t>
      </w:r>
      <w:r>
        <w:t>в этом отношении прямые оральные антикоагулянты (</w:t>
      </w:r>
      <w:r>
        <w:rPr>
          <w:b/>
        </w:rPr>
        <w:t>табл. 13.3</w:t>
      </w:r>
      <w:r>
        <w:t>).</w:t>
      </w:r>
    </w:p>
    <w:p w:rsidR="008E3F15" w:rsidRDefault="005F449A">
      <w:pPr>
        <w:spacing w:after="31"/>
        <w:ind w:left="2" w:right="663"/>
      </w:pPr>
      <w:r>
        <w:rPr>
          <w:b/>
        </w:rPr>
        <w:t xml:space="preserve">Таблица 13.3. </w:t>
      </w:r>
      <w:r>
        <w:t>Интервал между приемом антикоагулянтов и операцией в зависимости от функции почек и риска кровотечений</w:t>
      </w:r>
    </w:p>
    <w:tbl>
      <w:tblPr>
        <w:tblStyle w:val="TableGrid"/>
        <w:tblW w:w="7905" w:type="dxa"/>
        <w:tblInd w:w="30" w:type="dxa"/>
        <w:tblCellMar>
          <w:top w:w="80" w:type="dxa"/>
          <w:left w:w="45" w:type="dxa"/>
          <w:bottom w:w="0" w:type="dxa"/>
          <w:right w:w="42" w:type="dxa"/>
        </w:tblCellMar>
        <w:tblLook w:val="04A0" w:firstRow="1" w:lastRow="0" w:firstColumn="1" w:lastColumn="0" w:noHBand="0" w:noVBand="1"/>
      </w:tblPr>
      <w:tblGrid>
        <w:gridCol w:w="2610"/>
        <w:gridCol w:w="3585"/>
        <w:gridCol w:w="1710"/>
      </w:tblGrid>
      <w:tr w:rsidR="008E3F15">
        <w:trPr>
          <w:trHeight w:val="330"/>
        </w:trPr>
        <w:tc>
          <w:tcPr>
            <w:tcW w:w="26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Препараты</w:t>
            </w:r>
          </w:p>
        </w:tc>
        <w:tc>
          <w:tcPr>
            <w:tcW w:w="5295" w:type="dxa"/>
            <w:gridSpan w:val="2"/>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Клиренс креатинина, мл/мин Интервал, сут</w:t>
            </w:r>
          </w:p>
        </w:tc>
      </w:tr>
      <w:tr w:rsidR="008E3F15">
        <w:trPr>
          <w:trHeight w:val="330"/>
        </w:trPr>
        <w:tc>
          <w:tcPr>
            <w:tcW w:w="26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Дабигатрана этексилат</w:t>
            </w:r>
          </w:p>
        </w:tc>
        <w:tc>
          <w:tcPr>
            <w:tcW w:w="358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≥80</w:t>
            </w:r>
          </w:p>
        </w:tc>
        <w:tc>
          <w:tcPr>
            <w:tcW w:w="17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35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50–79</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≥1,5–3</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5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30–49</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≥2–4</w:t>
            </w:r>
          </w:p>
        </w:tc>
      </w:tr>
      <w:tr w:rsidR="008E3F15">
        <w:trPr>
          <w:trHeight w:val="330"/>
        </w:trPr>
        <w:tc>
          <w:tcPr>
            <w:tcW w:w="2610" w:type="dxa"/>
            <w:vMerge w:val="restart"/>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Апиксабан.</w:t>
            </w:r>
          </w:p>
          <w:p w:rsidR="008E3F15" w:rsidRDefault="005F449A">
            <w:pPr>
              <w:spacing w:after="0" w:line="259" w:lineRule="auto"/>
              <w:ind w:left="0" w:right="0" w:firstLine="0"/>
            </w:pPr>
            <w:r>
              <w:t>Ривароксабан</w:t>
            </w:r>
          </w:p>
        </w:tc>
        <w:tc>
          <w:tcPr>
            <w:tcW w:w="35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5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15–29</w:t>
            </w:r>
          </w:p>
        </w:tc>
        <w:tc>
          <w:tcPr>
            <w:tcW w:w="17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≥1,5–2</w:t>
            </w:r>
          </w:p>
        </w:tc>
      </w:tr>
    </w:tbl>
    <w:p w:rsidR="008E3F15" w:rsidRDefault="005F449A">
      <w:pPr>
        <w:ind w:left="2" w:right="91"/>
      </w:pPr>
      <w:r>
        <w:t>Предоперационная подготовка пациентов с СД включает: достижение компенсации нарушений углеводного обмена под контролем эндокринолога, отмену перед операцией пероральных антигипергликемических препаратов и инсулина средней продолжительности действия, назнач</w:t>
      </w:r>
      <w:r>
        <w:t>ение инсулина короткого действия (подкожно). Периоперационно у всех пациентов проводится контроль гликемии в реанимационном отделении, при необходимости — купирование гипергликемии с помощью инсулина короткого действия (внутривенно и подкожно) с последующи</w:t>
      </w:r>
      <w:r>
        <w:t>м контролем эффективности терапии.</w:t>
      </w:r>
    </w:p>
    <w:p w:rsidR="008E3F15" w:rsidRDefault="005F449A">
      <w:pPr>
        <w:spacing w:after="359"/>
        <w:ind w:left="2" w:right="15"/>
      </w:pPr>
      <w:r>
        <w:t>При обследовании больных перед операцией на амбулаторном этапе или уже в клинике сердечно-сосудистой хирургии зачастую выявляется сопутствующая патология, которая требует особых подходов к предоперационной подготовке либо</w:t>
      </w:r>
      <w:r>
        <w:t xml:space="preserve"> коррекции принятой тактики лечения. При этом у больных с осложненной коронарной болезнью, наличием сопутствующей патологии в предоперационной подготовке участвует уже расширенный мультидисциплинарный консилиум. В него могут входить эндокринолог, пульмонол</w:t>
      </w:r>
      <w:r>
        <w:t xml:space="preserve">ог, невролог, анестезиолог, администратор и др. Среди особых состояний перед реваскуляризацией мио карда рассматривают СД, ХБП, контраст-индуцированную нефропатию, сопутствующий атеросклероз сонных и периферических артерий, атеросклероз почечных артерий и </w:t>
      </w:r>
      <w:r>
        <w:t>ХСН. При выявлении этих состояний в ходе предоперационного обследования тактика хирургического лечения может меняться.</w:t>
      </w:r>
    </w:p>
    <w:p w:rsidR="008E3F15" w:rsidRDefault="005F449A">
      <w:pPr>
        <w:pStyle w:val="Heading1"/>
        <w:ind w:left="2"/>
      </w:pPr>
      <w:r>
        <w:t>Часть I. Сердечно-сосудистые болезни</w:t>
      </w:r>
    </w:p>
    <w:p w:rsidR="008E3F15" w:rsidRDefault="005F449A">
      <w:pPr>
        <w:ind w:left="2" w:right="15"/>
      </w:pPr>
      <w:r>
        <w:t>Тактика хирургического лечения (одномоментные или этапные операции, очередность этапных операций) пр</w:t>
      </w:r>
      <w:r>
        <w:t>и сочетанном поражении коронарных и экстракраниальных артерий определяется мультидисциплинарным консилиумом и опирается, как правило,</w:t>
      </w:r>
    </w:p>
    <w:p w:rsidR="008E3F15" w:rsidRDefault="005F449A">
      <w:pPr>
        <w:ind w:left="2" w:right="15"/>
      </w:pPr>
      <w:r>
        <w:t>на выраженность морфологических изменений в артериях и клиническую картину, решение может приниматься также на основе оценки коронарного резерва и перфузионного резерва головного мозга.</w:t>
      </w:r>
    </w:p>
    <w:p w:rsidR="008E3F15" w:rsidRDefault="005F449A">
      <w:pPr>
        <w:ind w:left="2" w:right="15"/>
      </w:pPr>
      <w:r>
        <w:t>Так как атеросклероз сонных артерий нередко бывает бессимптомным и явл</w:t>
      </w:r>
      <w:r>
        <w:t xml:space="preserve">яется частой причиной неврологических осложнений во время реваскуляризации мио карда (при КШ), то оценка состояния экстракраниальных артерий перед такой операцией входит в стандартное предоперационное обследование во многих кардиохирургических клиниках. </w:t>
      </w:r>
      <w:r>
        <w:rPr>
          <w:i/>
        </w:rPr>
        <w:t>Пр</w:t>
      </w:r>
      <w:r>
        <w:rPr>
          <w:i/>
        </w:rPr>
        <w:t xml:space="preserve">облемы листа ожидания КШ. </w:t>
      </w:r>
      <w:r>
        <w:t>После принятия решения о необходимости открытой реваскуляризации мио карда плановая операция КШ выполняется через некоторое время. Срок ожидания может варьировать от нескольких дней до нескольких месяцев в зависимости от числа бол</w:t>
      </w:r>
      <w:r>
        <w:t>ьных, ожидающих операцию. В это время пациент проходит требуемое дообследование (и при необходимости — лечение) по поводу сопутствующей патологии. Однако ожидание операции содержит некоторый риск ухудшения состояния и даже развития летального исхода, поско</w:t>
      </w:r>
      <w:r>
        <w:t>льку существует сложность в определении четких критериев приоритетности при формировании «листа ожидания». Кроме того, часть пациентов не является на операцию по разным причинам, что ведет как к нерациональной трате ресурсов на их обследование, так и к рис</w:t>
      </w:r>
      <w:r>
        <w:t>ку неблагоприятных событий из-за невыполненной реваскуляризации мио карда.</w:t>
      </w:r>
    </w:p>
    <w:p w:rsidR="008E3F15" w:rsidRDefault="005F449A">
      <w:pPr>
        <w:ind w:left="2" w:right="200"/>
      </w:pPr>
      <w:r>
        <w:t>При анализе причин неявок пациентов на плановую операцию КШ отказы пациентов выявлены в 5% случаев, летальные исходы — в 1%. Основными причинами отказов больных от операции являются</w:t>
      </w:r>
      <w:r>
        <w:t xml:space="preserve"> отсутствие признаков прогрессирования коронарной болезни (хорошее самочувствие — 33%), боязнь операции (35%), отсутствие беседы с врачом о необходимости оперативного вмешательства (10%). Реже встречаются такие причины, как семейные обстоятельства (8%), со</w:t>
      </w:r>
      <w:r>
        <w:t>путствующая патология (6%), недоверие (2%), сложности при обследовании (2%). Важным дополнительным фактором, способствующим отказу от операции, оказалась длительность ее ожидания более 1 мес.</w:t>
      </w:r>
    </w:p>
    <w:p w:rsidR="008E3F15" w:rsidRDefault="005F449A">
      <w:pPr>
        <w:ind w:left="2" w:right="15"/>
      </w:pPr>
      <w:r>
        <w:t>Соответственно, можно рассматривать следующие пути решения пробл</w:t>
      </w:r>
      <w:r>
        <w:t>емы листа ожидания КШ: сокращение сроков ожидания операции, информирование пациентов, адекватная дооперационная терапия.</w:t>
      </w:r>
    </w:p>
    <w:p w:rsidR="008E3F15" w:rsidRDefault="005F449A">
      <w:pPr>
        <w:ind w:left="2" w:right="15"/>
      </w:pPr>
      <w:r>
        <w:t xml:space="preserve">Во многих клиниках наблюдается отчетливая тенденция к снижению сроков ожидания процедур реваскуляризации. Больных с симптомами тяжелой </w:t>
      </w:r>
      <w:r>
        <w:t xml:space="preserve">СК (≥3 ФК) и/или с поражением коронарных артерий высокого риска (ствола левой коронарной артерии или его эквивалента, трехсосудистым поражением, проксимальным стенозом передней нисходящей артерии, СНнФВ) целесообразно подвергать реваскуляризации в течение </w:t>
      </w:r>
      <w:r>
        <w:t>≤2 нед. Для всех остальных больных со стабильной коронарной болезнью и показаниями для реваскуляризации желательно ее проведение в течение ≤6 нед.</w:t>
      </w:r>
    </w:p>
    <w:p w:rsidR="008E3F15" w:rsidRDefault="005F449A">
      <w:pPr>
        <w:ind w:left="2" w:right="255"/>
      </w:pPr>
      <w:r>
        <w:t>Выполнение ЧКВ непосредственно после КГ позволяет максимально сократить время ожидания реваскуляризации, однако в таком случае возникает проблема проведения мультидисциплинарного консилиума для решения вопроса о выборе тактики лечения. Поэтому мультидисцип</w:t>
      </w:r>
      <w:r>
        <w:t>линарным консилиумом разрабатываются локальные протоколы для реализации подходящей стратегии реваскуляризации в соответствии с действующими рекомендациями и определяются специфические анатомические критерии и клинические ситуации, которые могут соответство</w:t>
      </w:r>
      <w:r>
        <w:t>вать данному случаю</w:t>
      </w:r>
      <w:r>
        <w:rPr>
          <w:i/>
        </w:rPr>
        <w:t xml:space="preserve">. </w:t>
      </w:r>
      <w:r>
        <w:t xml:space="preserve">Сложное заболевание у стабильных больных, включая поражение ствола левой коронарной артерии и трехсосудистое поражение, следует обсуждать мультидисциплинарным консилиумом. </w:t>
      </w:r>
      <w:r>
        <w:rPr>
          <w:i/>
        </w:rPr>
        <w:t xml:space="preserve">Реабилитация. </w:t>
      </w:r>
      <w:r>
        <w:t>При проведении КШ в плановом порядке создаются пр</w:t>
      </w:r>
      <w:r>
        <w:t>едпосылки для ее выполнения в максимально благоприятной для пациента ситуации. Известно, что функциональное состояние больного до операции оказывает влияние как</w:t>
      </w:r>
    </w:p>
    <w:p w:rsidR="008E3F15" w:rsidRDefault="005F449A">
      <w:pPr>
        <w:ind w:left="2" w:right="665"/>
      </w:pPr>
      <w:r>
        <w:t>на непосредственные, так и на отдаленные результаты КШ, также отмечена независимая ассоциация н</w:t>
      </w:r>
      <w:r>
        <w:t>изкого уровня физической активности в предоперационном периоде с наличием депрессии после операции.</w:t>
      </w:r>
    </w:p>
    <w:p w:rsidR="008E3F15" w:rsidRDefault="005F449A">
      <w:pPr>
        <w:ind w:left="2" w:right="15"/>
      </w:pPr>
      <w:r>
        <w:t>Поэтому целесообразно проведение физических тренировок в пред операционном периоде. Так, аэробные тренировки в амбулаторных условиях 2 раза в неделю в течен</w:t>
      </w:r>
      <w:r>
        <w:t xml:space="preserve">ие 4–10 нед за время нахождения в листе ожидания операции КШ позволяют повысить толерантность к физической нагрузке и качество жизни как до операции, так и через 3–6 мес после нее, способствуют уменьшению времени пребывания как в отделении реанимации, так </w:t>
      </w:r>
      <w:r>
        <w:t>и в стационаре в целом. У более тяжелой категории пациентов возможным методом реабилитации является тренировка дыхательных мышц, способствующая уменьшению числа послеоперационных ателектазов и респираторных осложнений в целом, а также сокращению длительнос</w:t>
      </w:r>
      <w:r>
        <w:t>ти госпитализации. Поскольку максимальная изометрическая сила сокращения четырехглавой мышцы бедра существенно коррелирует с физической работоспособностью у больных коронарной болезнью, то другой возможностью являются локальные тренировки мышц нижних конеч</w:t>
      </w:r>
      <w:r>
        <w:t>ностей.</w:t>
      </w:r>
    </w:p>
    <w:p w:rsidR="008E3F15" w:rsidRDefault="005F449A">
      <w:pPr>
        <w:ind w:left="2" w:right="15"/>
      </w:pPr>
      <w:r>
        <w:t>На фоне периоперационного стресса до 30–40% больных испытывают те или иные явления психологического дистресса перед КШ или после него, они могут неблагоприятно влиять на непосредственные и отдаленные результаты оперативного лечения. Соответственно,</w:t>
      </w:r>
      <w:r>
        <w:t xml:space="preserve"> в предоперационном периоде необходимо выявлять тревожные и депрессивные расстройства. Для лечения психических расстройств применяются когнитивно-поведенческая психотерапия и психотропные препараты.</w:t>
      </w:r>
    </w:p>
    <w:p w:rsidR="008E3F15" w:rsidRDefault="005F449A">
      <w:pPr>
        <w:spacing w:after="359"/>
        <w:ind w:left="2" w:right="128"/>
      </w:pPr>
      <w:r>
        <w:t xml:space="preserve">В случае выраженной тревоги добавляют транквилизаторы. У </w:t>
      </w:r>
      <w:r>
        <w:t>пациентов с тревожными и депрессивными расстройствами в связи с риском усиления или обострения целесообразно продолжить прием психотропных препаратов. Серотонинергические антидепрессанты (СИОЗС, ингибиторы обратного захвата серотонина и норадреналина) не п</w:t>
      </w:r>
      <w:r>
        <w:t>овышают риск кровотечений при сердечных операциях (Smith M. et al., 2018; Singh I. et al., 2015).</w:t>
      </w:r>
    </w:p>
    <w:p w:rsidR="008E3F15" w:rsidRDefault="005F449A">
      <w:pPr>
        <w:pStyle w:val="Heading1"/>
        <w:ind w:left="2"/>
      </w:pPr>
      <w:r>
        <w:t>Часть I. Сердечно-сосудистые болезни</w:t>
      </w:r>
    </w:p>
    <w:p w:rsidR="008E3F15" w:rsidRDefault="005F449A">
      <w:pPr>
        <w:ind w:left="2" w:right="15"/>
      </w:pPr>
      <w:r>
        <w:t xml:space="preserve">Также неотъемлемой частью предоперационной подготовки являются образовательные программы, направленные на информирование </w:t>
      </w:r>
      <w:r>
        <w:t>пациентов о сути предстоящей операции, возможных временных ограничениях в послеоперационном периоде, что позволяет уменьшать проявления психологического дистресса после КШ.</w:t>
      </w:r>
    </w:p>
    <w:p w:rsidR="008E3F15" w:rsidRDefault="005F449A">
      <w:pPr>
        <w:spacing w:after="200"/>
        <w:ind w:left="2" w:right="160"/>
      </w:pPr>
      <w:r>
        <w:rPr>
          <w:b/>
        </w:rPr>
        <w:t xml:space="preserve">V этап: послеоперационное лечение. </w:t>
      </w:r>
      <w:r>
        <w:t>Реваскуляризация уменьшает негативное влияние ло</w:t>
      </w:r>
      <w:r>
        <w:t>кального повреждения коронарного сосуда, но не решает проблему атеросклеротической болезни сердца. Поэтому всем пациентам проводится медикаментозная терапия, включая статины, антиагреганты и при необходимости — антиангинальные препараты. В ряде случаев нео</w:t>
      </w:r>
      <w:r>
        <w:t>бходимо продолжить лечение двумя антиагрегантами, несмотря на существенное повышение риска кровотечений. Минимальная длительность двойной антиагрегантной терапии:</w:t>
      </w:r>
    </w:p>
    <w:p w:rsidR="008E3F15" w:rsidRDefault="005F449A">
      <w:pPr>
        <w:spacing w:after="31"/>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303894" name="Group 30389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5790" name="Shape 15790"/>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3894" style="width:4.5pt;height:4.5pt;mso-position-horizontal-relative:char;mso-position-vertical-relative:line" coordsize="571,571">
                <v:shape id="Shape 15790" style="position:absolute;width:571;height:571;left:0;top:0;"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10" on="false" color="#000000" opacity="0"/>
                  <v:fill on="true" color="#333333"/>
                </v:shape>
              </v:group>
            </w:pict>
          </mc:Fallback>
        </mc:AlternateContent>
      </w:r>
      <w:r>
        <w:t xml:space="preserve"> голометаллический стент — до 1 мес;</w:t>
      </w:r>
    </w:p>
    <w:p w:rsidR="008E3F15" w:rsidRDefault="005F449A">
      <w:pPr>
        <w:spacing w:after="359"/>
        <w:ind w:left="340" w:right="2412"/>
      </w:pPr>
      <w:r>
        <w:rPr>
          <w:rFonts w:ascii="Calibri" w:eastAsia="Calibri" w:hAnsi="Calibri" w:cs="Calibri"/>
          <w:noProof/>
          <w:color w:val="000000"/>
          <w:sz w:val="22"/>
        </w:rPr>
        <mc:AlternateContent>
          <mc:Choice Requires="wpg">
            <w:drawing>
              <wp:anchor distT="0" distB="0" distL="114300" distR="114300" simplePos="0" relativeHeight="251859968" behindDoc="0" locked="0" layoutInCell="1" allowOverlap="1">
                <wp:simplePos x="0" y="0"/>
                <wp:positionH relativeFrom="column">
                  <wp:posOffset>209550</wp:posOffset>
                </wp:positionH>
                <wp:positionV relativeFrom="paragraph">
                  <wp:posOffset>34826</wp:posOffset>
                </wp:positionV>
                <wp:extent cx="57150" cy="209550"/>
                <wp:effectExtent l="0" t="0" r="0" b="0"/>
                <wp:wrapSquare wrapText="bothSides"/>
                <wp:docPr id="303773" name="Group 303773"/>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15802" name="Shape 15802"/>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04" name="Shape 1580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3773" style="width:4.5pt;height:16.5pt;position:absolute;mso-position-horizontal-relative:text;mso-position-horizontal:absolute;margin-left:16.5pt;mso-position-vertical-relative:text;margin-top:2.74219pt;" coordsize="571,2095">
                <v:shape id="Shape 15802" style="position:absolute;width:571;height:571;left:0;top:0;" coordsize="57150,57150" path="m28575,0c32364,0,36009,695,39510,2084c43011,3373,46101,5457,48781,8334c51460,10815,53525,13990,54975,17562c56425,20935,57150,24705,57150,28575c57150,32246,56425,36016,54975,39390c53525,42962,51460,46137,48781,48816c46101,51296,43011,53380,39510,54769c36009,56257,32364,56952,28575,57150c24786,56952,21141,56257,17640,54769c14139,53380,11049,51296,8369,48816c5690,46137,3625,42962,2175,39390c725,36016,0,32246,0,28575c0,24705,725,20935,2175,17562c3625,13990,5690,10815,8369,8334c11049,5457,14139,3373,17640,2084c21141,695,24786,0,28575,0x">
                  <v:stroke weight="0pt" endcap="flat" joinstyle="miter" miterlimit="10" on="false" color="#000000" opacity="0"/>
                  <v:fill on="true" color="#333333"/>
                </v:shape>
                <v:shape id="Shape 15804" style="position:absolute;width:571;height:571;left:0;top:1524;"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современный стент, выделяющий лекарства, — до 1–3 мес;</w:t>
      </w:r>
      <w:r>
        <w:t xml:space="preserve"> факторы риска тромбоза стента — ≥12 мес.</w:t>
      </w:r>
    </w:p>
    <w:p w:rsidR="008E3F15" w:rsidRDefault="005F449A">
      <w:pPr>
        <w:pStyle w:val="Heading1"/>
        <w:ind w:left="2"/>
      </w:pPr>
      <w:r>
        <w:t>Часть II. Коморбидные болезни</w:t>
      </w:r>
    </w:p>
    <w:p w:rsidR="008E3F15" w:rsidRDefault="005F449A">
      <w:pPr>
        <w:ind w:left="2" w:right="132"/>
      </w:pPr>
      <w:r>
        <w:t>Совершенствование лечения и возрастание продолжительности жизни привели к повышению частоты коморбидных заболеваний и увеличению числа принимаемых лекарств. Доля пациентов с нескольким</w:t>
      </w:r>
      <w:r>
        <w:t xml:space="preserve">и хроническими заболеваниями существенно повышается с возрастом, с 18% в возрасте 18–44 года и до 81% у лиц 65 лет и старше (RAND). Коморбидность в широком смысле включает все болезни и состояния, которые могут воздействовать на данное заболевание (см. </w:t>
      </w:r>
      <w:r>
        <w:rPr>
          <w:b/>
        </w:rPr>
        <w:t>рис</w:t>
      </w:r>
      <w:r>
        <w:rPr>
          <w:b/>
        </w:rPr>
        <w:t>. ниже</w:t>
      </w:r>
      <w:r>
        <w:t>). Коморбидные болезни и состояния, значительно влияющие на тяжесть и прогноз данного заболевания, часто рассматриваются как факторы риска.</w:t>
      </w:r>
    </w:p>
    <w:p w:rsidR="008E3F15" w:rsidRDefault="005F449A">
      <w:pPr>
        <w:spacing w:after="65" w:line="259" w:lineRule="auto"/>
        <w:ind w:left="0" w:right="0" w:firstLine="0"/>
      </w:pPr>
      <w:r>
        <w:rPr>
          <w:noProof/>
        </w:rPr>
        <w:drawing>
          <wp:inline distT="0" distB="0" distL="0" distR="0">
            <wp:extent cx="5057775" cy="2647950"/>
            <wp:effectExtent l="0" t="0" r="0" b="0"/>
            <wp:docPr id="15818" name="Picture 15818"/>
            <wp:cNvGraphicFramePr/>
            <a:graphic xmlns:a="http://schemas.openxmlformats.org/drawingml/2006/main">
              <a:graphicData uri="http://schemas.openxmlformats.org/drawingml/2006/picture">
                <pic:pic xmlns:pic="http://schemas.openxmlformats.org/drawingml/2006/picture">
                  <pic:nvPicPr>
                    <pic:cNvPr id="15818" name="Picture 15818"/>
                    <pic:cNvPicPr/>
                  </pic:nvPicPr>
                  <pic:blipFill>
                    <a:blip r:embed="rId136"/>
                    <a:stretch>
                      <a:fillRect/>
                    </a:stretch>
                  </pic:blipFill>
                  <pic:spPr>
                    <a:xfrm>
                      <a:off x="0" y="0"/>
                      <a:ext cx="5057775" cy="2647950"/>
                    </a:xfrm>
                    <a:prstGeom prst="rect">
                      <a:avLst/>
                    </a:prstGeom>
                  </pic:spPr>
                </pic:pic>
              </a:graphicData>
            </a:graphic>
          </wp:inline>
        </w:drawing>
      </w:r>
    </w:p>
    <w:p w:rsidR="008E3F15" w:rsidRDefault="005F449A">
      <w:pPr>
        <w:spacing w:after="179"/>
        <w:ind w:left="2" w:right="1465"/>
      </w:pPr>
      <w:r>
        <w:t>Коморбидный треугольник на примере коронарной болезни (Белялов Ф.И., 2023) Наличие коморбидных заболеваний и</w:t>
      </w:r>
      <w:r>
        <w:t xml:space="preserve"> состояний может существенно повлиять на диагностику и лечение сердечно-сосудистых болезней. Основные положения коморбидности были сформулированы в двенадцати тезисах Ф.И. Беляловым.</w:t>
      </w:r>
    </w:p>
    <w:p w:rsidR="008E3F15" w:rsidRDefault="005F449A">
      <w:pPr>
        <w:ind w:left="340" w:right="195"/>
      </w:pPr>
      <w:r>
        <w:rPr>
          <w:rFonts w:ascii="Calibri" w:eastAsia="Calibri" w:hAnsi="Calibri" w:cs="Calibri"/>
          <w:noProof/>
          <w:color w:val="000000"/>
          <w:sz w:val="22"/>
        </w:rPr>
        <mc:AlternateContent>
          <mc:Choice Requires="wpg">
            <w:drawing>
              <wp:anchor distT="0" distB="0" distL="114300" distR="114300" simplePos="0" relativeHeight="251860992" behindDoc="0" locked="0" layoutInCell="1" allowOverlap="1">
                <wp:simplePos x="0" y="0"/>
                <wp:positionH relativeFrom="column">
                  <wp:posOffset>209550</wp:posOffset>
                </wp:positionH>
                <wp:positionV relativeFrom="paragraph">
                  <wp:posOffset>34826</wp:posOffset>
                </wp:positionV>
                <wp:extent cx="57150" cy="2495550"/>
                <wp:effectExtent l="0" t="0" r="0" b="0"/>
                <wp:wrapSquare wrapText="bothSides"/>
                <wp:docPr id="303775" name="Group 303775"/>
                <wp:cNvGraphicFramePr/>
                <a:graphic xmlns:a="http://schemas.openxmlformats.org/drawingml/2006/main">
                  <a:graphicData uri="http://schemas.microsoft.com/office/word/2010/wordprocessingGroup">
                    <wpg:wgp>
                      <wpg:cNvGrpSpPr/>
                      <wpg:grpSpPr>
                        <a:xfrm>
                          <a:off x="0" y="0"/>
                          <a:ext cx="57150" cy="2495550"/>
                          <a:chOff x="0" y="0"/>
                          <a:chExt cx="57150" cy="2495550"/>
                        </a:xfrm>
                      </wpg:grpSpPr>
                      <wps:wsp>
                        <wps:cNvPr id="15823" name="Shape 15823"/>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26" name="Shape 15826"/>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29" name="Shape 15829"/>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31" name="Shape 15831"/>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34" name="Shape 15834"/>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36" name="Shape 15836"/>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38" name="Shape 15838"/>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40" name="Shape 15840"/>
                        <wps:cNvSpPr/>
                        <wps:spPr>
                          <a:xfrm>
                            <a:off x="0" y="15240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43" name="Shape 15843"/>
                        <wps:cNvSpPr/>
                        <wps:spPr>
                          <a:xfrm>
                            <a:off x="0" y="18288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46" name="Shape 15846"/>
                        <wps:cNvSpPr/>
                        <wps:spPr>
                          <a:xfrm>
                            <a:off x="0" y="21336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48" name="Shape 15848"/>
                        <wps:cNvSpPr/>
                        <wps:spPr>
                          <a:xfrm>
                            <a:off x="0" y="2286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147"/>
                                  <a:pt x="56425" y="35719"/>
                                  <a:pt x="54975" y="39092"/>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092"/>
                                </a:cubicBezTo>
                                <a:cubicBezTo>
                                  <a:pt x="725" y="35719"/>
                                  <a:pt x="0" y="32147"/>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50" name="Shape 15850"/>
                        <wps:cNvSpPr/>
                        <wps:spPr>
                          <a:xfrm>
                            <a:off x="0" y="2438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3775" style="width:4.5pt;height:196.5pt;position:absolute;mso-position-horizontal-relative:text;mso-position-horizontal:absolute;margin-left:16.5pt;mso-position-vertical-relative:text;margin-top:2.74219pt;" coordsize="571,24955">
                <v:shape id="Shape 15823" style="position:absolute;width:571;height:571;left:0;top:0;" coordsize="57150,57150" path="m28575,0c32364,0,36009,595,39510,1885c43011,3373,46101,5457,48781,8136c51460,10815,53525,13990,54975,17363c56425,20935,57150,24705,57150,28575c57150,32246,56425,35818,54975,39390c53525,42863,51460,45938,48781,48617c46101,51296,43011,53380,39510,54868c36009,56257,32364,56952,28575,57150c24786,56952,21141,56257,17640,54868c14139,53380,11049,51296,8369,48617c5690,45938,3625,42863,2175,39390c725,35818,0,32246,0,28575c0,24705,725,20935,2175,17363c3625,13990,5690,10815,8369,8136c11049,5457,14139,3373,17640,1885c21141,595,24786,0,28575,0x">
                  <v:stroke weight="0pt" endcap="flat" joinstyle="miter" miterlimit="10" on="false" color="#000000" opacity="0"/>
                  <v:fill on="true" color="#333333"/>
                </v:shape>
                <v:shape id="Shape 15826" style="position:absolute;width:571;height:571;left:0;top:3048;"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5829" style="position:absolute;width:571;height:571;left:0;top:6096;"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5831" style="position:absolute;width:571;height:571;left:0;top:7620;"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10" on="false" color="#000000" opacity="0"/>
                  <v:fill on="true" color="#333333"/>
                </v:shape>
                <v:shape id="Shape 15834" style="position:absolute;width:571;height:571;left:0;top:10668;" coordsize="57150,57150" path="m28575,0c32364,0,36009,695,39510,2084c43011,3572,46101,5655,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655,14139,3572,17640,2084c21141,695,24786,0,28575,0x">
                  <v:stroke weight="0pt" endcap="flat" joinstyle="miter" miterlimit="10" on="false" color="#000000" opacity="0"/>
                  <v:fill on="true" color="#333333"/>
                </v:shape>
                <v:shape id="Shape 15836" style="position:absolute;width:571;height:571;left:0;top:12192;" coordsize="57150,57150" path="m28575,0c32364,0,36009,695,39510,2084c43011,3373,46101,5457,48781,8136c51460,10815,53525,13990,54975,17363c56425,20836,57150,24507,57150,28575c57150,32246,56425,35818,54975,39390c53525,42863,51460,45938,48781,48617c46101,51197,43011,53280,39510,54570c36009,56257,32364,56952,28575,57150c24786,56952,21141,56257,17640,54570c14139,53280,11049,51197,8369,48617c5690,45938,3625,42863,2175,39390c725,35818,0,32246,0,28575c0,24507,725,20836,2175,17363c3625,13990,5690,10815,8369,8136c11049,5457,14139,3373,17640,2084c21141,695,24786,0,28575,0x">
                  <v:stroke weight="0pt" endcap="flat" joinstyle="miter" miterlimit="10" on="false" color="#000000" opacity="0"/>
                  <v:fill on="true" color="#333333"/>
                </v:shape>
                <v:shape id="Shape 15838" style="position:absolute;width:571;height:571;left:0;top:13716;" coordsize="57150,57150" path="m28575,0c32364,0,36009,695,39510,2084c43011,3572,46101,5655,48781,8136c51460,10716,53525,13791,54975,17363c56425,20836,57150,24507,57150,28575c57150,32246,56425,35818,54975,39390c53525,42863,51460,45839,48781,48617c46101,51197,43011,53280,39510,54868c36009,56257,32364,56952,28575,57150c24786,56952,21141,56257,17640,54868c14139,53280,11049,51197,8369,48617c5690,45839,3625,42863,2175,39390c725,35818,0,32246,0,28575c0,24507,725,20836,2175,17363c3625,13791,5690,10716,8369,8136c11049,5655,14139,3572,17640,2084c21141,695,24786,0,28575,0x">
                  <v:stroke weight="0pt" endcap="flat" joinstyle="miter" miterlimit="10" on="false" color="#000000" opacity="0"/>
                  <v:fill on="true" color="#333333"/>
                </v:shape>
                <v:shape id="Shape 15840" style="position:absolute;width:571;height:571;left:0;top:15240;" coordsize="57150,57150" path="m28575,0c32364,0,36009,695,39510,2084c43011,3373,46101,5358,48781,8136c51460,10815,53525,13990,54975,17363c56425,20836,57150,24507,57150,28575c57150,32246,56425,35818,54975,39390c53525,42863,51460,45938,48781,48617c46101,51296,43011,53380,39510,54769c36009,56257,32364,56952,28575,57150c24786,56952,21141,56257,17640,54769c14139,53380,11049,51296,8369,48617c5690,45938,3625,42863,2175,39390c725,35818,0,32246,0,28575c0,24507,725,20836,2175,17363c3625,13990,5690,10815,8369,8136c11049,5358,14139,3373,17640,2084c21141,695,24786,0,28575,0x">
                  <v:stroke weight="0pt" endcap="flat" joinstyle="miter" miterlimit="10" on="false" color="#000000" opacity="0"/>
                  <v:fill on="true" color="#333333"/>
                </v:shape>
                <v:shape id="Shape 15843" style="position:absolute;width:571;height:571;left:0;top:18288;"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v:shape id="Shape 15846" style="position:absolute;width:571;height:571;left:0;top:21336;" coordsize="57150,57150" path="m28575,0c32364,0,36009,695,39510,2084c43011,3373,46101,5358,48781,8136c51460,10716,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716,8369,8136c11049,5358,14139,3373,17640,2084c21141,695,24786,0,28575,0x">
                  <v:stroke weight="0pt" endcap="flat" joinstyle="miter" miterlimit="10" on="false" color="#000000" opacity="0"/>
                  <v:fill on="true" color="#333333"/>
                </v:shape>
                <v:shape id="Shape 15848" style="position:absolute;width:571;height:571;left:0;top:22860;" coordsize="57150,57150" path="m28575,0c32364,0,36009,695,39510,2084c43011,3373,46101,5457,48781,8334c51460,10815,53525,13990,54975,17562c56425,20935,57150,24705,57150,28575c57150,32147,56425,35719,54975,39092c53525,42664,51460,45839,48781,48617c46101,51197,43011,53280,39510,54769c36009,56257,32364,56952,28575,57150c24786,56952,21141,56257,17640,54769c14139,53280,11049,51197,8369,48617c5690,45839,3625,42664,2175,39092c725,35719,0,32147,0,28575c0,24705,725,20935,2175,17562c3625,13990,5690,10815,8369,8334c11049,5457,14139,3373,17640,2084c21141,695,24786,0,28575,0x">
                  <v:stroke weight="0pt" endcap="flat" joinstyle="miter" miterlimit="10" on="false" color="#000000" opacity="0"/>
                  <v:fill on="true" color="#333333"/>
                </v:shape>
                <v:shape id="Shape 15850" style="position:absolute;width:571;height:571;left:0;top:24384;" coordsize="57150,57150" path="m28575,0c32364,0,36009,695,39510,2084c43011,3373,46101,5457,48781,8334c51460,10815,53525,13990,54975,17562c56425,20935,57150,24705,57150,28575c57150,32246,56425,35719,54975,39092c53525,42664,51460,45839,48781,48617c46101,51296,43011,53380,39510,54769c36009,56257,32364,56952,28575,57150c24786,56952,21141,56257,17640,54769c14139,53380,11049,51296,8369,48617c5690,45839,3625,42664,2175,39092c725,35719,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Коморбидные соматические и психические заболевания встречаются часто, особенно у пожилых пациентов.</w:t>
      </w:r>
    </w:p>
    <w:p w:rsidR="008E3F15" w:rsidRDefault="005F449A">
      <w:pPr>
        <w:ind w:left="340" w:right="15"/>
      </w:pPr>
      <w:r>
        <w:t>Повышенная частота коморбидности не может объясняться распространенностью болезней.</w:t>
      </w:r>
    </w:p>
    <w:p w:rsidR="008E3F15" w:rsidRDefault="005F449A">
      <w:pPr>
        <w:ind w:left="340" w:right="1146"/>
      </w:pPr>
      <w:r>
        <w:t>Коморбидность включает двунаправленные влияния сочетанных заболеваний. У</w:t>
      </w:r>
      <w:r>
        <w:t xml:space="preserve"> пациентов с коморбидными заболеваниями возрастает тяжесть состояния и ухудшается прогноз.</w:t>
      </w:r>
    </w:p>
    <w:p w:rsidR="008E3F15" w:rsidRDefault="005F449A">
      <w:pPr>
        <w:spacing w:after="31"/>
        <w:ind w:left="340" w:right="15"/>
      </w:pPr>
      <w:r>
        <w:t>Коморбидность затрудняет диагностику заболеваний.</w:t>
      </w:r>
    </w:p>
    <w:p w:rsidR="008E3F15" w:rsidRDefault="005F449A">
      <w:pPr>
        <w:spacing w:after="31"/>
        <w:ind w:left="340" w:right="15"/>
      </w:pPr>
      <w:r>
        <w:t>Наличие коморбидных болезней снижает эффективность лечения.</w:t>
      </w:r>
    </w:p>
    <w:p w:rsidR="008E3F15" w:rsidRDefault="005F449A">
      <w:pPr>
        <w:ind w:left="340" w:right="260"/>
      </w:pPr>
      <w:r>
        <w:t>Лечение болезни может существенно повлиять на коморбидн</w:t>
      </w:r>
      <w:r>
        <w:t>ое заболевание. Лечение нескольких заболеваний требует учета взаимовлияния лекарственных препаратов.</w:t>
      </w:r>
    </w:p>
    <w:p w:rsidR="008E3F15" w:rsidRDefault="005F449A">
      <w:pPr>
        <w:ind w:left="340" w:right="15"/>
      </w:pPr>
      <w:r>
        <w:t>Коморбидность и повышение числа лекарственных препаратов увеличивают риск побочных эффектов.</w:t>
      </w:r>
    </w:p>
    <w:p w:rsidR="008E3F15" w:rsidRDefault="005F449A">
      <w:pPr>
        <w:spacing w:after="31"/>
        <w:ind w:left="340" w:right="15"/>
      </w:pPr>
      <w:r>
        <w:t>Коморбидные болезни снижают приверженность пациентов к лечению</w:t>
      </w:r>
      <w:r>
        <w:t>.</w:t>
      </w:r>
    </w:p>
    <w:p w:rsidR="008E3F15" w:rsidRDefault="005F449A">
      <w:pPr>
        <w:spacing w:after="31"/>
        <w:ind w:left="340" w:right="15"/>
      </w:pPr>
      <w:r>
        <w:t>Коморбидность значительно увеличивает затраты на лечение.</w:t>
      </w:r>
    </w:p>
    <w:p w:rsidR="008E3F15" w:rsidRDefault="005F449A">
      <w:pPr>
        <w:spacing w:after="345"/>
        <w:ind w:left="340" w:right="15"/>
      </w:pPr>
      <w:r>
        <w:t>Важно выработать оптимальную стратегию ведения сочетанных болезней.</w:t>
      </w:r>
    </w:p>
    <w:p w:rsidR="008E3F15" w:rsidRDefault="005F449A">
      <w:pPr>
        <w:pStyle w:val="Heading1"/>
        <w:ind w:left="2"/>
      </w:pPr>
      <w:r>
        <w:t>Часть II. Коморбидные болезни</w:t>
      </w:r>
    </w:p>
    <w:p w:rsidR="008E3F15" w:rsidRDefault="005F449A">
      <w:pPr>
        <w:spacing w:after="179"/>
        <w:ind w:left="2" w:right="6711"/>
      </w:pPr>
      <w:r>
        <w:t xml:space="preserve">Глава 14. Гипотиреоз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2016" behindDoc="0" locked="0" layoutInCell="1" allowOverlap="1">
                <wp:simplePos x="0" y="0"/>
                <wp:positionH relativeFrom="column">
                  <wp:posOffset>209550</wp:posOffset>
                </wp:positionH>
                <wp:positionV relativeFrom="paragraph">
                  <wp:posOffset>34826</wp:posOffset>
                </wp:positionV>
                <wp:extent cx="57150" cy="542925"/>
                <wp:effectExtent l="0" t="0" r="0" b="0"/>
                <wp:wrapSquare wrapText="bothSides"/>
                <wp:docPr id="303776" name="Group 303776"/>
                <wp:cNvGraphicFramePr/>
                <a:graphic xmlns:a="http://schemas.openxmlformats.org/drawingml/2006/main">
                  <a:graphicData uri="http://schemas.microsoft.com/office/word/2010/wordprocessingGroup">
                    <wpg:wgp>
                      <wpg:cNvGrpSpPr/>
                      <wpg:grpSpPr>
                        <a:xfrm>
                          <a:off x="0" y="0"/>
                          <a:ext cx="57150" cy="542925"/>
                          <a:chOff x="0" y="0"/>
                          <a:chExt cx="57150" cy="542925"/>
                        </a:xfrm>
                      </wpg:grpSpPr>
                      <wps:wsp>
                        <wps:cNvPr id="15855" name="Shape 1585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57" name="Shape 1585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61" name="Shape 15861"/>
                        <wps:cNvSpPr/>
                        <wps:spPr>
                          <a:xfrm>
                            <a:off x="0" y="333375"/>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356"/>
                                  <a:pt x="32364" y="57150"/>
                                  <a:pt x="28575" y="57150"/>
                                </a:cubicBezTo>
                                <a:cubicBezTo>
                                  <a:pt x="24786" y="57150"/>
                                  <a:pt x="21141" y="56356"/>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863" name="Shape 15863"/>
                        <wps:cNvSpPr/>
                        <wps:spPr>
                          <a:xfrm>
                            <a:off x="0" y="485775"/>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3776" style="width:4.5pt;height:42.75pt;position:absolute;mso-position-horizontal-relative:text;mso-position-horizontal:absolute;margin-left:16.5pt;mso-position-vertical-relative:text;margin-top:2.74219pt;" coordsize="571,5429">
                <v:shape id="Shape 15855" style="position:absolute;width:571;height:571;left:0;top:0;" coordsize="57150,57150" path="m28575,0c32364,0,36009,695,39510,2084c43011,3373,46101,5457,48781,8334c51460,10815,53525,13990,54975,17562c56425,20935,57150,24705,57150,28575c57150,32246,56425,35818,54975,39291c53525,42664,51460,45839,48781,48617c46101,51296,43011,53380,39510,54769c36009,56257,32364,56952,28575,57150c24786,56952,21141,56257,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5857" style="position:absolute;width:571;height:571;left:0;top:1524;" coordsize="57150,57150" path="m28575,0c32364,0,36009,695,39510,2084c43011,3373,46101,5457,48781,8334c51460,10815,53525,13990,54975,17562c56425,20935,57150,24705,57150,28575c57150,32246,56425,35818,54975,39291c53525,42664,51460,45839,48781,48617c46101,51296,43011,53380,39510,54769c36009,56356,32364,57150,28575,57150c24786,57150,21141,56356,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5861" style="position:absolute;width:571;height:571;left:0;top:3333;" coordsize="57150,57150" path="m28575,0c32364,0,36009,695,39510,2084c43011,3373,46101,5457,48781,8334c51460,10815,53525,13990,54975,17562c56425,20935,57150,24705,57150,28575c57150,32246,56425,35818,54975,39291c53525,42664,51460,45839,48781,48617c46101,51296,43011,53380,39510,54769c36009,56356,32364,57150,28575,57150c24786,57150,21141,56356,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5863" style="position:absolute;width:571;height:571;left:0;top:4857;" coordsize="57150,57150" path="m28575,0c32364,0,36009,695,39510,2084c43011,3373,46101,5457,48781,8334c51460,10815,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815,8369,8334c11049,5457,14139,3373,17640,2084c21141,695,24786,0,28575,0x">
                  <v:stroke weight="0pt" endcap="flat" joinstyle="miter" miterlimit="10" on="false" color="#000000" opacity="0"/>
                  <v:fill on="true" color="#333333"/>
                </v:shape>
                <w10:wrap type="square"/>
              </v:group>
            </w:pict>
          </mc:Fallback>
        </mc:AlternateContent>
      </w:r>
      <w:r>
        <w:t>ТТГ.</w:t>
      </w:r>
    </w:p>
    <w:p w:rsidR="008E3F15" w:rsidRDefault="005F449A">
      <w:pPr>
        <w:spacing w:after="31"/>
        <w:ind w:left="340" w:right="15"/>
      </w:pPr>
      <w:r>
        <w:t>Т</w:t>
      </w:r>
      <w:r>
        <w:rPr>
          <w:sz w:val="31"/>
          <w:vertAlign w:val="subscript"/>
        </w:rPr>
        <w:t>4</w:t>
      </w:r>
      <w:r>
        <w:t xml:space="preserve"> свободный.</w:t>
      </w:r>
    </w:p>
    <w:p w:rsidR="008E3F15" w:rsidRDefault="005F449A">
      <w:pPr>
        <w:spacing w:after="31"/>
        <w:ind w:left="340" w:right="15"/>
      </w:pPr>
      <w:r>
        <w:t>Антитела к тиреопероксидазе (при субклиническом гипотиреозе).</w:t>
      </w:r>
    </w:p>
    <w:p w:rsidR="008E3F15" w:rsidRDefault="005F449A">
      <w:pPr>
        <w:spacing w:after="31"/>
        <w:ind w:left="340" w:right="15"/>
      </w:pPr>
      <w:r>
        <w:t>Ультразвуковое исследование щитовидной железы.</w:t>
      </w:r>
    </w:p>
    <w:p w:rsidR="008E3F15" w:rsidRDefault="005F449A">
      <w:pPr>
        <w:pStyle w:val="Heading2"/>
        <w:ind w:left="2"/>
      </w:pPr>
      <w:r>
        <w:t>Лечение</w:t>
      </w:r>
    </w:p>
    <w:p w:rsidR="008E3F15" w:rsidRDefault="005F449A">
      <w:pPr>
        <w:spacing w:after="165"/>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305394" name="Group 30539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5887" name="Shape 15887"/>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264"/>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264"/>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5394" style="width:4.5pt;height:4.5pt;mso-position-horizontal-relative:char;mso-position-vertical-relative:line" coordsize="571,571">
                <v:shape id="Shape 15887" style="position:absolute;width:571;height:571;left:0;top:0;" coordsize="57150,57150" path="m28575,0c32364,0,36009,595,39510,1885c43011,3373,46101,5457,48781,8136c51460,10716,53525,13791,54975,17264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264c3625,13791,5690,10716,8369,8136c11049,5457,14139,3373,17640,1885c21141,595,24786,0,28575,0x">
                  <v:stroke weight="0pt" endcap="flat" joinstyle="miter" miterlimit="4" on="false" color="#000000" opacity="0"/>
                  <v:fill on="true" color="#333333"/>
                </v:shape>
              </v:group>
            </w:pict>
          </mc:Fallback>
        </mc:AlternateContent>
      </w:r>
      <w:r>
        <w:t xml:space="preserve"> Левотироксин натрия.</w:t>
      </w:r>
    </w:p>
    <w:p w:rsidR="008E3F15" w:rsidRDefault="005F449A">
      <w:pPr>
        <w:spacing w:after="359"/>
        <w:ind w:left="2" w:right="15"/>
      </w:pPr>
      <w:r>
        <w:t>По данным европейских исследований распространенность гипотиреоза составила 3% населения (0,4% явного и 3,8% субклинического), у женщин и мужчин 5,1 и 0,9% соответственно (Garmendia Madariaga A. et al., 2014).</w:t>
      </w:r>
    </w:p>
    <w:p w:rsidR="008E3F15" w:rsidRDefault="005F449A">
      <w:pPr>
        <w:pStyle w:val="Heading1"/>
        <w:ind w:left="2"/>
      </w:pPr>
      <w:r>
        <w:t>Часть II. Коморбидные болезни</w:t>
      </w:r>
    </w:p>
    <w:p w:rsidR="008E3F15" w:rsidRDefault="005F449A">
      <w:pPr>
        <w:spacing w:after="165"/>
        <w:ind w:left="2" w:right="15"/>
      </w:pPr>
      <w:r>
        <w:t>Причины и фактор</w:t>
      </w:r>
      <w:r>
        <w:t>ы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3040" behindDoc="0" locked="0" layoutInCell="1" allowOverlap="1">
                <wp:simplePos x="0" y="0"/>
                <wp:positionH relativeFrom="column">
                  <wp:posOffset>209550</wp:posOffset>
                </wp:positionH>
                <wp:positionV relativeFrom="paragraph">
                  <wp:posOffset>34826</wp:posOffset>
                </wp:positionV>
                <wp:extent cx="57150" cy="819150"/>
                <wp:effectExtent l="0" t="0" r="0" b="0"/>
                <wp:wrapSquare wrapText="bothSides"/>
                <wp:docPr id="305395" name="Group 305395"/>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15894" name="Shape 15894"/>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896" name="Shape 15896"/>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898" name="Shape 1589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00" name="Shape 1590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02" name="Shape 15902"/>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04" name="Shape 15904"/>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5395" style="width:4.5pt;height:64.5pt;position:absolute;mso-position-horizontal-relative:text;mso-position-horizontal:absolute;margin-left:16.5pt;mso-position-vertical-relative:text;margin-top:2.74219pt;" coordsize="571,8191">
                <v:shape id="Shape 15894" style="position:absolute;width:571;height:571;left:0;top:0;" coordsize="57150,57150" path="m28575,0c32364,0,36009,695,39510,2084c43011,3572,46101,5655,48781,8334c51460,11013,53525,14089,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4089,5690,11013,8369,8334c11049,5655,14139,3572,17640,2084c21141,695,24786,0,28575,0x">
                  <v:stroke weight="0pt" endcap="flat" joinstyle="miter" miterlimit="4" on="false" color="#000000" opacity="0"/>
                  <v:fill on="true" color="#333333"/>
                </v:shape>
                <v:shape id="Shape 15896" style="position:absolute;width:571;height:571;left:0;top:1524;" coordsize="57150,57150" path="m28575,0c32364,0,36009,595,39510,1885c43011,3373,46101,5457,48781,8334c51460,10815,53525,13990,54975,17363c56425,20836,57150,24507,57150,28575c57150,32246,56425,35818,54975,39390c53525,42863,51460,45938,48781,48816c46101,51296,43011,53380,39510,54868c36009,56257,32364,56952,28575,57150c24786,56952,21141,56257,17640,54868c14139,53380,11049,51296,8369,48816c5690,45938,3625,42863,2175,39390c725,35818,0,32246,0,28575c0,24507,725,20836,2175,17363c3625,13990,5690,10815,8369,8334c11049,5457,14139,3373,17640,1885c21141,595,24786,0,28575,0x">
                  <v:stroke weight="0pt" endcap="flat" joinstyle="miter" miterlimit="4" on="false" color="#000000" opacity="0"/>
                  <v:fill on="true" color="#333333"/>
                </v:shape>
                <v:shape id="Shape 15898" style="position:absolute;width:571;height:571;left:0;top:3048;" coordsize="57150,57150" path="m28575,0c32364,0,36009,695,39510,2084c43011,3572,46101,5655,48781,8334c51460,11013,53525,14089,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4089,5690,11013,8369,8334c11049,5655,14139,3572,17640,2084c21141,695,24786,0,28575,0x">
                  <v:stroke weight="0pt" endcap="flat" joinstyle="miter" miterlimit="4" on="false" color="#000000" opacity="0"/>
                  <v:fill on="true" color="#333333"/>
                </v:shape>
                <v:shape id="Shape 15900" style="position:absolute;width:571;height:571;left:0;top:4572;" coordsize="57150,57150" path="m28575,0c32364,0,36009,695,39510,2084c43011,3572,46101,5655,48781,8334c51460,10815,53525,13990,54975,17363c56425,20836,57150,24507,57150,28575c57150,32246,56425,35818,54975,39390c53525,42863,51460,45938,48781,48816c46101,51296,43011,53380,39510,54868c36009,56257,32364,56952,28575,57150c24786,56952,21141,56257,17640,54868c14139,53380,11049,51296,8369,48816c5690,45938,3625,42863,2175,39390c725,35818,0,32246,0,28575c0,24507,725,20836,2175,17363c3625,13990,5690,10815,8369,8334c11049,5655,14139,3572,17640,2084c21141,695,24786,0,28575,0x">
                  <v:stroke weight="0pt" endcap="flat" joinstyle="miter" miterlimit="4" on="false" color="#000000" opacity="0"/>
                  <v:fill on="true" color="#333333"/>
                </v:shape>
                <v:shape id="Shape 15902" style="position:absolute;width:571;height:571;left:0;top:6096;" coordsize="57150,57150" path="m28575,0c32364,0,36009,695,39510,2084c43011,3572,46101,5655,48781,8334c51460,11013,53525,14089,54975,17562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562c3625,14089,5690,11013,8369,8334c11049,5655,14139,3572,17640,2084c21141,695,24786,0,28575,0x">
                  <v:stroke weight="0pt" endcap="flat" joinstyle="miter" miterlimit="4" on="false" color="#000000" opacity="0"/>
                  <v:fill on="true" color="#333333"/>
                </v:shape>
                <v:shape id="Shape 15904" style="position:absolute;width:571;height:571;left:0;top:7620;" coordsize="57150,57150" path="m28575,0c32364,0,36009,695,39510,2084c43011,3572,46101,5655,48781,8334c51460,10815,53525,13990,54975,17363c56425,20836,57150,24507,57150,28575c57150,32246,56425,35818,54975,39390c53525,42863,51460,45938,48781,48617c46101,51296,43011,53380,39510,54769c36009,56257,32364,56952,28575,57150c24786,56952,21141,56257,17640,54769c14139,53380,11049,51296,8369,48617c5690,45938,3625,42863,2175,39390c725,35818,0,32246,0,28575c0,24507,725,20836,2175,17363c3625,13990,5690,10815,8369,8334c11049,5655,14139,3572,17640,2084c21141,695,24786,0,28575,0x">
                  <v:stroke weight="0pt" endcap="flat" joinstyle="miter" miterlimit="4" on="false" color="#000000" opacity="0"/>
                  <v:fill on="true" color="#333333"/>
                </v:shape>
                <w10:wrap type="square"/>
              </v:group>
            </w:pict>
          </mc:Fallback>
        </mc:AlternateContent>
      </w:r>
      <w:r>
        <w:t>Хронический аутоиммунный тиреоидит (Хашимото, лимфоцитарный).</w:t>
      </w:r>
    </w:p>
    <w:p w:rsidR="008E3F15" w:rsidRDefault="005F449A">
      <w:pPr>
        <w:spacing w:after="31"/>
        <w:ind w:left="340" w:right="15"/>
      </w:pPr>
      <w:r>
        <w:t>Тиреоидиты (лучевой, вирусный, послеродовый, лекарственный).</w:t>
      </w:r>
    </w:p>
    <w:p w:rsidR="008E3F15" w:rsidRDefault="005F449A">
      <w:pPr>
        <w:spacing w:after="31"/>
        <w:ind w:left="340" w:right="15"/>
      </w:pPr>
      <w:r>
        <w:t>Тиреоидэктомия, радиойодтерапия.</w:t>
      </w:r>
    </w:p>
    <w:p w:rsidR="008E3F15" w:rsidRDefault="005F449A">
      <w:pPr>
        <w:spacing w:after="31"/>
        <w:ind w:left="340" w:right="15"/>
      </w:pPr>
      <w:r>
        <w:t>Тиреостатики.</w:t>
      </w:r>
    </w:p>
    <w:p w:rsidR="008E3F15" w:rsidRDefault="005F449A">
      <w:pPr>
        <w:spacing w:after="179"/>
        <w:ind w:left="340" w:right="5431"/>
      </w:pPr>
      <w:r>
        <w:t>Лекарственные препараты. Врожденный.</w:t>
      </w:r>
    </w:p>
    <w:p w:rsidR="008E3F15" w:rsidRDefault="005F449A">
      <w:pPr>
        <w:spacing w:after="359"/>
        <w:ind w:left="2" w:right="470"/>
      </w:pPr>
      <w:r>
        <w:t>Чаще всего причиной гипотиреоза является</w:t>
      </w:r>
      <w:r>
        <w:t xml:space="preserve"> хронический аутоиммунный тиреоидит или деструктивное лечение гипертиреоза с помощью радиоактивного йода или резекции. Лекарственные препараты, которые вызывают гипотиреоз через блокаду синтеза или высвобождение гормонов щитовидной железы, содержат йод (ам</w:t>
      </w:r>
      <w:r>
        <w:t>иодарон, рентгенконтрасты) или воздействуют иначе (литий, интерферон, рибавирин).</w:t>
      </w:r>
    </w:p>
    <w:p w:rsidR="008E3F15" w:rsidRDefault="005F449A">
      <w:pPr>
        <w:pStyle w:val="Heading1"/>
        <w:ind w:left="2"/>
      </w:pPr>
      <w:r>
        <w:t>Часть II. Коморбидные болезни</w:t>
      </w:r>
    </w:p>
    <w:p w:rsidR="008E3F15" w:rsidRDefault="005F449A">
      <w:pPr>
        <w:spacing w:after="31"/>
        <w:ind w:left="2" w:right="15"/>
      </w:pPr>
      <w:r>
        <w:t>Классификация</w:t>
      </w:r>
    </w:p>
    <w:p w:rsidR="008E3F15" w:rsidRDefault="005F449A">
      <w:pPr>
        <w:spacing w:after="31"/>
        <w:ind w:left="2" w:right="15"/>
      </w:pPr>
      <w:r>
        <w:t>Статистическое кодирование заболеваний осуществляется по классификации МКБ-10 (</w:t>
      </w:r>
      <w:r>
        <w:rPr>
          <w:b/>
        </w:rPr>
        <w:t>табл.</w:t>
      </w:r>
    </w:p>
    <w:p w:rsidR="008E3F15" w:rsidRDefault="005F449A">
      <w:pPr>
        <w:spacing w:after="133" w:line="259" w:lineRule="auto"/>
        <w:ind w:left="2" w:right="0"/>
      </w:pPr>
      <w:r>
        <w:rPr>
          <w:b/>
        </w:rPr>
        <w:t>14.1</w:t>
      </w:r>
      <w:r>
        <w:t>).</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4064" behindDoc="0" locked="0" layoutInCell="1" allowOverlap="1">
                <wp:simplePos x="0" y="0"/>
                <wp:positionH relativeFrom="column">
                  <wp:posOffset>209550</wp:posOffset>
                </wp:positionH>
                <wp:positionV relativeFrom="paragraph">
                  <wp:posOffset>34826</wp:posOffset>
                </wp:positionV>
                <wp:extent cx="57150" cy="1581150"/>
                <wp:effectExtent l="0" t="0" r="0" b="0"/>
                <wp:wrapSquare wrapText="bothSides"/>
                <wp:docPr id="305398" name="Group 305398"/>
                <wp:cNvGraphicFramePr/>
                <a:graphic xmlns:a="http://schemas.openxmlformats.org/drawingml/2006/main">
                  <a:graphicData uri="http://schemas.microsoft.com/office/word/2010/wordprocessingGroup">
                    <wpg:wgp>
                      <wpg:cNvGrpSpPr/>
                      <wpg:grpSpPr>
                        <a:xfrm>
                          <a:off x="0" y="0"/>
                          <a:ext cx="57150" cy="1581150"/>
                          <a:chOff x="0" y="0"/>
                          <a:chExt cx="57150" cy="1581150"/>
                        </a:xfrm>
                      </wpg:grpSpPr>
                      <wps:wsp>
                        <wps:cNvPr id="15917" name="Shape 15917"/>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19" name="Shape 15919"/>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264"/>
                                </a:cubicBezTo>
                                <a:cubicBezTo>
                                  <a:pt x="56425" y="20836"/>
                                  <a:pt x="57150" y="24507"/>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507"/>
                                  <a:pt x="725" y="20836"/>
                                  <a:pt x="2175" y="17264"/>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21" name="Shape 15921"/>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264"/>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264"/>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23" name="Shape 15923"/>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264"/>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264"/>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25" name="Shape 15925"/>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264"/>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264"/>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27" name="Shape 15927"/>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29" name="Shape 15929"/>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31" name="Shape 15931"/>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641"/>
                                  <a:pt x="48781" y="48518"/>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518"/>
                                </a:cubicBezTo>
                                <a:cubicBezTo>
                                  <a:pt x="5690" y="45641"/>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33" name="Shape 15933"/>
                        <wps:cNvSpPr/>
                        <wps:spPr>
                          <a:xfrm>
                            <a:off x="0" y="12192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719"/>
                                  <a:pt x="54975" y="39092"/>
                                </a:cubicBezTo>
                                <a:cubicBezTo>
                                  <a:pt x="53525" y="42565"/>
                                  <a:pt x="51460" y="45641"/>
                                  <a:pt x="48781" y="48518"/>
                                </a:cubicBezTo>
                                <a:cubicBezTo>
                                  <a:pt x="46101" y="50998"/>
                                  <a:pt x="43011" y="53082"/>
                                  <a:pt x="39510" y="54769"/>
                                </a:cubicBezTo>
                                <a:cubicBezTo>
                                  <a:pt x="36009" y="56257"/>
                                  <a:pt x="32364" y="56952"/>
                                  <a:pt x="28575" y="57150"/>
                                </a:cubicBezTo>
                                <a:cubicBezTo>
                                  <a:pt x="24786" y="56952"/>
                                  <a:pt x="21141" y="56257"/>
                                  <a:pt x="17640" y="54769"/>
                                </a:cubicBezTo>
                                <a:cubicBezTo>
                                  <a:pt x="14139" y="53082"/>
                                  <a:pt x="11049" y="50998"/>
                                  <a:pt x="8369" y="48518"/>
                                </a:cubicBezTo>
                                <a:cubicBezTo>
                                  <a:pt x="5690" y="45641"/>
                                  <a:pt x="3625" y="42565"/>
                                  <a:pt x="2175" y="39092"/>
                                </a:cubicBezTo>
                                <a:cubicBezTo>
                                  <a:pt x="725" y="35719"/>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35" name="Shape 15935"/>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641"/>
                                  <a:pt x="48781" y="48518"/>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518"/>
                                </a:cubicBezTo>
                                <a:cubicBezTo>
                                  <a:pt x="5690" y="45641"/>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5937" name="Shape 15937"/>
                        <wps:cNvSpPr/>
                        <wps:spPr>
                          <a:xfrm>
                            <a:off x="0" y="15240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719"/>
                                  <a:pt x="54975" y="39092"/>
                                </a:cubicBezTo>
                                <a:cubicBezTo>
                                  <a:pt x="53525" y="42565"/>
                                  <a:pt x="51460" y="45641"/>
                                  <a:pt x="48781" y="48518"/>
                                </a:cubicBezTo>
                                <a:cubicBezTo>
                                  <a:pt x="46101" y="50998"/>
                                  <a:pt x="43011" y="53082"/>
                                  <a:pt x="39510" y="54769"/>
                                </a:cubicBezTo>
                                <a:cubicBezTo>
                                  <a:pt x="36009" y="56257"/>
                                  <a:pt x="32364" y="56952"/>
                                  <a:pt x="28575" y="57150"/>
                                </a:cubicBezTo>
                                <a:cubicBezTo>
                                  <a:pt x="24786" y="56952"/>
                                  <a:pt x="21141" y="56257"/>
                                  <a:pt x="17640" y="54769"/>
                                </a:cubicBezTo>
                                <a:cubicBezTo>
                                  <a:pt x="14139" y="53082"/>
                                  <a:pt x="11049" y="50998"/>
                                  <a:pt x="8369" y="48518"/>
                                </a:cubicBezTo>
                                <a:cubicBezTo>
                                  <a:pt x="5690" y="45641"/>
                                  <a:pt x="3625" y="42565"/>
                                  <a:pt x="2175" y="39092"/>
                                </a:cubicBezTo>
                                <a:cubicBezTo>
                                  <a:pt x="725" y="35719"/>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5398" style="width:4.5pt;height:124.5pt;position:absolute;mso-position-horizontal-relative:text;mso-position-horizontal:absolute;margin-left:16.5pt;mso-position-vertical-relative:text;margin-top:2.74219pt;" coordsize="571,15811">
                <v:shape id="Shape 15917" style="position:absolute;width:571;height:571;left:0;top:0;" coordsize="57150,57150" path="m28575,0c32364,0,36009,695,39510,2084c43011,3373,46101,5457,48781,8136c51460,10716,53525,13791,54975,17363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363c3625,13791,5690,10716,8369,8136c11049,5457,14139,3373,17640,2084c21141,695,24786,0,28575,0x">
                  <v:stroke weight="0pt" endcap="flat" joinstyle="miter" miterlimit="4" on="false" color="#000000" opacity="0"/>
                  <v:fill on="true" color="#333333"/>
                </v:shape>
                <v:shape id="Shape 15919" style="position:absolute;width:571;height:571;left:0;top:1524;" coordsize="57150,57150" path="m28575,0c32364,0,36009,695,39510,2084c43011,3373,46101,5457,48781,8136c51460,10716,53525,13791,54975,17264c56425,20836,57150,24507,57150,28575c57150,32246,56425,35818,54975,39291c53525,42664,51460,45839,48781,48617c46101,51296,43011,53380,39510,54769c36009,56257,32364,56952,28575,57150c24786,56952,21141,56257,17640,54769c14139,53380,11049,51296,8369,48617c5690,45839,3625,42664,2175,39291c725,35818,0,32246,0,28575c0,24507,725,20836,2175,17264c3625,13791,5690,10716,8369,8136c11049,5457,14139,3373,17640,2084c21141,695,24786,0,28575,0x">
                  <v:stroke weight="0pt" endcap="flat" joinstyle="miter" miterlimit="4" on="false" color="#000000" opacity="0"/>
                  <v:fill on="true" color="#333333"/>
                </v:shape>
                <v:shape id="Shape 15921" style="position:absolute;width:571;height:571;left:0;top:3048;" coordsize="57150,57150" path="m28575,0c32364,0,36009,695,39510,2084c43011,3373,46101,5457,48781,8136c51460,10716,53525,13791,54975,17264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264c3625,13791,5690,10716,8369,8136c11049,5457,14139,3373,17640,2084c21141,695,24786,0,28575,0x">
                  <v:stroke weight="0pt" endcap="flat" joinstyle="miter" miterlimit="4" on="false" color="#000000" opacity="0"/>
                  <v:fill on="true" color="#333333"/>
                </v:shape>
                <v:shape id="Shape 15923" style="position:absolute;width:571;height:571;left:0;top:4572;" coordsize="57150,57150" path="m28575,0c32364,0,36009,695,39510,2084c43011,3373,46101,5457,48781,8136c51460,10716,53525,13791,54975,17264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264c3625,13791,5690,10716,8369,8136c11049,5457,14139,3373,17640,2084c21141,695,24786,0,28575,0x">
                  <v:stroke weight="0pt" endcap="flat" joinstyle="miter" miterlimit="4" on="false" color="#000000" opacity="0"/>
                  <v:fill on="true" color="#333333"/>
                </v:shape>
                <v:shape id="Shape 15925" style="position:absolute;width:571;height:571;left:0;top:6096;" coordsize="57150,57150" path="m28575,0c32364,0,36009,595,39510,1885c43011,3373,46101,5457,48781,8136c51460,10716,53525,13791,54975,17264c56425,20935,57150,24705,57150,28575c57150,32246,56425,35818,54975,39291c53525,42664,51460,45839,48781,48617c46101,51197,43011,53280,39510,54769c36009,56356,32364,57150,28575,57150c24786,57150,21141,56356,17640,54769c14139,53280,11049,51197,8369,48617c5690,45839,3625,42664,2175,39291c725,35818,0,32246,0,28575c0,24705,725,20935,2175,17264c3625,13791,5690,10716,8369,8136c11049,5457,14139,3373,17640,1885c21141,595,24786,0,28575,0x">
                  <v:stroke weight="0pt" endcap="flat" joinstyle="miter" miterlimit="4" on="false" color="#000000" opacity="0"/>
                  <v:fill on="true" color="#333333"/>
                </v:shape>
                <v:shape id="Shape 15927" style="position:absolute;width:571;height:571;left:0;top:7620;" coordsize="57150,57150" path="m28575,0c32364,0,36009,695,39510,2084c43011,3572,46101,5655,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5929" style="position:absolute;width:571;height:571;left:0;top:9144;" coordsize="57150,57150" path="m28575,0c32364,0,36009,595,39510,1885c43011,3373,46101,5457,48781,8334c51460,10815,53525,13990,54975,17363c56425,20935,57150,24705,57150,28575c57150,32246,56425,35818,54975,39291c53525,42664,51460,45839,48781,48617c46101,51197,43011,53280,39510,54769c36009,56356,32364,57150,28575,57150c24786,57150,21141,56356,17640,54769c14139,53280,11049,51197,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5931" style="position:absolute;width:571;height:571;left:0;top:10668;" coordsize="57150,57150" path="m28575,0c32364,0,36009,695,39510,2084c43011,3572,46101,5655,48781,8334c51460,10815,53525,13990,54975,17363c56425,20935,57150,24705,57150,28575c57150,32246,56425,35818,54975,39291c53525,42664,51460,45641,48781,48518c46101,51197,43011,53280,39510,54769c36009,56059,32364,56952,28575,57150c24786,56952,21141,56059,17640,54769c14139,53280,11049,51197,8369,48518c5690,45641,3625,42664,2175,39291c725,35818,0,32246,0,28575c0,24705,725,20935,2175,17363c3625,13990,5690,10815,8369,8334c11049,5655,14139,3572,17640,2084c21141,695,24786,0,28575,0x">
                  <v:stroke weight="0pt" endcap="flat" joinstyle="miter" miterlimit="4" on="false" color="#000000" opacity="0"/>
                  <v:fill on="true" color="#333333"/>
                </v:shape>
                <v:shape id="Shape 15933" style="position:absolute;width:571;height:571;left:0;top:12192;" coordsize="57150,57150" path="m28575,0c32364,0,36009,595,39510,1885c43011,3373,46101,5457,48781,8334c51460,10815,53525,13990,54975,17363c56425,20935,57150,24705,57150,28575c57150,32246,56425,35719,54975,39092c53525,42565,51460,45641,48781,48518c46101,50998,43011,53082,39510,54769c36009,56257,32364,56952,28575,57150c24786,56952,21141,56257,17640,54769c14139,53082,11049,50998,8369,48518c5690,45641,3625,42565,2175,39092c725,35719,0,32246,0,28575c0,24705,725,20935,2175,17363c3625,13990,5690,10815,8369,8334c11049,5457,14139,3373,17640,1885c21141,595,24786,0,28575,0x">
                  <v:stroke weight="0pt" endcap="flat" joinstyle="miter" miterlimit="4" on="false" color="#000000" opacity="0"/>
                  <v:fill on="true" color="#333333"/>
                </v:shape>
                <v:shape id="Shape 15935" style="position:absolute;width:571;height:571;left:0;top:13716;" coordsize="57150,57150" path="m28575,0c32364,0,36009,695,39510,2084c43011,3572,46101,5655,48781,8334c51460,10815,53525,13990,54975,17363c56425,20935,57150,24705,57150,28575c57150,32246,56425,35818,54975,39291c53525,42664,51460,45641,48781,48518c46101,51197,43011,53280,39510,54769c36009,56059,32364,56952,28575,57150c24786,56952,21141,56059,17640,54769c14139,53280,11049,51197,8369,48518c5690,45641,3625,42664,2175,39291c725,35818,0,32246,0,28575c0,24705,725,20935,2175,17363c3625,13990,5690,10815,8369,8334c11049,5655,14139,3572,17640,2084c21141,695,24786,0,28575,0x">
                  <v:stroke weight="0pt" endcap="flat" joinstyle="miter" miterlimit="4" on="false" color="#000000" opacity="0"/>
                  <v:fill on="true" color="#333333"/>
                </v:shape>
                <v:shape id="Shape 15937" style="position:absolute;width:571;height:571;left:0;top:15240;" coordsize="57150,57150" path="m28575,0c32364,0,36009,595,39510,1885c43011,3373,46101,5457,48781,8334c51460,10815,53525,13990,54975,17363c56425,20935,57150,24705,57150,28575c57150,32246,56425,35719,54975,39092c53525,42565,51460,45641,48781,48518c46101,50998,43011,53082,39510,54769c36009,56257,32364,56952,28575,57150c24786,56952,21141,56257,17640,54769c14139,53082,11049,50998,8369,48518c5690,45641,3625,42565,2175,39092c725,35719,0,32246,0,28575c0,24705,725,20935,2175,17363c3625,13990,5690,10815,8369,8334c11049,5457,14139,3373,17640,1885c21141,595,24786,0,28575,0x">
                  <v:stroke weight="0pt" endcap="flat" joinstyle="miter" miterlimit="4" on="false" color="#000000" opacity="0"/>
                  <v:fill on="true" color="#333333"/>
                </v:shape>
                <w10:wrap type="square"/>
              </v:group>
            </w:pict>
          </mc:Fallback>
        </mc:AlternateContent>
      </w:r>
      <w:r>
        <w:t xml:space="preserve">Субклинический гипотиреоз вследствие </w:t>
      </w:r>
      <w:r>
        <w:t>дефицита йода [E02.0].</w:t>
      </w:r>
    </w:p>
    <w:p w:rsidR="008E3F15" w:rsidRDefault="005F449A">
      <w:pPr>
        <w:spacing w:after="31"/>
        <w:ind w:left="340" w:right="15"/>
      </w:pPr>
      <w:r>
        <w:t>Врожденный гипотиреоз с диффузным зобом [E03.0].</w:t>
      </w:r>
    </w:p>
    <w:p w:rsidR="008E3F15" w:rsidRDefault="005F449A">
      <w:pPr>
        <w:spacing w:after="31"/>
        <w:ind w:left="340" w:right="15"/>
      </w:pPr>
      <w:r>
        <w:t>Врожденный гипотиреоз без зоба [E03.1].</w:t>
      </w:r>
    </w:p>
    <w:p w:rsidR="008E3F15" w:rsidRDefault="005F449A">
      <w:pPr>
        <w:spacing w:after="31"/>
        <w:ind w:left="340" w:right="15"/>
      </w:pPr>
      <w:r>
        <w:t>Гипотиреоз, вызванный лекарственными препаратами и другими веществами [E03.2].</w:t>
      </w:r>
    </w:p>
    <w:p w:rsidR="008E3F15" w:rsidRDefault="005F449A">
      <w:pPr>
        <w:spacing w:after="31"/>
        <w:ind w:left="340" w:right="15"/>
      </w:pPr>
      <w:r>
        <w:t>Постинфекционный гипотиреоз [E03.3].</w:t>
      </w:r>
    </w:p>
    <w:p w:rsidR="008E3F15" w:rsidRDefault="005F449A">
      <w:pPr>
        <w:spacing w:after="31"/>
        <w:ind w:left="340" w:right="15"/>
      </w:pPr>
      <w:r>
        <w:t>Атрофия щитовидной железы (приобретенная) [E03.4].</w:t>
      </w:r>
    </w:p>
    <w:p w:rsidR="008E3F15" w:rsidRDefault="005F449A">
      <w:pPr>
        <w:spacing w:after="31"/>
        <w:ind w:left="340" w:right="15"/>
      </w:pPr>
      <w:r>
        <w:t>Микседематозная кома [E03.5].</w:t>
      </w:r>
    </w:p>
    <w:p w:rsidR="008E3F15" w:rsidRDefault="005F449A">
      <w:pPr>
        <w:spacing w:after="31"/>
        <w:ind w:left="340" w:right="15"/>
      </w:pPr>
      <w:r>
        <w:t>Другие уточненные гипотиреозы [E03.8].</w:t>
      </w:r>
    </w:p>
    <w:p w:rsidR="008E3F15" w:rsidRDefault="005F449A">
      <w:pPr>
        <w:spacing w:after="31"/>
        <w:ind w:left="340" w:right="15"/>
      </w:pPr>
      <w:r>
        <w:t>Гипотиреоз неуточненный [E03.9].</w:t>
      </w:r>
    </w:p>
    <w:p w:rsidR="008E3F15" w:rsidRDefault="005F449A">
      <w:pPr>
        <w:spacing w:after="31"/>
        <w:ind w:left="340" w:right="15"/>
      </w:pPr>
      <w:r>
        <w:t>Аутоиммунные тиреоидиты [E06.3].</w:t>
      </w:r>
    </w:p>
    <w:p w:rsidR="008E3F15" w:rsidRDefault="005F449A">
      <w:pPr>
        <w:spacing w:after="165"/>
        <w:ind w:left="340" w:right="15"/>
      </w:pPr>
      <w:r>
        <w:t>Лекарственные тиреоидиты [E06.4].</w:t>
      </w:r>
    </w:p>
    <w:p w:rsidR="008E3F15" w:rsidRDefault="005F449A">
      <w:pPr>
        <w:spacing w:after="31"/>
        <w:ind w:left="2" w:right="15"/>
      </w:pPr>
      <w:r>
        <w:rPr>
          <w:b/>
        </w:rPr>
        <w:t xml:space="preserve">Таблица 14.1. </w:t>
      </w:r>
      <w:r>
        <w:t>Примеры оформления диа</w:t>
      </w:r>
      <w:r>
        <w:t>гноза</w:t>
      </w:r>
    </w:p>
    <w:tbl>
      <w:tblPr>
        <w:tblStyle w:val="TableGrid"/>
        <w:tblW w:w="9285" w:type="dxa"/>
        <w:tblInd w:w="30" w:type="dxa"/>
        <w:tblCellMar>
          <w:top w:w="80" w:type="dxa"/>
          <w:left w:w="45" w:type="dxa"/>
          <w:bottom w:w="0" w:type="dxa"/>
          <w:right w:w="43" w:type="dxa"/>
        </w:tblCellMar>
        <w:tblLook w:val="04A0" w:firstRow="1" w:lastRow="0" w:firstColumn="1" w:lastColumn="0" w:noHBand="0" w:noVBand="1"/>
      </w:tblPr>
      <w:tblGrid>
        <w:gridCol w:w="7770"/>
        <w:gridCol w:w="1515"/>
      </w:tblGrid>
      <w:tr w:rsidR="008E3F15">
        <w:trPr>
          <w:trHeight w:val="330"/>
        </w:trPr>
        <w:tc>
          <w:tcPr>
            <w:tcW w:w="77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Диагноз</w:t>
            </w:r>
          </w:p>
        </w:tc>
        <w:tc>
          <w:tcPr>
            <w:tcW w:w="15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1" w:right="0" w:firstLine="0"/>
              <w:jc w:val="both"/>
            </w:pPr>
            <w:r>
              <w:rPr>
                <w:b/>
                <w:bdr w:val="single" w:sz="12" w:space="0" w:color="000000"/>
              </w:rPr>
              <w:t>Код МКБ-10</w:t>
            </w:r>
          </w:p>
        </w:tc>
      </w:tr>
      <w:tr w:rsidR="008E3F15">
        <w:trPr>
          <w:trHeight w:val="330"/>
        </w:trPr>
        <w:tc>
          <w:tcPr>
            <w:tcW w:w="7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Аутоиммунный тиреоидит, гипотиреоз, декомпенсация</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E06.3</w:t>
            </w:r>
          </w:p>
        </w:tc>
      </w:tr>
      <w:tr w:rsidR="008E3F15">
        <w:trPr>
          <w:trHeight w:val="330"/>
        </w:trPr>
        <w:tc>
          <w:tcPr>
            <w:tcW w:w="777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Гипотиреоз после тиреоидэктомии (2022, болезнь Грейвса)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E03.8</w:t>
            </w:r>
          </w:p>
        </w:tc>
      </w:tr>
      <w:tr w:rsidR="008E3F15">
        <w:trPr>
          <w:trHeight w:val="330"/>
        </w:trPr>
        <w:tc>
          <w:tcPr>
            <w:tcW w:w="777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Персистирующая ФП. Гипотиреоз, ассоциированный с амиодароном</w:t>
            </w:r>
          </w:p>
        </w:tc>
        <w:tc>
          <w:tcPr>
            <w:tcW w:w="151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 w:right="0" w:firstLine="0"/>
            </w:pPr>
            <w:r>
              <w:t>I48.1</w:t>
            </w:r>
          </w:p>
        </w:tc>
      </w:tr>
      <w:tr w:rsidR="008E3F15">
        <w:trPr>
          <w:trHeight w:val="330"/>
        </w:trPr>
        <w:tc>
          <w:tcPr>
            <w:tcW w:w="77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Микроваскулярная СК. Субклинический гипотиреоз</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I20.8</w:t>
            </w:r>
          </w:p>
        </w:tc>
      </w:tr>
    </w:tbl>
    <w:p w:rsidR="008E3F15" w:rsidRDefault="005F449A">
      <w:pPr>
        <w:ind w:left="2" w:right="175"/>
      </w:pPr>
      <w:r>
        <w:rPr>
          <w:i/>
        </w:rPr>
        <w:t>Субклинический гипотиреоз</w:t>
      </w:r>
      <w:r>
        <w:t xml:space="preserve"> определяется при повышении концентрации ТТГ с нормальным уровнем свободного Т</w:t>
      </w:r>
      <w:r>
        <w:rPr>
          <w:sz w:val="31"/>
          <w:vertAlign w:val="subscript"/>
        </w:rPr>
        <w:t>4</w:t>
      </w:r>
      <w:r>
        <w:t xml:space="preserve"> в плазме крови. Описано спонтанное выздоровление у пациентов с субклиническим гипотиреозом в течение 2 лет, более вероятное при отсутствии повышенного титра антител к тиреопероксидазе и ТТГ &lt;10 мЕд/л.</w:t>
      </w:r>
    </w:p>
    <w:p w:rsidR="008E3F15" w:rsidRDefault="005F449A">
      <w:pPr>
        <w:ind w:left="2" w:right="224"/>
      </w:pPr>
      <w:r>
        <w:t>Риск прогрессирования субклинического гипотиреоза в яв</w:t>
      </w:r>
      <w:r>
        <w:t xml:space="preserve">ную форму составляет 2–5% в год (Vanderpump M. et al., 1995). Более высокий уровень ТТГ и наличие антител к тиреоидной пероксизаде повышают вероятность перехода в явную форму заболевания. Найдена связь повышенного уровня антител к тиреоидной пероксидазе с </w:t>
      </w:r>
      <w:r>
        <w:t>невынашиванием беременности, однако терапия левотироксином натрия эутиреоидных женщин не повысила частоту родов с живым ребенком (TABLET; T4LIFE).</w:t>
      </w:r>
    </w:p>
    <w:p w:rsidR="008E3F15" w:rsidRDefault="005F449A">
      <w:pPr>
        <w:spacing w:after="334"/>
        <w:ind w:left="2" w:right="717"/>
      </w:pPr>
      <w:r>
        <w:rPr>
          <w:i/>
        </w:rPr>
        <w:t>Явный гипотиреоз</w:t>
      </w:r>
      <w:r>
        <w:t xml:space="preserve"> включает высокую концентрацию ТТГ со снижением свободного Т</w:t>
      </w:r>
      <w:r>
        <w:rPr>
          <w:sz w:val="31"/>
          <w:vertAlign w:val="subscript"/>
        </w:rPr>
        <w:t xml:space="preserve">4 </w:t>
      </w:r>
      <w:r>
        <w:t>в плазме крови.</w:t>
      </w:r>
    </w:p>
    <w:p w:rsidR="008E3F15" w:rsidRDefault="005F449A">
      <w:pPr>
        <w:pStyle w:val="Heading1"/>
        <w:ind w:left="2"/>
      </w:pPr>
      <w:r>
        <w:t>Часть II. Комор</w:t>
      </w:r>
      <w:r>
        <w:t>бидные болезни</w:t>
      </w:r>
    </w:p>
    <w:p w:rsidR="008E3F15" w:rsidRDefault="005F449A">
      <w:pPr>
        <w:spacing w:after="31"/>
        <w:ind w:left="2" w:right="15"/>
      </w:pPr>
      <w:r>
        <w:t>Диагностика</w:t>
      </w:r>
    </w:p>
    <w:p w:rsidR="008E3F15" w:rsidRDefault="005F449A">
      <w:pPr>
        <w:spacing w:after="179"/>
        <w:ind w:left="2" w:right="15"/>
      </w:pPr>
      <w:r>
        <w:rPr>
          <w:b/>
        </w:rPr>
        <w:t>Клиническая картина.</w:t>
      </w:r>
      <w:r>
        <w:t xml:space="preserve"> Субъективные проявления гипотиреоза включают следующие неспецифические симптомы.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5088"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304437" name="Group 304437"/>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5983" name="Shape 15983"/>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85" name="Shape 15985"/>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87" name="Shape 15987"/>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89" name="Shape 15989"/>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805"/>
                                  <a:pt x="725" y="21134"/>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91" name="Shape 15991"/>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93" name="Shape 15993"/>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5995" name="Shape 15995"/>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4437" style="width:4.5pt;height:76.5pt;position:absolute;mso-position-horizontal-relative:text;mso-position-horizontal:absolute;margin-left:16.5pt;mso-position-vertical-relative:text;margin-top:2.74219pt;" coordsize="571,9715">
                <v:shape id="Shape 15983" style="position:absolute;width:571;height:571;left:0;top:0;" coordsize="57150,57150" path="m28575,0c32364,0,36009,595,39510,1885c43011,3373,46101,5457,48781,8334c51460,10815,53525,13990,54975,17363c56425,20935,57150,24705,57150,28575c57150,32246,56425,35818,54975,39291c53525,42664,51460,45839,48781,48617c46101,51296,43011,53380,39510,54868c36009,56257,32364,56952,28575,57150c24786,56952,21141,56257,17640,54868c14139,53380,11049,51296,8369,48617c5690,45839,3625,42664,2175,39291c725,35818,0,32246,0,28575c0,24705,725,20935,2175,17363c3625,13990,5690,10815,8369,8334c11049,5457,14139,3373,17640,1885c21141,595,24786,0,28575,0x">
                  <v:stroke weight="0pt" endcap="flat" joinstyle="miter" miterlimit="10" on="false" color="#000000" opacity="0"/>
                  <v:fill on="true" color="#333333"/>
                </v:shape>
                <v:shape id="Shape 15985" style="position:absolute;width:571;height:571;left:0;top:1524;" coordsize="57150,57150" path="m28575,0c32364,0,36009,695,39510,2084c43011,3572,46101,5655,48781,8334c51460,11013,53525,14089,54975,17562c56425,21134,57150,24805,57150,28575c57150,32246,56425,35818,54975,39390c53525,42863,51460,45839,48781,48617c46101,51197,43011,53280,39510,54868c36009,56257,32364,56952,28575,57150c24786,56952,21141,56257,17640,54868c14139,53280,11049,51197,8369,48617c5690,45839,3625,42863,2175,39390c725,35818,0,32246,0,28575c0,24805,725,21134,2175,17562c3625,14089,5690,11013,8369,8334c11049,5655,14139,3572,17640,2084c21141,695,24786,0,28575,0x">
                  <v:stroke weight="0pt" endcap="flat" joinstyle="miter" miterlimit="10" on="false" color="#000000" opacity="0"/>
                  <v:fill on="true" color="#333333"/>
                </v:shape>
                <v:shape id="Shape 15987" style="position:absolute;width:571;height:571;left:0;top:3048;" coordsize="57150,57150" path="m28575,0c32364,0,36009,595,39510,1885c43011,3373,46101,5457,48781,8136c51460,10815,53525,13990,54975,17363c56425,20935,57150,24705,57150,28575c57150,32246,56425,35818,54975,39390c53525,42863,51460,45938,48781,48617c46101,51296,43011,53380,39510,54868c36009,56257,32364,56952,28575,57150c24786,56952,21141,56257,17640,54868c14139,53380,11049,51296,8369,48617c5690,45938,3625,42863,2175,39390c725,35818,0,32246,0,28575c0,24705,725,20935,2175,17363c3625,13990,5690,10815,8369,8136c11049,5457,14139,3373,17640,1885c21141,595,24786,0,28575,0x">
                  <v:stroke weight="0pt" endcap="flat" joinstyle="miter" miterlimit="10" on="false" color="#000000" opacity="0"/>
                  <v:fill on="true" color="#333333"/>
                </v:shape>
                <v:shape id="Shape 15989" style="position:absolute;width:571;height:571;left:0;top:4572;" coordsize="57150,57150" path="m28575,0c32364,0,36009,595,39510,1885c43011,3373,46101,5457,48781,8136c51460,10815,53525,13990,54975,17363c56425,21134,57150,24805,57150,28575c57150,32246,56425,35818,54975,39390c53525,42863,51460,45839,48781,48617c46101,51197,43011,53280,39510,54769c36009,56059,32364,56952,28575,57150c24786,56952,21141,56059,17640,54769c14139,53280,11049,51197,8369,48617c5690,45839,3625,42863,2175,39390c725,35818,0,32246,0,28575c0,24805,725,21134,2175,17363c3625,13990,5690,10815,8369,8136c11049,5457,14139,3373,17640,1885c21141,595,24786,0,28575,0x">
                  <v:stroke weight="0pt" endcap="flat" joinstyle="miter" miterlimit="10" on="false" color="#000000" opacity="0"/>
                  <v:fill on="true" color="#333333"/>
                </v:shape>
                <v:shape id="Shape 15991" style="position:absolute;width:571;height:571;left:0;top:6096;"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5993" style="position:absolute;width:571;height:571;left:0;top:7620;" coordsize="57150,57150" path="m28575,0c32364,0,36009,595,39510,1885c43011,3373,46101,5457,48781,8136c51460,10815,53525,13990,54975,17363c56425,20935,57150,24705,57150,28575c57150,32246,56425,35818,54975,39390c53525,42863,51460,45839,48781,48617c46101,51197,43011,53280,39510,54769c36009,56059,32364,56952,28575,57150c24786,56952,21141,56059,17640,54769c14139,53280,11049,51197,8369,48617c5690,45839,3625,42863,2175,39390c725,35818,0,32246,0,28575c0,24705,725,20935,2175,17363c3625,13990,5690,10815,8369,8136c11049,5457,14139,3373,17640,1885c21141,595,24786,0,28575,0x">
                  <v:stroke weight="0pt" endcap="flat" joinstyle="miter" miterlimit="10" on="false" color="#000000" opacity="0"/>
                  <v:fill on="true" color="#333333"/>
                </v:shape>
                <v:shape id="Shape 15995" style="position:absolute;width:571;height:571;left:0;top:9144;"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w10:wrap type="square"/>
              </v:group>
            </w:pict>
          </mc:Fallback>
        </mc:AlternateContent>
      </w:r>
      <w:r>
        <w:t>Слабость.</w:t>
      </w:r>
    </w:p>
    <w:p w:rsidR="008E3F15" w:rsidRDefault="005F449A">
      <w:pPr>
        <w:spacing w:after="31"/>
        <w:ind w:left="340" w:right="15"/>
      </w:pPr>
      <w:r>
        <w:t>Повышенная утомляемость.</w:t>
      </w:r>
    </w:p>
    <w:p w:rsidR="008E3F15" w:rsidRDefault="005F449A">
      <w:pPr>
        <w:spacing w:after="31"/>
        <w:ind w:left="340" w:right="15"/>
      </w:pPr>
      <w:r>
        <w:t>Сонливость.</w:t>
      </w:r>
    </w:p>
    <w:p w:rsidR="008E3F15" w:rsidRDefault="005F449A">
      <w:pPr>
        <w:spacing w:after="31"/>
        <w:ind w:left="340" w:right="15"/>
      </w:pPr>
      <w:r>
        <w:t>Забывчивость.</w:t>
      </w:r>
    </w:p>
    <w:p w:rsidR="008E3F15" w:rsidRDefault="005F449A">
      <w:pPr>
        <w:spacing w:after="31"/>
        <w:ind w:left="340" w:right="15"/>
      </w:pPr>
      <w:r>
        <w:t>Осиплость голоса.</w:t>
      </w:r>
    </w:p>
    <w:p w:rsidR="008E3F15" w:rsidRDefault="005F449A">
      <w:pPr>
        <w:spacing w:after="179"/>
        <w:ind w:left="340" w:right="7212"/>
      </w:pPr>
      <w:r>
        <w:t>Снижение слуха. Запоры.</w:t>
      </w:r>
    </w:p>
    <w:p w:rsidR="008E3F15" w:rsidRDefault="005F449A">
      <w:pPr>
        <w:spacing w:after="165"/>
        <w:ind w:left="2" w:right="15"/>
      </w:pPr>
      <w:r>
        <w:t>При объективном обследовании обращают внимание клинические проявления.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6112"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304439" name="Group 304439"/>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5998" name="Shape 15998"/>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00" name="Shape 1600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02" name="Shape 1600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04" name="Shape 16004"/>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06" name="Shape 16006"/>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08" name="Shape 16008"/>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1013"/>
                                  <a:pt x="53525" y="14089"/>
                                  <a:pt x="54975" y="17562"/>
                                </a:cubicBezTo>
                                <a:cubicBezTo>
                                  <a:pt x="56425" y="20935"/>
                                  <a:pt x="57150" y="24705"/>
                                  <a:pt x="57150" y="28575"/>
                                </a:cubicBezTo>
                                <a:cubicBezTo>
                                  <a:pt x="57150" y="32147"/>
                                  <a:pt x="56425" y="35719"/>
                                  <a:pt x="54975" y="39092"/>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092"/>
                                </a:cubicBezTo>
                                <a:cubicBezTo>
                                  <a:pt x="725" y="35719"/>
                                  <a:pt x="0" y="32147"/>
                                  <a:pt x="0" y="28575"/>
                                </a:cubicBezTo>
                                <a:cubicBezTo>
                                  <a:pt x="0" y="24705"/>
                                  <a:pt x="725" y="20935"/>
                                  <a:pt x="2175" y="17562"/>
                                </a:cubicBezTo>
                                <a:cubicBezTo>
                                  <a:pt x="3625" y="14089"/>
                                  <a:pt x="5690" y="11013"/>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10" name="Shape 16010"/>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12" name="Shape 16012"/>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4439" style="width:4.5pt;height:88.5pt;position:absolute;mso-position-horizontal-relative:text;mso-position-horizontal:absolute;margin-left:16.5pt;mso-position-vertical-relative:text;margin-top:2.74219pt;" coordsize="571,11239">
                <v:shape id="Shape 15998" style="position:absolute;width:571;height:571;left:0;top:0;" coordsize="57150,57150" path="m28575,0c32364,0,36009,695,39510,2084c43011,3572,46101,5655,48781,8334c51460,11013,53525,14089,54975,17562c56425,20935,57150,24705,57150,28575c57150,32246,56425,35818,54975,39390c53525,42863,51460,45938,48781,48617c46101,51197,43011,53280,39510,54570c36009,56257,32364,56952,28575,57150c24786,56952,21141,56257,17640,54570c14139,53280,11049,51197,8369,48617c5690,45938,3625,42863,2175,39390c725,35818,0,32246,0,28575c0,24705,725,20935,2175,17562c3625,14089,5690,11013,8369,8334c11049,5655,14139,3572,17640,2084c21141,695,24786,0,28575,0x">
                  <v:stroke weight="0pt" endcap="flat" joinstyle="miter" miterlimit="10" on="false" color="#000000" opacity="0"/>
                  <v:fill on="true" color="#333333"/>
                </v:shape>
                <v:shape id="Shape 16000" style="position:absolute;width:571;height:571;left:0;top:1524;"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769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6002" style="position:absolute;width:571;height:571;left:0;top:3048;" coordsize="57150,57150" path="m28575,0c32364,0,36009,695,39510,2084c43011,3572,46101,5655,48781,8334c51460,10815,53525,13990,54975,17363c56425,20836,57150,24507,57150,28575c57150,32246,56425,35818,54975,39390c53525,42863,51460,45938,48781,48617c46101,51296,43011,53380,39510,54769c36009,56257,32364,56952,28575,57150c24786,56952,21141,56257,17640,54769c14139,53380,11049,51296,8369,48617c5690,45938,3625,42863,2175,39390c725,35818,0,32246,0,28575c0,24507,725,20836,2175,17363c3625,13990,5690,10815,8369,8334c11049,5655,14139,3572,17640,2084c21141,695,24786,0,28575,0x">
                  <v:stroke weight="0pt" endcap="flat" joinstyle="miter" miterlimit="10" on="false" color="#000000" opacity="0"/>
                  <v:fill on="true" color="#333333"/>
                </v:shape>
                <v:shape id="Shape 16004" style="position:absolute;width:571;height:571;left:0;top:4572;" coordsize="57150,57150" path="m28575,0c32364,0,36009,695,39510,2084c43011,3572,46101,5655,48781,8334c51460,11013,53525,14089,54975,17562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562c3625,14089,5690,11013,8369,8334c11049,5655,14139,3572,17640,2084c21141,695,24786,0,28575,0x">
                  <v:stroke weight="0pt" endcap="flat" joinstyle="miter" miterlimit="10" on="false" color="#000000" opacity="0"/>
                  <v:fill on="true" color="#333333"/>
                </v:shape>
                <v:shape id="Shape 16006" style="position:absolute;width:571;height:571;left:0;top:6096;" coordsize="57150,57150" path="m28575,0c32364,0,36009,695,39510,2084c43011,3373,46101,5457,48781,8334c51460,10815,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815,8369,8334c11049,5457,14139,3373,17640,2084c21141,695,24786,0,28575,0x">
                  <v:stroke weight="0pt" endcap="flat" joinstyle="miter" miterlimit="10" on="false" color="#000000" opacity="0"/>
                  <v:fill on="true" color="#333333"/>
                </v:shape>
                <v:shape id="Shape 16008" style="position:absolute;width:571;height:571;left:0;top:7620;" coordsize="57150,57150" path="m28575,0c32364,0,36009,695,39510,2084c43011,3373,46101,5457,48781,8334c51460,11013,53525,14089,54975,17562c56425,20935,57150,24705,57150,28575c57150,32147,56425,35719,54975,39092c53525,42664,51460,45839,48781,48617c46101,51197,43011,53280,39510,54769c36009,56257,32364,56952,28575,57150c24786,56952,21141,56257,17640,54769c14139,53280,11049,51197,8369,48617c5690,45839,3625,42664,2175,39092c725,35719,0,32147,0,28575c0,24705,725,20935,2175,17562c3625,14089,5690,11013,8369,8334c11049,5457,14139,3373,17640,2084c21141,695,24786,0,28575,0x">
                  <v:stroke weight="0pt" endcap="flat" joinstyle="miter" miterlimit="10" on="false" color="#000000" opacity="0"/>
                  <v:fill on="true" color="#333333"/>
                </v:shape>
                <v:shape id="Shape 16010" style="position:absolute;width:571;height:571;left:0;top:9144;" coordsize="57150,57150" path="m28575,0c32364,0,36009,695,39510,2084c43011,3373,46101,5457,48781,8334c51460,10815,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815,8369,8334c11049,5457,14139,3373,17640,2084c21141,695,24786,0,28575,0x">
                  <v:stroke weight="0pt" endcap="flat" joinstyle="miter" miterlimit="10" on="false" color="#000000" opacity="0"/>
                  <v:fill on="true" color="#333333"/>
                </v:shape>
                <v:shape id="Shape 16012" style="position:absolute;width:571;height:571;left:0;top:10668;"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Нарастание веса.</w:t>
      </w:r>
    </w:p>
    <w:p w:rsidR="008E3F15" w:rsidRDefault="005F449A">
      <w:pPr>
        <w:spacing w:after="31"/>
        <w:ind w:left="340" w:right="15"/>
      </w:pPr>
      <w:r>
        <w:t>Сухая, холодная и бледная кожа.</w:t>
      </w:r>
    </w:p>
    <w:p w:rsidR="008E3F15" w:rsidRDefault="005F449A">
      <w:pPr>
        <w:spacing w:after="31"/>
        <w:ind w:left="340" w:right="15"/>
      </w:pPr>
      <w:r>
        <w:t>Периорбитальные отеки.</w:t>
      </w:r>
    </w:p>
    <w:p w:rsidR="008E3F15" w:rsidRDefault="005F449A">
      <w:pPr>
        <w:spacing w:after="31"/>
        <w:ind w:left="340" w:right="15"/>
      </w:pPr>
      <w:r>
        <w:t>Снижение интеллектуальных функций.</w:t>
      </w:r>
    </w:p>
    <w:p w:rsidR="008E3F15" w:rsidRDefault="005F449A">
      <w:pPr>
        <w:spacing w:after="31"/>
        <w:ind w:left="340" w:right="15"/>
      </w:pPr>
      <w:r>
        <w:t>Медленная речь.</w:t>
      </w:r>
    </w:p>
    <w:p w:rsidR="008E3F15" w:rsidRDefault="005F449A">
      <w:pPr>
        <w:spacing w:after="31"/>
        <w:ind w:left="340" w:right="15"/>
      </w:pPr>
      <w:r>
        <w:t>Выпадение волос.</w:t>
      </w:r>
    </w:p>
    <w:p w:rsidR="008E3F15" w:rsidRDefault="005F449A">
      <w:pPr>
        <w:spacing w:after="31"/>
        <w:ind w:left="340" w:right="15"/>
      </w:pPr>
      <w:r>
        <w:t>Брадикардия.</w:t>
      </w:r>
    </w:p>
    <w:p w:rsidR="008E3F15" w:rsidRDefault="005F449A">
      <w:pPr>
        <w:spacing w:after="165"/>
        <w:ind w:left="340" w:right="15"/>
      </w:pPr>
      <w:r>
        <w:t>Гиперхолестеринемия.</w:t>
      </w:r>
    </w:p>
    <w:p w:rsidR="008E3F15" w:rsidRDefault="005F449A">
      <w:pPr>
        <w:ind w:left="2" w:right="15"/>
      </w:pPr>
      <w:r>
        <w:t>Следует от</w:t>
      </w:r>
      <w:r>
        <w:t>метить, что вышеописанные клинические симптомы не являются надежными индикаторами гипотиреоза у пожилых, поскольку часто встречаются без нарушения функции щитовидной железы (</w:t>
      </w:r>
      <w:r>
        <w:rPr>
          <w:b/>
        </w:rPr>
        <w:t>рис. 14.1</w:t>
      </w:r>
      <w:r>
        <w:t>).</w:t>
      </w:r>
    </w:p>
    <w:p w:rsidR="008E3F15" w:rsidRDefault="005F449A">
      <w:pPr>
        <w:spacing w:after="65" w:line="259" w:lineRule="auto"/>
        <w:ind w:left="0" w:right="0" w:firstLine="0"/>
      </w:pPr>
      <w:r>
        <w:rPr>
          <w:noProof/>
        </w:rPr>
        <w:drawing>
          <wp:inline distT="0" distB="0" distL="0" distR="0">
            <wp:extent cx="5057775" cy="3819525"/>
            <wp:effectExtent l="0" t="0" r="0" b="0"/>
            <wp:docPr id="16020" name="Picture 16020"/>
            <wp:cNvGraphicFramePr/>
            <a:graphic xmlns:a="http://schemas.openxmlformats.org/drawingml/2006/main">
              <a:graphicData uri="http://schemas.openxmlformats.org/drawingml/2006/picture">
                <pic:pic xmlns:pic="http://schemas.openxmlformats.org/drawingml/2006/picture">
                  <pic:nvPicPr>
                    <pic:cNvPr id="16020" name="Picture 16020"/>
                    <pic:cNvPicPr/>
                  </pic:nvPicPr>
                  <pic:blipFill>
                    <a:blip r:embed="rId137"/>
                    <a:stretch>
                      <a:fillRect/>
                    </a:stretch>
                  </pic:blipFill>
                  <pic:spPr>
                    <a:xfrm>
                      <a:off x="0" y="0"/>
                      <a:ext cx="5057775" cy="3819525"/>
                    </a:xfrm>
                    <a:prstGeom prst="rect">
                      <a:avLst/>
                    </a:prstGeom>
                  </pic:spPr>
                </pic:pic>
              </a:graphicData>
            </a:graphic>
          </wp:inline>
        </w:drawing>
      </w:r>
    </w:p>
    <w:p w:rsidR="008E3F15" w:rsidRDefault="005F449A">
      <w:pPr>
        <w:spacing w:after="31"/>
        <w:ind w:left="2" w:right="15"/>
      </w:pPr>
      <w:r>
        <w:rPr>
          <w:b/>
        </w:rPr>
        <w:t xml:space="preserve">Рис. 14.1. </w:t>
      </w:r>
      <w:r>
        <w:t>Связь гипотиреоз-ассоциированных симптомов с аутоиммунным</w:t>
      </w:r>
      <w:r>
        <w:t xml:space="preserve"> гипотиреозом</w:t>
      </w:r>
    </w:p>
    <w:p w:rsidR="008E3F15" w:rsidRDefault="005F449A">
      <w:pPr>
        <w:spacing w:after="31"/>
        <w:ind w:left="2" w:right="15"/>
      </w:pPr>
      <w:r>
        <w:t>(Carlé A. et al., 2014)</w:t>
      </w:r>
    </w:p>
    <w:p w:rsidR="008E3F15" w:rsidRDefault="005F449A">
      <w:pPr>
        <w:ind w:left="2" w:right="913"/>
      </w:pPr>
      <w:r>
        <w:t>Субклинический гипотиреоз не проявляется клиническими симптомами, связанными с гипофункцией щитовидной железы (Kalaria T. et al., 2021).</w:t>
      </w:r>
    </w:p>
    <w:p w:rsidR="008E3F15" w:rsidRDefault="005F449A">
      <w:pPr>
        <w:spacing w:after="200"/>
        <w:ind w:left="2" w:right="15"/>
      </w:pPr>
      <w:r>
        <w:rPr>
          <w:b/>
        </w:rPr>
        <w:t>Лабораторные тесты.</w:t>
      </w:r>
      <w:r>
        <w:t xml:space="preserve"> Лабораторная диагностика включает определение в плазме крови следующих показателей гипофункции щитовидной железы:</w:t>
      </w:r>
    </w:p>
    <w:p w:rsidR="008E3F15" w:rsidRDefault="005F449A">
      <w:pPr>
        <w:spacing w:after="31"/>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304441" name="Group 30444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6029" name="Shape 16029"/>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04441" style="width:4.5pt;height:4.5pt;mso-position-horizontal-relative:char;mso-position-vertical-relative:line" coordsize="571,571">
                <v:shape id="Shape 16029" style="position:absolute;width:571;height:571;left:0;top:0;" coordsize="57150,57150" path="m28575,0c32364,0,36009,595,39510,1885c43011,3373,46101,5457,48781,8334c51460,10815,53525,13990,54975,17363c56425,20836,57150,24507,57150,28575c57150,32246,56425,35818,54975,39390c53525,42863,51460,45938,48781,48617c46101,51296,43011,53380,39510,54868c36009,56257,32364,56952,28575,57150c24786,56952,21141,56257,17640,54868c14139,53380,11049,51296,8369,48617c5690,45938,3625,42863,2175,39390c725,35818,0,32246,0,28575c0,24507,725,20836,2175,17363c3625,13990,5690,10815,8369,8334c11049,5457,14139,3373,17640,1885c21141,595,24786,0,28575,0x">
                  <v:stroke weight="0pt" endcap="flat" joinstyle="miter" miterlimit="10" on="false" color="#000000" opacity="0"/>
                  <v:fill on="true" color="#333333"/>
                </v:shape>
              </v:group>
            </w:pict>
          </mc:Fallback>
        </mc:AlternateContent>
      </w:r>
      <w:r>
        <w:t xml:space="preserve"> ТТГ (норма 0,4–4,0 мкEд/мл): повышен;</w:t>
      </w:r>
    </w:p>
    <w:p w:rsidR="008E3F15" w:rsidRDefault="005F449A">
      <w:pPr>
        <w:ind w:left="340" w:right="4696"/>
      </w:pPr>
      <w:r>
        <w:rPr>
          <w:rFonts w:ascii="Calibri" w:eastAsia="Calibri" w:hAnsi="Calibri" w:cs="Calibri"/>
          <w:noProof/>
          <w:color w:val="000000"/>
          <w:sz w:val="22"/>
        </w:rPr>
        <mc:AlternateContent>
          <mc:Choice Requires="wpg">
            <w:drawing>
              <wp:anchor distT="0" distB="0" distL="114300" distR="114300" simplePos="0" relativeHeight="251867136" behindDoc="0" locked="0" layoutInCell="1" allowOverlap="1">
                <wp:simplePos x="0" y="0"/>
                <wp:positionH relativeFrom="column">
                  <wp:posOffset>209550</wp:posOffset>
                </wp:positionH>
                <wp:positionV relativeFrom="paragraph">
                  <wp:posOffset>33572</wp:posOffset>
                </wp:positionV>
                <wp:extent cx="57150" cy="247650"/>
                <wp:effectExtent l="0" t="0" r="0" b="0"/>
                <wp:wrapSquare wrapText="bothSides"/>
                <wp:docPr id="306523" name="Group 306523"/>
                <wp:cNvGraphicFramePr/>
                <a:graphic xmlns:a="http://schemas.openxmlformats.org/drawingml/2006/main">
                  <a:graphicData uri="http://schemas.microsoft.com/office/word/2010/wordprocessingGroup">
                    <wpg:wgp>
                      <wpg:cNvGrpSpPr/>
                      <wpg:grpSpPr>
                        <a:xfrm>
                          <a:off x="0" y="0"/>
                          <a:ext cx="57150" cy="247650"/>
                          <a:chOff x="0" y="0"/>
                          <a:chExt cx="57150" cy="247650"/>
                        </a:xfrm>
                      </wpg:grpSpPr>
                      <wps:wsp>
                        <wps:cNvPr id="16054" name="Shape 16054"/>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058" name="Shape 16058"/>
                        <wps:cNvSpPr/>
                        <wps:spPr>
                          <a:xfrm>
                            <a:off x="0" y="1905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719"/>
                                  <a:pt x="54975" y="39092"/>
                                </a:cubicBezTo>
                                <a:cubicBezTo>
                                  <a:pt x="53525" y="42664"/>
                                  <a:pt x="51460" y="45839"/>
                                  <a:pt x="48781" y="48518"/>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518"/>
                                </a:cubicBezTo>
                                <a:cubicBezTo>
                                  <a:pt x="5690" y="45839"/>
                                  <a:pt x="3625" y="42664"/>
                                  <a:pt x="2175" y="39092"/>
                                </a:cubicBezTo>
                                <a:cubicBezTo>
                                  <a:pt x="725" y="35719"/>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6523" style="width:4.5pt;height:19.5pt;position:absolute;mso-position-horizontal-relative:text;mso-position-horizontal:absolute;margin-left:16.5pt;mso-position-vertical-relative:text;margin-top:2.64345pt;" coordsize="571,2476">
                <v:shape id="Shape 16054" style="position:absolute;width:571;height:571;left:0;top:0;" coordsize="57150,57150" path="m28575,0c32364,0,36009,695,39510,2084c43011,3373,46101,5457,48781,8136c51460,10815,53525,13990,54975,17363c56425,20836,57150,24507,57150,28575c57150,32246,56425,35818,54975,39390c53525,42863,51460,45938,48781,48617c46101,51197,43011,53280,39510,54570c36009,56257,32364,56952,28575,57150c24786,56952,21141,56257,17640,54570c14139,53280,11049,51197,8369,48617c5690,45938,3625,42863,2175,39390c725,35818,0,32246,0,28575c0,24507,725,20836,2175,17363c3625,13990,5690,10815,8369,8136c11049,5457,14139,3373,17640,2084c21141,695,24786,0,28575,0x">
                  <v:stroke weight="0pt" endcap="flat" joinstyle="miter" miterlimit="4" on="false" color="#000000" opacity="0"/>
                  <v:fill on="true" color="#333333"/>
                </v:shape>
                <v:shape id="Shape 16058" style="position:absolute;width:571;height:571;left:0;top:1905;" coordsize="57150,57150" path="m28575,0c32364,0,36009,695,39510,2084c43011,3373,46101,5457,48781,8334c51460,10815,53525,13990,54975,17562c56425,20935,57150,24705,57150,28575c57150,32246,56425,35719,54975,39092c53525,42664,51460,45839,48781,48518c46101,51197,43011,53280,39510,54570c36009,56257,32364,56952,28575,57150c24786,56952,21141,56257,17640,54570c14139,53280,11049,51197,8369,48518c5690,45839,3625,42664,2175,39092c725,35719,0,32246,0,28575c0,24705,725,20935,2175,17562c3625,13990,5690,10815,8369,8334c11049,5457,14139,3373,17640,2084c21141,695,24786,0,28575,0x">
                  <v:stroke weight="0pt" endcap="flat" joinstyle="miter" miterlimit="4" on="false" color="#000000" opacity="0"/>
                  <v:fill on="true" color="#333333"/>
                </v:shape>
                <w10:wrap type="square"/>
              </v:group>
            </w:pict>
          </mc:Fallback>
        </mc:AlternateContent>
      </w:r>
      <w:r>
        <w:t>Т</w:t>
      </w:r>
      <w:r>
        <w:rPr>
          <w:sz w:val="31"/>
          <w:vertAlign w:val="subscript"/>
        </w:rPr>
        <w:t>4</w:t>
      </w:r>
      <w:r>
        <w:t xml:space="preserve"> свободный (норма 9–22 пмоль/л): снижен; Т</w:t>
      </w:r>
      <w:r>
        <w:rPr>
          <w:sz w:val="31"/>
          <w:vertAlign w:val="subscript"/>
        </w:rPr>
        <w:t>3</w:t>
      </w:r>
      <w:r>
        <w:t xml:space="preserve"> свободный (норма 3–6 пмоль/л): снижен.</w:t>
      </w:r>
    </w:p>
    <w:p w:rsidR="008E3F15" w:rsidRDefault="005F449A">
      <w:pPr>
        <w:ind w:left="2" w:right="15"/>
      </w:pPr>
      <w:r>
        <w:t>У пожилых без з</w:t>
      </w:r>
      <w:r>
        <w:t>аболеваний щитовидной железы кривая распределения ТТГ смещена вправо относительно более молодых (</w:t>
      </w:r>
      <w:r>
        <w:rPr>
          <w:b/>
        </w:rPr>
        <w:t>рис. 14.2</w:t>
      </w:r>
      <w:r>
        <w:t>). Повышение ТТГ более выражено в молодом возрасте и меньше у пожилых и стариков, поэтому важно оценивать свободный Т</w:t>
      </w:r>
      <w:r>
        <w:rPr>
          <w:sz w:val="31"/>
          <w:vertAlign w:val="subscript"/>
        </w:rPr>
        <w:t>4</w:t>
      </w:r>
      <w:r>
        <w:t xml:space="preserve"> при любом возрастании уровня ТТ</w:t>
      </w:r>
      <w:r>
        <w:t>Г с учетом неспецифичности клинических симптомов гипотиреоза.</w:t>
      </w:r>
    </w:p>
    <w:p w:rsidR="008E3F15" w:rsidRDefault="005F449A">
      <w:pPr>
        <w:spacing w:after="65" w:line="259" w:lineRule="auto"/>
        <w:ind w:left="0" w:right="0" w:firstLine="0"/>
      </w:pPr>
      <w:r>
        <w:rPr>
          <w:noProof/>
        </w:rPr>
        <w:drawing>
          <wp:inline distT="0" distB="0" distL="0" distR="0">
            <wp:extent cx="5057775" cy="3590925"/>
            <wp:effectExtent l="0" t="0" r="0" b="0"/>
            <wp:docPr id="16072" name="Picture 16072"/>
            <wp:cNvGraphicFramePr/>
            <a:graphic xmlns:a="http://schemas.openxmlformats.org/drawingml/2006/main">
              <a:graphicData uri="http://schemas.openxmlformats.org/drawingml/2006/picture">
                <pic:pic xmlns:pic="http://schemas.openxmlformats.org/drawingml/2006/picture">
                  <pic:nvPicPr>
                    <pic:cNvPr id="16072" name="Picture 16072"/>
                    <pic:cNvPicPr/>
                  </pic:nvPicPr>
                  <pic:blipFill>
                    <a:blip r:embed="rId138"/>
                    <a:stretch>
                      <a:fillRect/>
                    </a:stretch>
                  </pic:blipFill>
                  <pic:spPr>
                    <a:xfrm>
                      <a:off x="0" y="0"/>
                      <a:ext cx="5057775" cy="3590925"/>
                    </a:xfrm>
                    <a:prstGeom prst="rect">
                      <a:avLst/>
                    </a:prstGeom>
                  </pic:spPr>
                </pic:pic>
              </a:graphicData>
            </a:graphic>
          </wp:inline>
        </w:drawing>
      </w:r>
    </w:p>
    <w:p w:rsidR="008E3F15" w:rsidRDefault="005F449A">
      <w:pPr>
        <w:ind w:left="2" w:right="15"/>
      </w:pPr>
      <w:r>
        <w:rPr>
          <w:b/>
        </w:rPr>
        <w:t xml:space="preserve">Рис. 14.2. </w:t>
      </w:r>
      <w:r>
        <w:t>Кривая распределения тиреотропного гормона в зависимости от возраста у лиц без дисфункции щитовидной железы (Taylor P. et al., 2023)</w:t>
      </w:r>
    </w:p>
    <w:p w:rsidR="008E3F15" w:rsidRDefault="005F449A">
      <w:pPr>
        <w:spacing w:after="31"/>
        <w:ind w:left="2" w:right="15"/>
      </w:pPr>
      <w:r>
        <w:t>При тиреоидите определяется повышенный уровень а</w:t>
      </w:r>
      <w:r>
        <w:t>нтител к тиреопероксидазе (&gt;1:100).</w:t>
      </w:r>
    </w:p>
    <w:p w:rsidR="008E3F15" w:rsidRDefault="005F449A">
      <w:pPr>
        <w:spacing w:after="165"/>
        <w:ind w:left="2" w:right="15"/>
      </w:pPr>
      <w:r>
        <w:rPr>
          <w:b/>
        </w:rPr>
        <w:t>Скрининг.</w:t>
      </w:r>
      <w:r>
        <w:t xml:space="preserve"> Скрининг гипотиреоза целесообразно проводить в следующих случаях (AACE/ATA).</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8160" behindDoc="0" locked="0" layoutInCell="1" allowOverlap="1">
                <wp:simplePos x="0" y="0"/>
                <wp:positionH relativeFrom="column">
                  <wp:posOffset>209550</wp:posOffset>
                </wp:positionH>
                <wp:positionV relativeFrom="paragraph">
                  <wp:posOffset>34826</wp:posOffset>
                </wp:positionV>
                <wp:extent cx="57150" cy="1276350"/>
                <wp:effectExtent l="0" t="0" r="0" b="0"/>
                <wp:wrapSquare wrapText="bothSides"/>
                <wp:docPr id="306526" name="Group 306526"/>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6079" name="Shape 16079"/>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1" name="Shape 16081"/>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3" name="Shape 16083"/>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5" name="Shape 1608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7" name="Shape 16087"/>
                        <wps:cNvSpPr/>
                        <wps:spPr>
                          <a:xfrm>
                            <a:off x="0" y="6096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89" name="Shape 16089"/>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91" name="Shape 16091"/>
                        <wps:cNvSpPr/>
                        <wps:spPr>
                          <a:xfrm>
                            <a:off x="0" y="9144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280"/>
                                  <a:pt x="39510" y="54769"/>
                                </a:cubicBezTo>
                                <a:cubicBezTo>
                                  <a:pt x="36009" y="56257"/>
                                  <a:pt x="32364" y="56952"/>
                                  <a:pt x="28575" y="57150"/>
                                </a:cubicBezTo>
                                <a:cubicBezTo>
                                  <a:pt x="24786" y="56952"/>
                                  <a:pt x="21141" y="56257"/>
                                  <a:pt x="17640" y="54769"/>
                                </a:cubicBezTo>
                                <a:cubicBezTo>
                                  <a:pt x="14139" y="532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93" name="Shape 16093"/>
                        <wps:cNvSpPr/>
                        <wps:spPr>
                          <a:xfrm>
                            <a:off x="0" y="1066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095" name="Shape 16095"/>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938"/>
                                  <a:pt x="48781" y="48816"/>
                                </a:cubicBezTo>
                                <a:cubicBezTo>
                                  <a:pt x="46101" y="51296"/>
                                  <a:pt x="43011" y="53280"/>
                                  <a:pt x="39510" y="54769"/>
                                </a:cubicBezTo>
                                <a:cubicBezTo>
                                  <a:pt x="36009" y="56257"/>
                                  <a:pt x="32364" y="56952"/>
                                  <a:pt x="28575" y="57150"/>
                                </a:cubicBezTo>
                                <a:cubicBezTo>
                                  <a:pt x="24786" y="56952"/>
                                  <a:pt x="21141" y="56257"/>
                                  <a:pt x="17640" y="54769"/>
                                </a:cubicBezTo>
                                <a:cubicBezTo>
                                  <a:pt x="14139" y="53280"/>
                                  <a:pt x="11049" y="51296"/>
                                  <a:pt x="8369" y="48816"/>
                                </a:cubicBezTo>
                                <a:cubicBezTo>
                                  <a:pt x="5690" y="45938"/>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6526" style="width:4.5pt;height:100.5pt;position:absolute;mso-position-horizontal-relative:text;mso-position-horizontal:absolute;margin-left:16.5pt;mso-position-vertical-relative:text;margin-top:2.74219pt;" coordsize="571,12763">
                <v:shape id="Shape 16079"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081" style="position:absolute;width:571;height:571;left:0;top:1524;"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083" style="position:absolute;width:571;height:571;left:0;top:3048;"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085" style="position:absolute;width:571;height:571;left:0;top:4572;" coordsize="57150,57150" path="m28575,0c32364,0,36009,695,39510,2084c43011,3373,46101,5457,48781,8334c51460,10815,53525,13990,54975,17562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6087" style="position:absolute;width:571;height:571;left:0;top:6096;" coordsize="57150,57150" path="m28575,0c32364,0,36009,695,39510,2183c43011,3572,46101,5655,48781,8334c51460,10815,53525,13990,54975,17562c56425,20935,57150,24705,57150,28575c57150,32246,56425,35818,54975,39291c53525,42664,51460,45839,48781,48617c46101,51296,43011,53380,39510,54769c36009,56257,32364,56952,28575,57150c24786,56952,21141,56257,17640,54769c14139,53380,11049,51296,8369,48617c5690,45839,3625,42664,2175,39291c725,35818,0,32246,0,28575c0,24705,725,20935,2175,17562c3625,13990,5690,10815,8369,8334c11049,5655,14139,3572,17640,2183c21141,695,24786,0,28575,0x">
                  <v:stroke weight="0pt" endcap="flat" joinstyle="miter" miterlimit="10" on="false" color="#000000" opacity="0"/>
                  <v:fill on="true" color="#333333"/>
                </v:shape>
                <v:shape id="Shape 16089" style="position:absolute;width:571;height:571;left:0;top:7620;" coordsize="57150,57150" path="m28575,0c32364,0,36009,695,39510,2084c43011,3373,46101,5457,48781,8334c51460,10815,53525,13990,54975,17363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363c3625,13990,5690,10815,8369,8334c11049,5457,14139,3373,17640,2084c21141,695,24786,0,28575,0x">
                  <v:stroke weight="0pt" endcap="flat" joinstyle="miter" miterlimit="10" on="false" color="#000000" opacity="0"/>
                  <v:fill on="true" color="#333333"/>
                </v:shape>
                <v:shape id="Shape 16091" style="position:absolute;width:571;height:571;left:0;top:9144;" coordsize="57150,57150" path="m28575,0c32364,0,36009,695,39510,2183c43011,3572,46101,5655,48781,8334c51460,10815,53525,13990,54975,17363c56425,20935,57150,24705,57150,28575c57150,32246,56425,36016,54975,39390c53525,42863,51460,45938,48781,48816c46101,51296,43011,53280,39510,54769c36009,56257,32364,56952,28575,57150c24786,56952,21141,56257,17640,54769c14139,53280,11049,51296,8369,48816c5690,45938,3625,42863,2175,39390c725,36016,0,32246,0,28575c0,24705,725,20935,2175,17363c3625,13990,5690,10815,8369,8334c11049,5655,14139,3572,17640,2183c21141,695,24786,0,28575,0x">
                  <v:stroke weight="0pt" endcap="flat" joinstyle="miter" miterlimit="10" on="false" color="#000000" opacity="0"/>
                  <v:fill on="true" color="#333333"/>
                </v:shape>
                <v:shape id="Shape 16093" style="position:absolute;width:571;height:571;left:0;top:10668;" coordsize="57150,57150" path="m28575,0c32364,0,36009,595,39510,1885c43011,3373,46101,5457,48781,8334c51460,10815,53525,13990,54975,17363c56425,20935,57150,24705,57150,28575c57150,32246,56425,36016,54975,39390c53525,42863,51460,45938,48781,48816c46101,51296,43011,53380,39510,54868c36009,56356,32364,57150,28575,57150c24786,57150,21141,56356,17640,54868c14139,53380,11049,51296,8369,48816c5690,45938,3625,42863,2175,39390c725,36016,0,32246,0,28575c0,24705,725,20935,2175,17363c3625,13990,5690,10815,8369,8334c11049,5457,14139,3373,17640,1885c21141,595,24786,0,28575,0x">
                  <v:stroke weight="0pt" endcap="flat" joinstyle="miter" miterlimit="10" on="false" color="#000000" opacity="0"/>
                  <v:fill on="true" color="#333333"/>
                </v:shape>
                <v:shape id="Shape 16095" style="position:absolute;width:571;height:571;left:0;top:12192;" coordsize="57150,57150" path="m28575,0c32364,0,36009,695,39510,2084c43011,3572,46101,5655,48781,8334c51460,10815,53525,13990,54975,17363c56425,20935,57150,24705,57150,28575c57150,32246,56425,35818,54975,39291c53525,42664,51460,45938,48781,48816c46101,51296,43011,53280,39510,54769c36009,56257,32364,56952,28575,57150c24786,56952,21141,56257,17640,54769c14139,53280,11049,51296,8369,48816c5690,45938,3625,42664,2175,39291c725,35818,0,32246,0,28575c0,24705,725,20935,2175,17363c3625,13990,5690,10815,8369,8334c11049,5655,14139,3572,17640,2084c21141,695,24786,0,28575,0x">
                  <v:stroke weight="0pt" endcap="flat" joinstyle="miter" miterlimit="10" on="false" color="#000000" opacity="0"/>
                  <v:fill on="true" color="#333333"/>
                </v:shape>
                <w10:wrap type="square"/>
              </v:group>
            </w:pict>
          </mc:Fallback>
        </mc:AlternateContent>
      </w:r>
      <w:r>
        <w:t>Аутоиммунные заболевания (например, СД 1-го типа).</w:t>
      </w:r>
    </w:p>
    <w:p w:rsidR="008E3F15" w:rsidRDefault="005F449A">
      <w:pPr>
        <w:spacing w:after="31"/>
        <w:ind w:left="340" w:right="15"/>
      </w:pPr>
      <w:r>
        <w:t>Пернициозная анемия.</w:t>
      </w:r>
    </w:p>
    <w:p w:rsidR="008E3F15" w:rsidRDefault="005F449A">
      <w:pPr>
        <w:spacing w:after="31"/>
        <w:ind w:left="340" w:right="15"/>
      </w:pPr>
      <w:r>
        <w:t>Родственники первой линии с аутоиммунными заболеваниями щито</w:t>
      </w:r>
      <w:r>
        <w:t>видной железы.</w:t>
      </w:r>
    </w:p>
    <w:p w:rsidR="008E3F15" w:rsidRDefault="005F449A">
      <w:pPr>
        <w:spacing w:after="31"/>
        <w:ind w:left="340" w:right="15"/>
      </w:pPr>
      <w:r>
        <w:t>Облучение шеи, включая терапию радиоактивным йодом.</w:t>
      </w:r>
    </w:p>
    <w:p w:rsidR="008E3F15" w:rsidRDefault="005F449A">
      <w:pPr>
        <w:spacing w:after="31"/>
        <w:ind w:left="340" w:right="15"/>
      </w:pPr>
      <w:r>
        <w:t>Хирургия щитовидной железы.</w:t>
      </w:r>
    </w:p>
    <w:p w:rsidR="008E3F15" w:rsidRDefault="005F449A">
      <w:pPr>
        <w:spacing w:after="31"/>
        <w:ind w:left="340" w:right="15"/>
      </w:pPr>
      <w:r>
        <w:t>Дисфункция щитовидной железы в анамнезе.</w:t>
      </w:r>
    </w:p>
    <w:p w:rsidR="008E3F15" w:rsidRDefault="005F449A">
      <w:pPr>
        <w:spacing w:after="31"/>
        <w:ind w:left="340" w:right="15"/>
      </w:pPr>
      <w:r>
        <w:t>Психические расстройства.</w:t>
      </w:r>
    </w:p>
    <w:p w:rsidR="008E3F15" w:rsidRDefault="005F449A">
      <w:pPr>
        <w:spacing w:after="31"/>
        <w:ind w:left="340" w:right="15"/>
      </w:pPr>
      <w:r>
        <w:t>Прием лекарств: амиодарон, литий.</w:t>
      </w:r>
    </w:p>
    <w:p w:rsidR="008E3F15" w:rsidRDefault="005F449A">
      <w:pPr>
        <w:spacing w:after="344"/>
        <w:ind w:left="340" w:right="15"/>
      </w:pPr>
      <w:r>
        <w:t xml:space="preserve">Заболевания: синусовая брадикардия, удлинение интервала </w:t>
      </w:r>
      <w:r>
        <w:rPr>
          <w:i/>
        </w:rPr>
        <w:t>Q–T</w:t>
      </w:r>
      <w:r>
        <w:t>,</w:t>
      </w:r>
      <w:r>
        <w:t xml:space="preserve"> гипертензия, СН, гиперхолестеринемия, запор, неспецифическая миопатия, увеличение массы тела.</w:t>
      </w:r>
    </w:p>
    <w:p w:rsidR="008E3F15" w:rsidRDefault="005F449A">
      <w:pPr>
        <w:pStyle w:val="Heading1"/>
        <w:ind w:left="2"/>
      </w:pPr>
      <w:r>
        <w:t>Часть II. Коморбидные болезни</w:t>
      </w:r>
    </w:p>
    <w:p w:rsidR="008E3F15" w:rsidRDefault="005F449A">
      <w:pPr>
        <w:spacing w:after="31"/>
        <w:ind w:left="2" w:right="15"/>
      </w:pPr>
      <w:r>
        <w:t>Лечение</w:t>
      </w:r>
    </w:p>
    <w:p w:rsidR="008E3F15" w:rsidRDefault="005F449A">
      <w:pPr>
        <w:ind w:left="2" w:right="15"/>
      </w:pPr>
      <w:r>
        <w:t>Заместительная терапия гипотиреоза проводится с помощью левотироксина натрия натощак или перед сном. Доза левотироксина натрия подбирается индивидуально с учетом выраженности гипотиреоза, возраста и наличия ССЗ (</w:t>
      </w:r>
      <w:r>
        <w:rPr>
          <w:b/>
        </w:rPr>
        <w:t>табл. 14.2</w:t>
      </w:r>
      <w:r>
        <w:t>).</w:t>
      </w:r>
    </w:p>
    <w:p w:rsidR="008E3F15" w:rsidRDefault="005F449A">
      <w:pPr>
        <w:spacing w:after="31"/>
        <w:ind w:left="2" w:right="15"/>
      </w:pPr>
      <w:r>
        <w:rPr>
          <w:b/>
        </w:rPr>
        <w:t xml:space="preserve">Таблица 14.2. </w:t>
      </w:r>
      <w:r>
        <w:t>Тактика лечения г</w:t>
      </w:r>
      <w:r>
        <w:t>ипотиреоза</w:t>
      </w:r>
    </w:p>
    <w:tbl>
      <w:tblPr>
        <w:tblStyle w:val="TableGrid"/>
        <w:tblW w:w="10485" w:type="dxa"/>
        <w:tblInd w:w="30" w:type="dxa"/>
        <w:tblCellMar>
          <w:top w:w="58" w:type="dxa"/>
          <w:left w:w="38" w:type="dxa"/>
          <w:bottom w:w="0" w:type="dxa"/>
          <w:right w:w="115" w:type="dxa"/>
        </w:tblCellMar>
        <w:tblLook w:val="04A0" w:firstRow="1" w:lastRow="0" w:firstColumn="1" w:lastColumn="0" w:noHBand="0" w:noVBand="1"/>
      </w:tblPr>
      <w:tblGrid>
        <w:gridCol w:w="2340"/>
        <w:gridCol w:w="4920"/>
        <w:gridCol w:w="3225"/>
      </w:tblGrid>
      <w:tr w:rsidR="008E3F15">
        <w:trPr>
          <w:trHeight w:val="570"/>
        </w:trPr>
        <w:tc>
          <w:tcPr>
            <w:tcW w:w="23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rPr>
                <w:b/>
              </w:rPr>
              <w:t>Категория пациентов</w:t>
            </w:r>
          </w:p>
        </w:tc>
        <w:tc>
          <w:tcPr>
            <w:tcW w:w="4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rPr>
                <w:b/>
              </w:rPr>
              <w:t>Начальная доза левотироксина натрия</w:t>
            </w:r>
          </w:p>
        </w:tc>
        <w:tc>
          <w:tcPr>
            <w:tcW w:w="32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Контроль уровня ТТГ</w:t>
            </w:r>
          </w:p>
        </w:tc>
      </w:tr>
      <w:tr w:rsidR="008E3F15">
        <w:trPr>
          <w:trHeight w:val="810"/>
        </w:trPr>
        <w:tc>
          <w:tcPr>
            <w:tcW w:w="23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Пациенты с ССЗ</w:t>
            </w:r>
          </w:p>
        </w:tc>
        <w:tc>
          <w:tcPr>
            <w:tcW w:w="4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12,5–25 мкг/сут</w:t>
            </w:r>
          </w:p>
        </w:tc>
        <w:tc>
          <w:tcPr>
            <w:tcW w:w="32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623" w:firstLine="0"/>
            </w:pPr>
            <w:r>
              <w:t>Каждые 4–6 нед до нормализации ТТГ, далее каждые 6 мес</w:t>
            </w:r>
          </w:p>
        </w:tc>
      </w:tr>
      <w:tr w:rsidR="008E3F15">
        <w:trPr>
          <w:trHeight w:val="788"/>
        </w:trPr>
        <w:tc>
          <w:tcPr>
            <w:tcW w:w="234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7" w:right="0" w:firstLine="0"/>
            </w:pPr>
            <w:r>
              <w:t>Пациенты &gt;50 лет без ССЗ</w:t>
            </w:r>
          </w:p>
        </w:tc>
        <w:tc>
          <w:tcPr>
            <w:tcW w:w="492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2" w:right="0" w:firstLine="0"/>
            </w:pPr>
            <w:r>
              <w:t>25–50 мкг/сут</w:t>
            </w:r>
          </w:p>
        </w:tc>
        <w:tc>
          <w:tcPr>
            <w:tcW w:w="32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623" w:firstLine="0"/>
            </w:pPr>
            <w:r>
              <w:t>Каждые 8 нед до нормализации ТТГ, далее каждые 6 мес</w:t>
            </w:r>
          </w:p>
        </w:tc>
      </w:tr>
      <w:tr w:rsidR="008E3F15">
        <w:trPr>
          <w:trHeight w:val="233"/>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1028"/>
        </w:trPr>
        <w:tc>
          <w:tcPr>
            <w:tcW w:w="234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Пациенты &lt;50 лет без ССЗ</w:t>
            </w:r>
          </w:p>
        </w:tc>
        <w:tc>
          <w:tcPr>
            <w:tcW w:w="49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131" w:firstLine="0"/>
            </w:pPr>
            <w:r>
              <w:t>Полная или близкая к полной доза: 1,0 мкг/кг — при субклиническом гипотиреозе, 1,6 мкг/кг при манифестном гипотиреозе</w:t>
            </w:r>
          </w:p>
        </w:tc>
        <w:tc>
          <w:tcPr>
            <w:tcW w:w="322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483" w:firstLine="0"/>
            </w:pPr>
            <w:r>
              <w:t>Каждые 8 нед до нормализации ТТГ, далее каждые 6–12 мес</w:t>
            </w:r>
          </w:p>
        </w:tc>
      </w:tr>
    </w:tbl>
    <w:p w:rsidR="008E3F15" w:rsidRDefault="005F449A">
      <w:pPr>
        <w:ind w:left="2" w:right="15"/>
      </w:pPr>
      <w:r>
        <w:t>Принимать левотироксин натрия нужно не ранее 4 ч после употребления препаратов, содержащих кальций или железо.</w:t>
      </w:r>
    </w:p>
    <w:p w:rsidR="008E3F15" w:rsidRDefault="005F449A">
      <w:pPr>
        <w:ind w:left="2" w:right="159"/>
      </w:pPr>
      <w:r>
        <w:t xml:space="preserve">Молодым терапевтическую дозу левотироксина натрия можно назначить сразу, при этом следует учесть, что рекомендуемая заместительная доза (1,4–1,8 </w:t>
      </w:r>
      <w:r>
        <w:t>мкг/кг) подразумевает полную абляцию щитовидной железы (тиреоидэктомия, адекватная радиойодтерапия или атрофический вариант аутоиммунного тиреоидита с длительным течением). При манифестном гипотиреозе на фоне аутоиммунного тиреоидита при сохраненной остато</w:t>
      </w:r>
      <w:r>
        <w:t>чной секреции полная заместительная доза левотироксина натрия не требуется. Более того, возможна спонтанная ремиссия на какой-то период.</w:t>
      </w:r>
    </w:p>
    <w:p w:rsidR="008E3F15" w:rsidRDefault="005F449A">
      <w:pPr>
        <w:ind w:left="2" w:right="285"/>
      </w:pPr>
      <w:r>
        <w:t>Препараты левотироксина натрия имеют узкий терапевтический диапазон, поэтому важное значение имеют титрация дозы левоти</w:t>
      </w:r>
      <w:r>
        <w:t>роксина натрия и контроль адекватности дозы по уровню ТТГ каждые 4–6 нед в период подбора дозы, далее через 4–6 мес и после достижения стабильных показателей ежегодно (ATS).</w:t>
      </w:r>
    </w:p>
    <w:p w:rsidR="008E3F15" w:rsidRDefault="005F449A">
      <w:pPr>
        <w:ind w:left="2" w:right="15"/>
      </w:pPr>
      <w:r>
        <w:t>Биоэквивалентность препаратов левотироксина натрия разных компаний может различать</w:t>
      </w:r>
      <w:r>
        <w:t>ся, поэтому при замене любого препарата левотироксина натрия другим рекомендуется дополнительное контрольное определение ТТГ. Вместе с тем частота сердечно-сосудистых событий не отличалась при лечении оригинальным или дженериковыми формами левотироксина на</w:t>
      </w:r>
      <w:r>
        <w:t>трия (Smallridge R. et al., 2019).</w:t>
      </w:r>
    </w:p>
    <w:p w:rsidR="008E3F15" w:rsidRDefault="005F449A">
      <w:pPr>
        <w:ind w:left="2" w:right="15"/>
      </w:pPr>
      <w:r>
        <w:t>В случаях повышенной потребности в левотироксине натрия, резистентности к препарату, лабильном уровне ТТГ следует оценить непереносимость лактозы. Высокая распространенность последней обусловливает рекомендации по использ</w:t>
      </w:r>
      <w:r>
        <w:t>ованию безлактозных препаратов левотироксина натрия.</w:t>
      </w:r>
    </w:p>
    <w:p w:rsidR="008E3F15" w:rsidRDefault="005F449A">
      <w:pPr>
        <w:ind w:left="2" w:right="78"/>
      </w:pPr>
      <w:r>
        <w:t>Целевой уровень ТТГ у пациентов с гипотиреозом соответствует нормальному референтному диапазону, определенному тестами 3-го поколения: 0,4–4,0 мкEд/мл, в рамках которого не найдено существенных различий по смертности, частоте ССЗ и переломов (AACE/ATA; Tha</w:t>
      </w:r>
      <w:r>
        <w:t>yakaran R. et al., 2019). Следует избегать избыточного лечения, что может привести к обострению коронарной болезни, ФП и других заболеваний.</w:t>
      </w:r>
    </w:p>
    <w:p w:rsidR="008E3F15" w:rsidRDefault="005F449A">
      <w:pPr>
        <w:ind w:left="2" w:right="15"/>
      </w:pPr>
      <w:r>
        <w:t>На чувствительность тканей к гормонам щитовидной железы может влиять коморбидность (СН, СД, менопауза), что может з</w:t>
      </w:r>
      <w:r>
        <w:t>атруднить достижение референтных значений ТТГ. В случаях выраженных ССЗ может быть целесообразным контроль в рамках субклинического гипотиреоза с учетом референтных значений свободного Т</w:t>
      </w:r>
      <w:r>
        <w:rPr>
          <w:sz w:val="31"/>
          <w:vertAlign w:val="subscript"/>
        </w:rPr>
        <w:t>3</w:t>
      </w:r>
      <w:r>
        <w:t>.</w:t>
      </w:r>
    </w:p>
    <w:p w:rsidR="008E3F15" w:rsidRDefault="005F449A">
      <w:pPr>
        <w:ind w:left="2" w:right="15"/>
      </w:pPr>
      <w:r>
        <w:t>Если после стабильного достижения целевого уровня ТТГ симптомы сохр</w:t>
      </w:r>
      <w:r>
        <w:t>аняются, следует оценить другие причины.</w:t>
      </w:r>
    </w:p>
    <w:p w:rsidR="008E3F15" w:rsidRDefault="005F449A">
      <w:pPr>
        <w:pStyle w:val="Heading2"/>
        <w:spacing w:after="0"/>
        <w:ind w:left="2"/>
      </w:pPr>
      <w:r>
        <w:t>Лечение субклинического гипотиреоза.</w:t>
      </w:r>
      <w:r>
        <w:rPr>
          <w:b w:val="0"/>
        </w:rPr>
        <w:t xml:space="preserve"> Рекомендованная тактика ведения</w:t>
      </w:r>
    </w:p>
    <w:p w:rsidR="008E3F15" w:rsidRDefault="005F449A">
      <w:pPr>
        <w:ind w:left="2" w:right="79"/>
      </w:pPr>
      <w:r>
        <w:t xml:space="preserve">субклинического гипотиреоза с учетом наличия или повышенного риска ССЗ представлена на </w:t>
      </w:r>
      <w:r>
        <w:rPr>
          <w:b/>
        </w:rPr>
        <w:t>рис. 14.3</w:t>
      </w:r>
      <w:r>
        <w:t xml:space="preserve"> и содержится также в документах других обществ (Н</w:t>
      </w:r>
      <w:r>
        <w:t>ациональный институт клинического усовершенствования, ETA).</w:t>
      </w:r>
    </w:p>
    <w:p w:rsidR="008E3F15" w:rsidRDefault="005F449A">
      <w:pPr>
        <w:spacing w:after="0" w:line="259" w:lineRule="auto"/>
        <w:ind w:left="0" w:right="0" w:firstLine="0"/>
      </w:pPr>
      <w:r>
        <w:rPr>
          <w:noProof/>
        </w:rPr>
        <w:drawing>
          <wp:inline distT="0" distB="0" distL="0" distR="0">
            <wp:extent cx="5057775" cy="3438524"/>
            <wp:effectExtent l="0" t="0" r="0" b="0"/>
            <wp:docPr id="16196" name="Picture 16196"/>
            <wp:cNvGraphicFramePr/>
            <a:graphic xmlns:a="http://schemas.openxmlformats.org/drawingml/2006/main">
              <a:graphicData uri="http://schemas.openxmlformats.org/drawingml/2006/picture">
                <pic:pic xmlns:pic="http://schemas.openxmlformats.org/drawingml/2006/picture">
                  <pic:nvPicPr>
                    <pic:cNvPr id="16196" name="Picture 16196"/>
                    <pic:cNvPicPr/>
                  </pic:nvPicPr>
                  <pic:blipFill>
                    <a:blip r:embed="rId139"/>
                    <a:stretch>
                      <a:fillRect/>
                    </a:stretch>
                  </pic:blipFill>
                  <pic:spPr>
                    <a:xfrm>
                      <a:off x="0" y="0"/>
                      <a:ext cx="5057775" cy="3438524"/>
                    </a:xfrm>
                    <a:prstGeom prst="rect">
                      <a:avLst/>
                    </a:prstGeom>
                  </pic:spPr>
                </pic:pic>
              </a:graphicData>
            </a:graphic>
          </wp:inline>
        </w:drawing>
      </w:r>
    </w:p>
    <w:p w:rsidR="008E3F15" w:rsidRDefault="005F449A">
      <w:pPr>
        <w:ind w:left="2" w:right="15"/>
      </w:pPr>
      <w:r>
        <w:rPr>
          <w:b/>
        </w:rPr>
        <w:t xml:space="preserve">Рис. 14.3. </w:t>
      </w:r>
      <w:r>
        <w:t>Ведение пациентов с субклиническим гипотиреозом (ATA). свТ</w:t>
      </w:r>
      <w:r>
        <w:rPr>
          <w:sz w:val="31"/>
          <w:vertAlign w:val="subscript"/>
        </w:rPr>
        <w:t>4</w:t>
      </w:r>
      <w:r>
        <w:t xml:space="preserve"> — Т</w:t>
      </w:r>
      <w:r>
        <w:rPr>
          <w:sz w:val="31"/>
          <w:vertAlign w:val="subscript"/>
        </w:rPr>
        <w:t>4</w:t>
      </w:r>
      <w:r>
        <w:t xml:space="preserve"> свободный При уровне ТТГ между верхней границей нормы и 10 мЕд/л решение о заместительной терапии принимается индивиду</w:t>
      </w:r>
      <w:r>
        <w:t>ально с оценкой наличия симптомов, предположительно связанных с гипотиреозом, антител к тиреоидной пероксидазе, ССЗ и факторов риска (AACE/ATA).</w:t>
      </w:r>
    </w:p>
    <w:p w:rsidR="008E3F15" w:rsidRDefault="005F449A">
      <w:pPr>
        <w:ind w:left="2" w:right="15"/>
      </w:pPr>
      <w:r>
        <w:t>Почти у трети пациентов после нормализации ТТГ после отмены левотироксина натрия сохраняется состояние эутиреоз</w:t>
      </w:r>
      <w:r>
        <w:t>а (Burgos N. et al., 2021).</w:t>
      </w:r>
    </w:p>
    <w:p w:rsidR="008E3F15" w:rsidRDefault="005F449A">
      <w:pPr>
        <w:spacing w:after="344"/>
        <w:ind w:left="2" w:right="15"/>
      </w:pPr>
      <w:r>
        <w:t>Следует учитывать, что метаанализ рандомизированных исследований не выявил улучшения качества жизни или уменьшения симптомов, приписываемых субклинической дисфункции щитовидной железы, при лечении гормонами щитовидной железы (Fe</w:t>
      </w:r>
      <w:r>
        <w:t>ller M. et al., 2018). Вместе с тем наблюдательные исследования не подтверждают существенного влияния терапии левотироксином натрия на смертность и сердечно-сосудистые риски (Andersen M. et al., 2016; Abbey E. et al., 2021).</w:t>
      </w:r>
    </w:p>
    <w:p w:rsidR="008E3F15" w:rsidRDefault="005F449A">
      <w:pPr>
        <w:pStyle w:val="Heading1"/>
        <w:ind w:left="2"/>
      </w:pPr>
      <w:r>
        <w:t>Часть II. Коморбидные болезни</w:t>
      </w:r>
    </w:p>
    <w:p w:rsidR="008E3F15" w:rsidRDefault="005F449A">
      <w:pPr>
        <w:spacing w:after="31"/>
        <w:ind w:left="2" w:right="15"/>
      </w:pPr>
      <w:r>
        <w:t>Б</w:t>
      </w:r>
      <w:r>
        <w:t>олезни сердца и гипотиреоз</w:t>
      </w:r>
    </w:p>
    <w:p w:rsidR="008E3F15" w:rsidRDefault="005F449A">
      <w:pPr>
        <w:ind w:left="2" w:right="465"/>
      </w:pPr>
      <w:r>
        <w:t>У пациентов с ССЗ лечение левотироксином натрия следует проводить осторожно в связи с возможными негативными влияниями медикаментозного гипо- и гипертиреоза на сердечно-сосудистые риски (Evron J. et al., 2022).</w:t>
      </w:r>
    </w:p>
    <w:p w:rsidR="008E3F15" w:rsidRDefault="005F449A">
      <w:pPr>
        <w:ind w:left="2" w:right="15"/>
      </w:pPr>
      <w:r>
        <w:t>Необходимо тщатель</w:t>
      </w:r>
      <w:r>
        <w:t>но взвесить потенциальную пользу, показанную лишь в наблюдательных исследованиях, и возможные негативные последствия лечения субклинического гипотиреоза</w:t>
      </w:r>
    </w:p>
    <w:p w:rsidR="008E3F15" w:rsidRDefault="005F449A">
      <w:pPr>
        <w:ind w:left="2" w:right="15"/>
      </w:pPr>
      <w:r>
        <w:t>(Bekkering G. et al., 2019). В рандомизированном исследовании TRUST лечение левотироксином натрия пожил</w:t>
      </w:r>
      <w:r>
        <w:t xml:space="preserve">ых пациентов не изменило риска ССЗ и симптомов. </w:t>
      </w:r>
      <w:r>
        <w:rPr>
          <w:b/>
        </w:rPr>
        <w:t xml:space="preserve">Коронарная болезнь. </w:t>
      </w:r>
      <w:r>
        <w:t>Гипотиреоз часто сопровождается дислипидемией с повышением уровня ХС ЛНП и триглицеридов. Анемия, нередко встречающаяся при гипотиреозе, может усилить ишемию мио карда.</w:t>
      </w:r>
    </w:p>
    <w:p w:rsidR="008E3F15" w:rsidRDefault="005F449A">
      <w:pPr>
        <w:ind w:left="2" w:right="15"/>
      </w:pPr>
      <w:r>
        <w:t>Хотя гипотиреоз асс</w:t>
      </w:r>
      <w:r>
        <w:t>оциируется с увеличением риска коронарной болезни, однако снижается частота ОКС и госпитальной смертности (Dhital R. et al., 2017). СК и ИМ при гипотиреозе встречаются относительно редко. Этот феномен объясняют снижением метаболической активности мио карда</w:t>
      </w:r>
      <w:r>
        <w:t>.</w:t>
      </w:r>
    </w:p>
    <w:p w:rsidR="008E3F15" w:rsidRDefault="005F449A">
      <w:pPr>
        <w:ind w:left="2" w:right="144"/>
      </w:pPr>
      <w:r>
        <w:t>Метаанализы выявили связь субклинического гипотиреоза с повышением риска коронарной болезни, СН, сердечно-сосудистой смертности (Tseng F. et al. 2012; Tian L. et al., 2019). При этом чем выше были показатели ТТГ, тем хуже прогноз (Rodondi N. et al., 2010</w:t>
      </w:r>
      <w:r>
        <w:t>; HUNT). У пациентов с субклиническим гипотиреозом до 70 лет лечение левотироксином натрия может снизить риск развития коронарной болезни, но лечение не уменьшает риски в более старшем возрасте (Razvi S. et al., 2012; TRUST).</w:t>
      </w:r>
    </w:p>
    <w:p w:rsidR="008E3F15" w:rsidRDefault="005F449A">
      <w:pPr>
        <w:ind w:left="2" w:right="15"/>
      </w:pPr>
      <w:r>
        <w:t>Прием левотироксина натрия в т</w:t>
      </w:r>
      <w:r>
        <w:t>ечение года пациентами с острым ИМ и субклиническим гипотиреозом не повлиял на риск ССЗ и не улучшил ФВЛЖ (Jabbar A. et al., 2020).</w:t>
      </w:r>
    </w:p>
    <w:p w:rsidR="008E3F15" w:rsidRDefault="005F449A">
      <w:pPr>
        <w:ind w:left="2" w:right="15"/>
      </w:pPr>
      <w:r>
        <w:rPr>
          <w:b/>
        </w:rPr>
        <w:t xml:space="preserve">Сердечная недостаточность. </w:t>
      </w:r>
      <w:r>
        <w:t>Снижение функции щитовидной железы очень редко приводит к выраженной дисфункции мио карда. Обычно гипотиреоз способствует появлению или усилению симптомов СН при имеющемся поражении сердца.</w:t>
      </w:r>
    </w:p>
    <w:p w:rsidR="008E3F15" w:rsidRDefault="005F449A">
      <w:pPr>
        <w:ind w:left="2" w:right="15"/>
      </w:pPr>
      <w:r>
        <w:t>Гипотиреоз связан с повышением смертности у пациентов с АДс (Mitch</w:t>
      </w:r>
      <w:r>
        <w:t>ell J. et al., 2013). Йод-индуцированный гипотиреоз повысил риск развития СН на 11%, преимущественно у</w:t>
      </w:r>
    </w:p>
    <w:p w:rsidR="008E3F15" w:rsidRDefault="005F449A">
      <w:pPr>
        <w:spacing w:after="359"/>
        <w:ind w:left="2" w:right="189"/>
      </w:pPr>
      <w:r>
        <w:t>женщин (на 65% против 8% у мужчин) (Inoue K. et al., 2023). Нередко гипотиреоз сопровождается небольшим выпотом в перикард с высоким содержанием белка, н</w:t>
      </w:r>
      <w:r>
        <w:t>о описывают и развитие тампонады сердца без синусовой тахикардии (Wang J. et al., 2010). При умеренной и тяжелой СН в 18% может развиться эутиреоидный патологический синдром, когда низкий уровень Т</w:t>
      </w:r>
      <w:r>
        <w:rPr>
          <w:sz w:val="31"/>
          <w:vertAlign w:val="subscript"/>
        </w:rPr>
        <w:t>4</w:t>
      </w:r>
      <w:r>
        <w:t xml:space="preserve"> и Т</w:t>
      </w:r>
      <w:r>
        <w:rPr>
          <w:sz w:val="31"/>
          <w:vertAlign w:val="subscript"/>
        </w:rPr>
        <w:t>3</w:t>
      </w:r>
      <w:r>
        <w:t xml:space="preserve"> сочетается с нормальным уровнем ТТГ. Гипотиреоз при </w:t>
      </w:r>
      <w:r>
        <w:t>этом отсутствует, а заместительная терапия неэффективна. Появление синдрома связано со степенью нарушения функции сердца и не зависит от этиологии СН. Эутиреоидный патологический синдром, характерный и для другой тяжелой соматической патологии, ассоциирует</w:t>
      </w:r>
      <w:r>
        <w:t>ся с повышением общей и сердечно-сосудистой смертности, частоты ССЗ (Wang B. et al., 2017). После трансплантации сердца проявления синдрома исчезают. У пациентов с СН в ряде случаев может быть целесообразным лечение субклинического гипотиреоза, особенно пр</w:t>
      </w:r>
      <w:r>
        <w:t>и уровне ТТГ ≥10 мЕд/л и возрасте до 70 лет, когда пациенты находятся под адекватным наблюдением (ATA, ETA).</w:t>
      </w:r>
    </w:p>
    <w:p w:rsidR="008E3F15" w:rsidRDefault="005F449A">
      <w:pPr>
        <w:pStyle w:val="Heading1"/>
        <w:ind w:left="2"/>
      </w:pPr>
      <w:r>
        <w:t>Часть II. Коморбидные болезни</w:t>
      </w:r>
    </w:p>
    <w:p w:rsidR="008E3F15" w:rsidRDefault="005F449A">
      <w:pPr>
        <w:spacing w:after="31"/>
        <w:ind w:left="2" w:right="15"/>
      </w:pPr>
      <w:r>
        <w:t>Глава 15. Гипертиреоз</w:t>
      </w:r>
    </w:p>
    <w:p w:rsidR="008E3F15" w:rsidRDefault="005F449A">
      <w:pPr>
        <w:pStyle w:val="Heading2"/>
        <w:ind w:left="2"/>
      </w:pPr>
      <w:r>
        <w:t>Диагностика</w:t>
      </w:r>
    </w:p>
    <w:p w:rsidR="008E3F15" w:rsidRDefault="005F449A">
      <w:pPr>
        <w:spacing w:after="61"/>
        <w:ind w:left="2" w:right="15"/>
      </w:pPr>
      <w:r>
        <w:t>ТТГ, свободный Т</w:t>
      </w:r>
      <w:r>
        <w:rPr>
          <w:sz w:val="31"/>
          <w:vertAlign w:val="subscript"/>
        </w:rPr>
        <w:t>4</w:t>
      </w:r>
      <w:r>
        <w:rPr>
          <w:sz w:val="37"/>
          <w:vertAlign w:val="superscript"/>
        </w:rPr>
        <w:t>, Т</w:t>
      </w:r>
      <w:r>
        <w:rPr>
          <w:sz w:val="31"/>
          <w:vertAlign w:val="subscript"/>
        </w:rPr>
        <w:t>3</w:t>
      </w:r>
      <w:r>
        <w:t>.</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69184" behindDoc="0" locked="0" layoutInCell="1" allowOverlap="1">
                <wp:simplePos x="0" y="0"/>
                <wp:positionH relativeFrom="column">
                  <wp:posOffset>209550</wp:posOffset>
                </wp:positionH>
                <wp:positionV relativeFrom="paragraph">
                  <wp:posOffset>34826</wp:posOffset>
                </wp:positionV>
                <wp:extent cx="57150" cy="895350"/>
                <wp:effectExtent l="0" t="0" r="0" b="0"/>
                <wp:wrapSquare wrapText="bothSides"/>
                <wp:docPr id="307625" name="Group 307625"/>
                <wp:cNvGraphicFramePr/>
                <a:graphic xmlns:a="http://schemas.openxmlformats.org/drawingml/2006/main">
                  <a:graphicData uri="http://schemas.microsoft.com/office/word/2010/wordprocessingGroup">
                    <wpg:wgp>
                      <wpg:cNvGrpSpPr/>
                      <wpg:grpSpPr>
                        <a:xfrm>
                          <a:off x="0" y="0"/>
                          <a:ext cx="57150" cy="895350"/>
                          <a:chOff x="0" y="0"/>
                          <a:chExt cx="57150" cy="895350"/>
                        </a:xfrm>
                      </wpg:grpSpPr>
                      <wps:wsp>
                        <wps:cNvPr id="16298" name="Shape 16298"/>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00" name="Shape 16300"/>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02" name="Shape 16302"/>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04" name="Shape 16304"/>
                        <wps:cNvSpPr/>
                        <wps:spPr>
                          <a:xfrm>
                            <a:off x="0" y="4953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11" name="Shape 16311"/>
                        <wps:cNvSpPr/>
                        <wps:spPr>
                          <a:xfrm>
                            <a:off x="0" y="8382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7625" style="width:4.5pt;height:70.5pt;position:absolute;mso-position-horizontal-relative:text;mso-position-horizontal:absolute;margin-left:16.5pt;mso-position-vertical-relative:text;margin-top:2.74219pt;" coordsize="571,8953">
                <v:shape id="Shape 16298" style="position:absolute;width:571;height:571;left:0;top:0;" coordsize="57150,57150" path="m28575,0c32364,0,36009,695,39510,2084c43011,3572,46101,5655,48781,8334c51460,10815,53525,13990,54975,17363c56425,20836,57150,24507,57150,28575c57150,32246,56425,35818,54975,39390c53525,42863,51460,45938,48781,48617c46101,51197,43011,53280,39510,54570c36009,56257,32364,56952,28575,57150c24786,56952,21141,56257,17640,54570c14139,53280,11049,51197,8369,48617c5690,45938,3625,42863,2175,39390c725,35818,0,32246,0,28575c0,24507,725,20836,2175,17363c3625,13990,5690,10815,8369,8334c11049,5655,14139,3572,17640,2084c21141,695,24786,0,28575,0x">
                  <v:stroke weight="0pt" endcap="flat" joinstyle="miter" miterlimit="10" on="false" color="#000000" opacity="0"/>
                  <v:fill on="true" color="#333333"/>
                </v:shape>
                <v:shape id="Shape 16300" style="position:absolute;width:571;height:571;left:0;top:1524;" coordsize="57150,57150" path="m28575,0c32364,0,36009,695,39510,2084c43011,3572,46101,5655,48781,8334c51460,11013,53525,14089,54975,17562c56425,20935,57150,24705,57150,28575c57150,32246,56425,35818,54975,39390c53525,42863,51460,45839,48781,48617c46101,51197,43011,53280,39510,54769c36009,56257,32364,56952,28575,57150c24786,56952,21141,56257,17640,54769c14139,53280,11049,51197,8369,48617c5690,45839,3625,42863,2175,39390c725,35818,0,32246,0,28575c0,24705,725,20935,2175,17562c3625,14089,5690,11013,8369,8334c11049,5655,14139,3572,17640,2084c21141,695,24786,0,28575,0x">
                  <v:stroke weight="0pt" endcap="flat" joinstyle="miter" miterlimit="10" on="false" color="#000000" opacity="0"/>
                  <v:fill on="true" color="#333333"/>
                </v:shape>
                <v:shape id="Shape 16302" style="position:absolute;width:571;height:571;left:0;top:3048;" coordsize="57150,57150" path="m28575,0c32364,0,36009,695,39510,2084c43011,3572,46101,5655,48781,8334c51460,10815,53525,13990,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990,5690,10815,8369,8334c11049,5655,14139,3572,17640,2084c21141,695,24786,0,28575,0x">
                  <v:stroke weight="0pt" endcap="flat" joinstyle="miter" miterlimit="10" on="false" color="#000000" opacity="0"/>
                  <v:fill on="true" color="#333333"/>
                </v:shape>
                <v:shape id="Shape 16304" style="position:absolute;width:571;height:571;left:0;top:4953;" coordsize="57150,57150" path="m28575,0c32364,0,36009,695,39510,2084c43011,3373,46101,5457,48781,8136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136c11049,5457,14139,3373,17640,2084c21141,695,24786,0,28575,0x">
                  <v:stroke weight="0pt" endcap="flat" joinstyle="miter" miterlimit="10" on="false" color="#000000" opacity="0"/>
                  <v:fill on="true" color="#333333"/>
                </v:shape>
                <v:shape id="Shape 16311" style="position:absolute;width:571;height:571;left:0;top:8382;" coordsize="57150,57150" path="m28575,0c32364,0,36009,595,39510,1885c43011,3373,46101,5457,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457,14139,3373,17640,1885c21141,595,24786,0,28575,0x">
                  <v:stroke weight="0pt" endcap="flat" joinstyle="miter" miterlimit="10" on="false" color="#000000" opacity="0"/>
                  <v:fill on="true" color="#333333"/>
                </v:shape>
                <w10:wrap type="square"/>
              </v:group>
            </w:pict>
          </mc:Fallback>
        </mc:AlternateContent>
      </w:r>
      <w:r>
        <w:t>Ультразвуковое исследование щитовидной железы.</w:t>
      </w:r>
    </w:p>
    <w:p w:rsidR="008E3F15" w:rsidRDefault="005F449A">
      <w:pPr>
        <w:ind w:left="340" w:right="1971"/>
      </w:pPr>
      <w:r>
        <w:t>Допплеровское исследование кровотока щитовидной железы. Антитела к рецепторам ТТГ (болезнь Грейвса).</w:t>
      </w:r>
    </w:p>
    <w:p w:rsidR="008E3F15" w:rsidRDefault="005F449A">
      <w:pPr>
        <w:spacing w:after="33"/>
        <w:ind w:left="340" w:right="15"/>
      </w:pPr>
      <w:r>
        <w:t xml:space="preserve">Радиоизотопная сцинтиграфия с </w:t>
      </w:r>
      <w:r>
        <w:rPr>
          <w:sz w:val="31"/>
          <w:vertAlign w:val="superscript"/>
        </w:rPr>
        <w:t>99m</w:t>
      </w:r>
      <w:r>
        <w:t xml:space="preserve">Tc или </w:t>
      </w:r>
      <w:r>
        <w:rPr>
          <w:sz w:val="31"/>
          <w:vertAlign w:val="superscript"/>
        </w:rPr>
        <w:t>123</w:t>
      </w:r>
      <w:r>
        <w:t>I (токсическая аденома, многоузловой токсический зоб).</w:t>
      </w:r>
    </w:p>
    <w:p w:rsidR="008E3F15" w:rsidRDefault="005F449A">
      <w:pPr>
        <w:spacing w:after="102"/>
        <w:ind w:left="340" w:right="15"/>
      </w:pPr>
      <w:r>
        <w:t xml:space="preserve">Поглощение </w:t>
      </w:r>
      <w:r>
        <w:rPr>
          <w:sz w:val="31"/>
          <w:vertAlign w:val="superscript"/>
        </w:rPr>
        <w:t>123</w:t>
      </w:r>
      <w:r>
        <w:t>I щитовидной железой.</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0208"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307626" name="Group 307626"/>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6316" name="Shape 16316"/>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641"/>
                                  <a:pt x="48781" y="48518"/>
                                </a:cubicBezTo>
                                <a:cubicBezTo>
                                  <a:pt x="46101" y="50998"/>
                                  <a:pt x="43011" y="53082"/>
                                  <a:pt x="39510" y="54769"/>
                                </a:cubicBezTo>
                                <a:cubicBezTo>
                                  <a:pt x="36009" y="56257"/>
                                  <a:pt x="32364" y="56952"/>
                                  <a:pt x="28575" y="57150"/>
                                </a:cubicBezTo>
                                <a:cubicBezTo>
                                  <a:pt x="24786" y="56952"/>
                                  <a:pt x="21141" y="56257"/>
                                  <a:pt x="17640" y="54769"/>
                                </a:cubicBezTo>
                                <a:cubicBezTo>
                                  <a:pt x="14139" y="53082"/>
                                  <a:pt x="11049" y="50998"/>
                                  <a:pt x="8369" y="48518"/>
                                </a:cubicBezTo>
                                <a:cubicBezTo>
                                  <a:pt x="5690" y="45641"/>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18" name="Shape 1631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147"/>
                                  <a:pt x="56425" y="35719"/>
                                  <a:pt x="54975" y="39291"/>
                                </a:cubicBezTo>
                                <a:cubicBezTo>
                                  <a:pt x="53525" y="42664"/>
                                  <a:pt x="51460" y="45839"/>
                                  <a:pt x="48781" y="48518"/>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518"/>
                                </a:cubicBezTo>
                                <a:cubicBezTo>
                                  <a:pt x="5690" y="45839"/>
                                  <a:pt x="3625" y="42664"/>
                                  <a:pt x="2175" y="39291"/>
                                </a:cubicBezTo>
                                <a:cubicBezTo>
                                  <a:pt x="725" y="35719"/>
                                  <a:pt x="0" y="32147"/>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20" name="Shape 16320"/>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22" name="Shape 16322"/>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7626" style="width:4.5pt;height:40.5pt;position:absolute;mso-position-horizontal-relative:text;mso-position-horizontal:absolute;margin-left:16.5pt;mso-position-vertical-relative:text;margin-top:2.74219pt;" coordsize="571,5143">
                <v:shape id="Shape 16316" style="position:absolute;width:571;height:571;left:0;top:0;" coordsize="57150,57150" path="m28575,0c32364,0,36009,595,39510,1885c43011,3373,46101,5457,48781,8334c51460,10815,53525,13990,54975,17363c56425,20935,57150,24705,57150,28575c57150,32246,56425,35818,54975,39291c53525,42664,51460,45641,48781,48518c46101,50998,43011,53082,39510,54769c36009,56257,32364,56952,28575,57150c24786,56952,21141,56257,17640,54769c14139,53082,11049,50998,8369,48518c5690,45641,3625,42664,2175,39291c725,35818,0,32246,0,28575c0,24705,725,20935,2175,17363c3625,13990,5690,10815,8369,8334c11049,5457,14139,3373,17640,1885c21141,595,24786,0,28575,0x">
                  <v:stroke weight="0pt" endcap="flat" joinstyle="miter" miterlimit="10" on="false" color="#000000" opacity="0"/>
                  <v:fill on="true" color="#333333"/>
                </v:shape>
                <v:shape id="Shape 16318" style="position:absolute;width:571;height:571;left:0;top:1524;" coordsize="57150,57150" path="m28575,0c32364,0,36009,695,39510,2084c43011,3572,46101,5655,48781,8334c51460,11013,53525,14089,54975,17562c56425,21134,57150,24805,57150,28575c57150,32147,56425,35719,54975,39291c53525,42664,51460,45839,48781,48518c46101,51197,43011,53280,39510,54769c36009,56059,32364,56952,28575,57150c24786,56952,21141,56059,17640,54769c14139,53280,11049,51197,8369,48518c5690,45839,3625,42664,2175,39291c725,35719,0,32147,0,28575c0,24805,725,21134,2175,17562c3625,14089,5690,11013,8369,8334c11049,5655,14139,3572,17640,2084c21141,695,24786,0,28575,0x">
                  <v:stroke weight="0pt" endcap="flat" joinstyle="miter" miterlimit="10" on="false" color="#000000" opacity="0"/>
                  <v:fill on="true" color="#333333"/>
                </v:shape>
                <v:shape id="Shape 16320" style="position:absolute;width:571;height:571;left:0;top:3048;" coordsize="57150,57150" path="m28575,0c32364,0,36009,595,39510,1885c43011,3373,46101,5457,48781,8334c51460,10815,53525,13990,54975,17363c56425,20836,57150,24507,57150,28575c57150,32246,56425,35818,54975,39390c53525,42863,51460,45938,48781,48617c46101,51296,43011,53380,39510,54868c36009,56257,32364,56952,28575,57150c24786,56952,21141,56257,17640,54868c14139,53380,11049,51296,8369,48617c5690,45938,3625,42863,2175,39390c725,35818,0,32246,0,28575c0,24507,725,20836,2175,17363c3625,13990,5690,10815,8369,8334c11049,5457,14139,3373,17640,1885c21141,595,24786,0,28575,0x">
                  <v:stroke weight="0pt" endcap="flat" joinstyle="miter" miterlimit="10" on="false" color="#000000" opacity="0"/>
                  <v:fill on="true" color="#333333"/>
                </v:shape>
                <v:shape id="Shape 16322" style="position:absolute;width:571;height:571;left:0;top:4572;" coordsize="57150,57150" path="m28575,0c32364,0,36009,695,39510,2084c43011,3572,46101,5655,48781,8334c51460,11013,53525,14089,54975,17562c56425,21134,57150,24805,57150,28575c57150,32246,56425,35818,54975,39390c53525,42863,51460,45839,48781,48617c46101,51197,43011,53280,39510,54868c36009,56257,32364,56952,28575,57150c24786,56952,21141,56257,17640,54868c14139,53280,11049,51197,8369,48617c5690,45839,3625,42863,2175,39390c725,35818,0,32246,0,28575c0,24805,725,21134,2175,17562c3625,14089,5690,11013,8369,8334c11049,5655,14139,3572,17640,2084c21141,695,24786,0,28575,0x">
                  <v:stroke weight="0pt" endcap="flat" joinstyle="miter" miterlimit="10" on="false" color="#000000" opacity="0"/>
                  <v:fill on="true" color="#333333"/>
                </v:shape>
                <w10:wrap type="square"/>
              </v:group>
            </w:pict>
          </mc:Fallback>
        </mc:AlternateContent>
      </w:r>
      <w:r>
        <w:t>Тиреостатиче</w:t>
      </w:r>
      <w:r>
        <w:t>ские препараты: тиамазол, пропилтиоурацил.</w:t>
      </w:r>
    </w:p>
    <w:p w:rsidR="008E3F15" w:rsidRDefault="005F449A">
      <w:pPr>
        <w:spacing w:after="31"/>
        <w:ind w:left="340" w:right="15"/>
      </w:pPr>
      <w:r>
        <w:t>β-Адреноблокаторы.</w:t>
      </w:r>
    </w:p>
    <w:p w:rsidR="008E3F15" w:rsidRDefault="005F449A">
      <w:pPr>
        <w:spacing w:after="179"/>
        <w:ind w:left="340" w:right="5269"/>
      </w:pPr>
      <w:r>
        <w:t>Радиоактивный йод (¹³¹I). Тиреоидэктомия.</w:t>
      </w:r>
    </w:p>
    <w:p w:rsidR="008E3F15" w:rsidRDefault="005F449A">
      <w:pPr>
        <w:ind w:left="2" w:right="15"/>
      </w:pPr>
      <w:r>
        <w:rPr>
          <w:i/>
        </w:rPr>
        <w:t>Тиреотоксикоз</w:t>
      </w:r>
      <w:r>
        <w:t xml:space="preserve"> обозначает клиническое состояние, обусловленное неадекватно повышенной активностью гормонов щитовидной железы в тканях, связанное с увелич</w:t>
      </w:r>
      <w:r>
        <w:t>ением уровня тиреоидных гормонов (ATA).</w:t>
      </w:r>
    </w:p>
    <w:p w:rsidR="008E3F15" w:rsidRDefault="005F449A">
      <w:pPr>
        <w:ind w:left="2" w:right="15"/>
      </w:pPr>
      <w:r>
        <w:rPr>
          <w:i/>
        </w:rPr>
        <w:t>Гипертиреоз</w:t>
      </w:r>
      <w:r>
        <w:t xml:space="preserve"> является формой тиреотоксикоза, связанной с повышенной продукцией тиреоидных гормонов щитовидной железой.</w:t>
      </w:r>
    </w:p>
    <w:p w:rsidR="008E3F15" w:rsidRDefault="005F449A">
      <w:pPr>
        <w:spacing w:after="359"/>
        <w:ind w:left="2" w:right="15"/>
      </w:pPr>
      <w:r>
        <w:t>По данным европейских исследований распространенность гипертиреоза составила 0,75% населения (0,7% явного и 2,9% субклинического), у женщин и мужчин 1,4 и 0,3% соответственно (Garmendia Madariaga A. et al., 2014).</w:t>
      </w:r>
    </w:p>
    <w:p w:rsidR="008E3F15" w:rsidRDefault="005F449A">
      <w:pPr>
        <w:pStyle w:val="Heading1"/>
        <w:ind w:left="2"/>
      </w:pPr>
      <w:r>
        <w:t>Часть II. Коморбидные болезни</w:t>
      </w:r>
    </w:p>
    <w:p w:rsidR="008E3F15" w:rsidRDefault="005F449A">
      <w:pPr>
        <w:spacing w:after="165"/>
        <w:ind w:left="2" w:right="15"/>
      </w:pPr>
      <w:r>
        <w:t>Причины и фа</w:t>
      </w:r>
      <w:r>
        <w:t>кторы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1232"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307627" name="Group 307627"/>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6336" name="Shape 1633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38" name="Shape 1633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0" name="Shape 16340"/>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2" name="Shape 16342"/>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5" name="Shape 1634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7" name="Shape 1634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49" name="Shape 16349"/>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5938"/>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7627" style="width:4.5pt;height:88.5pt;position:absolute;mso-position-horizontal-relative:text;mso-position-horizontal:absolute;margin-left:16.5pt;mso-position-vertical-relative:text;margin-top:2.74219pt;" coordsize="571,11239">
                <v:shape id="Shape 16336" style="position:absolute;width:571;height:571;left:0;top:0;" coordsize="57150,57150" path="m28575,0c32364,0,36009,695,39510,2084c43011,3373,46101,5457,48781,8334c51460,10815,53525,13990,54975,17562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6338" style="position:absolute;width:571;height:571;left:0;top:1524;"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340" style="position:absolute;width:571;height:571;left:0;top:3048;"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v:shape id="Shape 16342" style="position:absolute;width:571;height:571;left:0;top:4572;" coordsize="57150,57150" path="m28575,0c32364,0,36009,695,39510,2084c43011,3373,46101,5457,48781,8334c51460,10815,53525,13990,54975,17562c56425,20935,57150,24705,57150,28575c57150,32246,56425,35818,54975,39291c53525,42863,51460,45938,48781,48816c46101,51296,43011,53380,39510,54769c36009,56257,32364,56952,28575,57150c24786,56952,21141,56257,17640,54769c14139,53380,11049,51296,8369,48816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345" style="position:absolute;width:571;height:571;left:0;top:7620;" coordsize="57150,57150" path="m28575,0c32364,0,36009,695,39510,2084c43011,3373,46101,5457,48781,8334c51460,10815,53525,13990,54975,17562c56425,20935,57150,24705,57150,28575c57150,32246,56425,35818,54975,39291c53525,42863,51460,45938,48781,48816c46101,51296,43011,53380,39510,54769c36009,56257,32364,56952,28575,57150c24786,56952,21141,56257,17640,54769c14139,53380,11049,51296,8369,48816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347" style="position:absolute;width:571;height:571;left:0;top:9144;"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v:shape id="Shape 16349" style="position:absolute;width:571;height:571;left:0;top:10668;" coordsize="57150,57150" path="m28575,0c32364,0,36009,695,39510,2084c43011,3373,46101,5457,48781,8334c51460,10815,53525,13990,54975,17562c56425,20935,57150,24705,57150,28575c57150,32246,56425,35818,54975,39291c53525,42664,51460,45938,48781,48816c46101,51296,43011,53380,39510,54769c36009,56257,32364,56952,28575,57150c24786,56952,21141,56257,17640,54769c14139,53380,11049,51296,8369,48816c5690,45938,3625,42664,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Болезнь Грейвса (токсический диффузный зоб).</w:t>
      </w:r>
    </w:p>
    <w:p w:rsidR="008E3F15" w:rsidRDefault="005F449A">
      <w:pPr>
        <w:spacing w:after="31"/>
        <w:ind w:left="340" w:right="15"/>
      </w:pPr>
      <w:r>
        <w:t>Токсическая аденома.</w:t>
      </w:r>
    </w:p>
    <w:p w:rsidR="008E3F15" w:rsidRDefault="005F449A">
      <w:pPr>
        <w:spacing w:after="31"/>
        <w:ind w:left="340" w:right="15"/>
      </w:pPr>
      <w:r>
        <w:t>Токсический многоузловой зоб.</w:t>
      </w:r>
    </w:p>
    <w:p w:rsidR="008E3F15" w:rsidRDefault="005F449A">
      <w:pPr>
        <w:ind w:left="340" w:right="15"/>
      </w:pPr>
      <w:r>
        <w:t>Тиреоидиты: подострый, послеродовый, лимфоцитарный, лекарственный, COVIDиндуцированный.</w:t>
      </w:r>
    </w:p>
    <w:p w:rsidR="008E3F15" w:rsidRDefault="005F449A">
      <w:pPr>
        <w:spacing w:after="31"/>
        <w:ind w:left="340" w:right="15"/>
      </w:pPr>
      <w:r>
        <w:t>Йод-индуцированный гипертиреоз: амиодарон, контрастные веще</w:t>
      </w:r>
      <w:r>
        <w:t>ства.</w:t>
      </w:r>
    </w:p>
    <w:p w:rsidR="008E3F15" w:rsidRDefault="005F449A">
      <w:pPr>
        <w:spacing w:after="179"/>
        <w:ind w:left="340" w:right="187"/>
      </w:pPr>
      <w:r>
        <w:t>Гипертиреоз, вызванный препаратами гормонов щитовидной железы. Метастатический рак щитовидной железы.</w:t>
      </w:r>
    </w:p>
    <w:p w:rsidR="008E3F15" w:rsidRDefault="005F449A">
      <w:pPr>
        <w:ind w:left="2" w:right="15"/>
      </w:pPr>
      <w:r>
        <w:t>Наиболее распространенной причиной (80%) гипертиреоза является болезнь Грейвса, обусловленная выработкой антител к рецепторам ТТГ.</w:t>
      </w:r>
    </w:p>
    <w:p w:rsidR="008E3F15" w:rsidRDefault="005F449A">
      <w:pPr>
        <w:spacing w:after="359"/>
        <w:ind w:left="2" w:right="15"/>
      </w:pPr>
      <w:r>
        <w:t>Важность определе</w:t>
      </w:r>
      <w:r>
        <w:t>ния этиологии тиреотоксиокоза связана с разными подходами в лечении. На фоне терапии амиодароном рекомендуют оценить функцию щитовидной железы исходно, затем через 1 и 3 мес после начала лечения и далее с интервалом 3–6 мес.</w:t>
      </w:r>
    </w:p>
    <w:p w:rsidR="008E3F15" w:rsidRDefault="005F449A">
      <w:pPr>
        <w:pStyle w:val="Heading1"/>
        <w:ind w:left="2"/>
      </w:pPr>
      <w:r>
        <w:t>Часть II. Коморбидные болезни</w:t>
      </w:r>
    </w:p>
    <w:p w:rsidR="008E3F15" w:rsidRDefault="005F449A">
      <w:pPr>
        <w:spacing w:after="31"/>
        <w:ind w:left="2" w:right="15"/>
      </w:pPr>
      <w:r>
        <w:t>К</w:t>
      </w:r>
      <w:r>
        <w:t>лассификация</w:t>
      </w:r>
    </w:p>
    <w:p w:rsidR="008E3F15" w:rsidRDefault="005F449A">
      <w:pPr>
        <w:spacing w:after="165"/>
        <w:ind w:left="2" w:right="15"/>
      </w:pPr>
      <w:r>
        <w:t>Статистическое кодирование заболеваний осуществляется по классификации МКБ-10.</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2256" behindDoc="0" locked="0" layoutInCell="1" allowOverlap="1">
                <wp:simplePos x="0" y="0"/>
                <wp:positionH relativeFrom="column">
                  <wp:posOffset>209550</wp:posOffset>
                </wp:positionH>
                <wp:positionV relativeFrom="paragraph">
                  <wp:posOffset>34826</wp:posOffset>
                </wp:positionV>
                <wp:extent cx="57150" cy="1276350"/>
                <wp:effectExtent l="0" t="0" r="0" b="0"/>
                <wp:wrapSquare wrapText="bothSides"/>
                <wp:docPr id="307628" name="Group 307628"/>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6359" name="Shape 16359"/>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1" name="Shape 16361"/>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3" name="Shape 16363"/>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5" name="Shape 16365"/>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7" name="Shape 16367"/>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69" name="Shape 16369"/>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71" name="Shape 16371"/>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73" name="Shape 16373"/>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375" name="Shape 16375"/>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570"/>
                                </a:cubicBezTo>
                                <a:cubicBezTo>
                                  <a:pt x="36009" y="56059"/>
                                  <a:pt x="32364" y="56952"/>
                                  <a:pt x="28575" y="57150"/>
                                </a:cubicBezTo>
                                <a:cubicBezTo>
                                  <a:pt x="24786" y="56952"/>
                                  <a:pt x="21141" y="56059"/>
                                  <a:pt x="17640" y="54570"/>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7628" style="width:4.5pt;height:100.5pt;position:absolute;mso-position-horizontal-relative:text;mso-position-horizontal:absolute;margin-left:16.5pt;mso-position-vertical-relative:text;margin-top:2.74219pt;" coordsize="571,12763">
                <v:shape id="Shape 16359" style="position:absolute;width:571;height:571;left:0;top:0;"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10" on="false" color="#000000" opacity="0"/>
                  <v:fill on="true" color="#333333"/>
                </v:shape>
                <v:shape id="Shape 16361" style="position:absolute;width:571;height:571;left:0;top:1524;"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6363" style="position:absolute;width:571;height:571;left:0;top:3048;"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10" on="false" color="#000000" opacity="0"/>
                  <v:fill on="true" color="#333333"/>
                </v:shape>
                <v:shape id="Shape 16365" style="position:absolute;width:571;height:571;left:0;top:4572;"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6367" style="position:absolute;width:571;height:571;left:0;top:6096;"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10" on="false" color="#000000" opacity="0"/>
                  <v:fill on="true" color="#333333"/>
                </v:shape>
                <v:shape id="Shape 16369" style="position:absolute;width:571;height:571;left:0;top:7620;" coordsize="57150,57150" path="m28575,0c32364,0,36009,595,39510,1885c43011,3373,46101,5457,48781,8136c51460,10815,53525,13990,54975,17363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363c3625,13990,5690,10815,8369,8136c11049,5457,14139,3373,17640,1885c21141,595,24786,0,28575,0x">
                  <v:stroke weight="0pt" endcap="flat" joinstyle="miter" miterlimit="10" on="false" color="#000000" opacity="0"/>
                  <v:fill on="true" color="#333333"/>
                </v:shape>
                <v:shape id="Shape 16371" style="position:absolute;width:571;height:571;left:0;top:9144;" coordsize="57150,57150" path="m28575,0c32364,0,36009,695,39510,2084c43011,3572,46101,5655,48781,8136c51460,10716,53525,13791,54975,17363c56425,20836,57150,24507,57150,28575c57150,32147,56425,35719,54975,39291c53525,42664,51460,45839,48781,48617c46101,51197,43011,53280,39510,54769c36009,56059,32364,56952,28575,57150c24786,56952,21141,56059,17640,54769c14139,53280,11049,51197,8369,48617c5690,45839,3625,42664,2175,39291c725,35719,0,32147,0,28575c0,24507,725,20836,2175,17363c3625,13791,5690,10716,8369,8136c11049,5655,14139,3572,17640,2084c21141,695,24786,0,28575,0x">
                  <v:stroke weight="0pt" endcap="flat" joinstyle="miter" miterlimit="10" on="false" color="#000000" opacity="0"/>
                  <v:fill on="true" color="#333333"/>
                </v:shape>
                <v:shape id="Shape 16373" style="position:absolute;width:571;height:571;left:0;top:10668;" coordsize="57150,57150" path="m28575,0c32364,0,36009,695,39510,2084c43011,3373,46101,5457,48781,8136c51460,10815,53525,13990,54975,17363c56425,20836,57150,24507,57150,28575c57150,32246,56425,35818,54975,39291c53525,42664,51460,45839,48781,48617c46101,51197,43011,53280,39510,54570c36009,56257,32364,56952,28575,57150c24786,56952,21141,56257,17640,54570c14139,53280,11049,51197,8369,48617c5690,45839,3625,42664,2175,39291c725,35818,0,32246,0,28575c0,24507,725,20836,2175,17363c3625,13990,5690,10815,8369,8136c11049,5457,14139,3373,17640,2084c21141,695,24786,0,28575,0x">
                  <v:stroke weight="0pt" endcap="flat" joinstyle="miter" miterlimit="10" on="false" color="#000000" opacity="0"/>
                  <v:fill on="true" color="#333333"/>
                </v:shape>
                <v:shape id="Shape 16375" style="position:absolute;width:571;height:571;left:0;top:12192;" coordsize="57150,57150" path="m28575,0c32364,0,36009,695,39510,2084c43011,3572,46101,5655,48781,8334c51460,11013,53525,14089,54975,17562c56425,20935,57150,24705,57150,28575c57150,32147,56425,35719,54975,39291c53525,42664,51460,45839,48781,48617c46101,51197,43011,53280,39510,54570c36009,56059,32364,56952,28575,57150c24786,56952,21141,56059,17640,54570c14139,53280,11049,51197,8369,48617c5690,45839,3625,42664,2175,39291c725,35719,0,32147,0,28575c0,24705,725,20935,2175,17562c3625,14089,5690,11013,8369,8334c11049,5655,14139,3572,17640,2084c21141,695,24786,0,28575,0x">
                  <v:stroke weight="0pt" endcap="flat" joinstyle="miter" miterlimit="10" on="false" color="#000000" opacity="0"/>
                  <v:fill on="true" color="#333333"/>
                </v:shape>
                <w10:wrap type="square"/>
              </v:group>
            </w:pict>
          </mc:Fallback>
        </mc:AlternateContent>
      </w:r>
      <w:r>
        <w:t>Тиреотоксикоз с диффузным зобом [E05.0].</w:t>
      </w:r>
    </w:p>
    <w:p w:rsidR="008E3F15" w:rsidRDefault="005F449A">
      <w:pPr>
        <w:spacing w:after="31"/>
        <w:ind w:left="340" w:right="15"/>
      </w:pPr>
      <w:r>
        <w:t>Тиреотоксикоз с токсической аденомой [E05.1].</w:t>
      </w:r>
    </w:p>
    <w:p w:rsidR="008E3F15" w:rsidRDefault="005F449A">
      <w:pPr>
        <w:spacing w:after="31"/>
        <w:ind w:left="340" w:right="15"/>
      </w:pPr>
      <w:r>
        <w:t>Тиреотоксикоз с токсическим многоузловым зобом [E05.2].</w:t>
      </w:r>
    </w:p>
    <w:p w:rsidR="008E3F15" w:rsidRDefault="005F449A">
      <w:pPr>
        <w:spacing w:after="31"/>
        <w:ind w:left="340" w:right="15"/>
      </w:pPr>
      <w:r>
        <w:t>Тиреотоксикоз с экто</w:t>
      </w:r>
      <w:r>
        <w:t>пической тканью щитовидной железы [E05.3].</w:t>
      </w:r>
    </w:p>
    <w:p w:rsidR="008E3F15" w:rsidRDefault="005F449A">
      <w:pPr>
        <w:spacing w:after="31"/>
        <w:ind w:left="340" w:right="15"/>
      </w:pPr>
      <w:r>
        <w:t>Тиреотоксикоз искусственный [E05.4].</w:t>
      </w:r>
    </w:p>
    <w:p w:rsidR="008E3F15" w:rsidRDefault="005F449A">
      <w:pPr>
        <w:spacing w:after="31"/>
        <w:ind w:left="340" w:right="15"/>
      </w:pPr>
      <w:r>
        <w:t>Тиреотоксический криз [E05.5].</w:t>
      </w:r>
    </w:p>
    <w:p w:rsidR="008E3F15" w:rsidRDefault="005F449A">
      <w:pPr>
        <w:spacing w:after="31"/>
        <w:ind w:left="340" w:right="15"/>
      </w:pPr>
      <w:r>
        <w:t>Другие формы тиреотоксикоза [E05.8].</w:t>
      </w:r>
    </w:p>
    <w:p w:rsidR="008E3F15" w:rsidRDefault="005F449A">
      <w:pPr>
        <w:spacing w:after="31"/>
        <w:ind w:left="340" w:right="15"/>
      </w:pPr>
      <w:r>
        <w:t>Тиреотоксикоз неспецифический [E05.9].</w:t>
      </w:r>
    </w:p>
    <w:p w:rsidR="008E3F15" w:rsidRDefault="005F449A">
      <w:pPr>
        <w:spacing w:after="165"/>
        <w:ind w:left="340" w:right="15"/>
      </w:pPr>
      <w:r>
        <w:t>Тиреотоксическая болезнь сердца [I43.8].</w:t>
      </w:r>
    </w:p>
    <w:p w:rsidR="008E3F15" w:rsidRDefault="005F449A">
      <w:pPr>
        <w:ind w:left="2" w:right="15"/>
      </w:pPr>
      <w:r>
        <w:rPr>
          <w:i/>
        </w:rPr>
        <w:t>Субклинический гипертиреоз</w:t>
      </w:r>
      <w:r>
        <w:t xml:space="preserve"> определяется при низкой концентрации ТТГ с нормальными уровнями Т</w:t>
      </w:r>
      <w:r>
        <w:rPr>
          <w:sz w:val="31"/>
          <w:vertAlign w:val="subscript"/>
        </w:rPr>
        <w:t>3</w:t>
      </w:r>
      <w:r>
        <w:t xml:space="preserve"> и свободного Т</w:t>
      </w:r>
      <w:r>
        <w:rPr>
          <w:sz w:val="31"/>
          <w:vertAlign w:val="subscript"/>
        </w:rPr>
        <w:t>4</w:t>
      </w:r>
      <w:r>
        <w:t xml:space="preserve"> в плазме крови. Этот феномен обусловлен высокой чувствительностью механизма секреции ТТГ к малым изменениям концентрации Т</w:t>
      </w:r>
      <w:r>
        <w:rPr>
          <w:sz w:val="31"/>
          <w:vertAlign w:val="subscript"/>
        </w:rPr>
        <w:t>3</w:t>
      </w:r>
      <w:r>
        <w:t xml:space="preserve"> и Т</w:t>
      </w:r>
      <w:r>
        <w:rPr>
          <w:sz w:val="31"/>
          <w:vertAlign w:val="subscript"/>
        </w:rPr>
        <w:t>4</w:t>
      </w:r>
      <w:r>
        <w:t>.</w:t>
      </w:r>
    </w:p>
    <w:p w:rsidR="008E3F15" w:rsidRDefault="005F449A">
      <w:pPr>
        <w:ind w:left="2" w:right="15"/>
      </w:pPr>
      <w:r>
        <w:t>Важно отметить, что клинические состояния,</w:t>
      </w:r>
      <w:r>
        <w:t xml:space="preserve"> такие как ФП и другие сердечно-сосудистые факторы, метаболический синдром, остеопороз и переломы, исходы беременности, смертность, связаны с изменением уровня гормонов щитовидной железы, особенно свободного Т</w:t>
      </w:r>
      <w:r>
        <w:rPr>
          <w:sz w:val="31"/>
          <w:vertAlign w:val="subscript"/>
        </w:rPr>
        <w:t>4</w:t>
      </w:r>
      <w:r>
        <w:t>, а не ТТГ (Fitzgerald S. et al., 2020).</w:t>
      </w:r>
    </w:p>
    <w:p w:rsidR="008E3F15" w:rsidRDefault="005F449A">
      <w:pPr>
        <w:spacing w:after="179"/>
        <w:ind w:left="2" w:right="15"/>
      </w:pPr>
      <w:r>
        <w:rPr>
          <w:i/>
        </w:rPr>
        <w:t>Явный</w:t>
      </w:r>
      <w:r>
        <w:rPr>
          <w:i/>
        </w:rPr>
        <w:t xml:space="preserve"> гипертиреоз</w:t>
      </w:r>
      <w:r>
        <w:t xml:space="preserve"> включает аномально низкую (обычно неопределяемую) концентрацию ТТГ с повышением уровня Т</w:t>
      </w:r>
      <w:r>
        <w:rPr>
          <w:sz w:val="31"/>
          <w:vertAlign w:val="subscript"/>
        </w:rPr>
        <w:t>3</w:t>
      </w:r>
      <w:r>
        <w:t xml:space="preserve"> и/или свободного Т</w:t>
      </w:r>
      <w:r>
        <w:rPr>
          <w:sz w:val="31"/>
          <w:vertAlign w:val="subscript"/>
        </w:rPr>
        <w:t>4</w:t>
      </w:r>
      <w:r>
        <w:t xml:space="preserve"> в плазме крови. Изолированная гипертироксинемия без снижения ТТГ может быть связана с аномалиями белков плазмы, нетиреоидными болезня</w:t>
      </w:r>
      <w:r>
        <w:t>ми, приемом амиодарона, резистентностью к тиреоидным гормонам. Классификация размеров зоба (ВОЗ):</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3280" behindDoc="0" locked="0" layoutInCell="1" allowOverlap="1">
                <wp:simplePos x="0" y="0"/>
                <wp:positionH relativeFrom="column">
                  <wp:posOffset>209550</wp:posOffset>
                </wp:positionH>
                <wp:positionV relativeFrom="paragraph">
                  <wp:posOffset>34775</wp:posOffset>
                </wp:positionV>
                <wp:extent cx="57150" cy="514350"/>
                <wp:effectExtent l="0" t="0" r="0" b="0"/>
                <wp:wrapSquare wrapText="bothSides"/>
                <wp:docPr id="310468" name="Group 31046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6430" name="Shape 16430"/>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32" name="Shape 16432"/>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35" name="Shape 1643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0468" style="width:4.5pt;height:40.5pt;position:absolute;mso-position-horizontal-relative:text;mso-position-horizontal:absolute;margin-left:16.5pt;mso-position-vertical-relative:text;margin-top:2.73822pt;" coordsize="571,5143">
                <v:shape id="Shape 16430" style="position:absolute;width:571;height:571;left:0;top:0;"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4" on="false" color="#000000" opacity="0"/>
                  <v:fill on="true" color="#333333"/>
                </v:shape>
                <v:shape id="Shape 16432" style="position:absolute;width:571;height:571;left:0;top:1524;"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4" on="false" color="#000000" opacity="0"/>
                  <v:fill on="true" color="#333333"/>
                </v:shape>
                <v:shape id="Shape 16435" style="position:absolute;width:571;height:571;left:0;top:4572;"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4" on="false" color="#000000" opacity="0"/>
                  <v:fill on="true" color="#333333"/>
                </v:shape>
                <w10:wrap type="square"/>
              </v:group>
            </w:pict>
          </mc:Fallback>
        </mc:AlternateContent>
      </w:r>
      <w:r>
        <w:t>0-я степень: размеры каждой доли не превышают дистальной фаланги большого пальца;</w:t>
      </w:r>
    </w:p>
    <w:p w:rsidR="008E3F15" w:rsidRDefault="005F449A">
      <w:pPr>
        <w:ind w:left="340" w:right="15"/>
      </w:pPr>
      <w:r>
        <w:t>1-я степень: размеры зоба больше дистальной фаланги большого пальца, зоб па</w:t>
      </w:r>
      <w:r>
        <w:t>льпируется, но не виден;</w:t>
      </w:r>
    </w:p>
    <w:p w:rsidR="008E3F15" w:rsidRDefault="005F449A">
      <w:pPr>
        <w:spacing w:after="165"/>
        <w:ind w:left="340" w:right="15"/>
      </w:pPr>
      <w:r>
        <w:t>2-я степень: зоб пальпируется и виден на глаз.</w:t>
      </w:r>
    </w:p>
    <w:p w:rsidR="008E3F15" w:rsidRDefault="005F449A">
      <w:pPr>
        <w:ind w:left="2" w:right="232"/>
      </w:pPr>
      <w:r>
        <w:t>Приведем несколько примеров оформления диагноза тиреотоксикоза и гипертиреоза (</w:t>
      </w:r>
      <w:r>
        <w:rPr>
          <w:b/>
        </w:rPr>
        <w:t>табл. 15.1</w:t>
      </w:r>
      <w:r>
        <w:t>).</w:t>
      </w:r>
    </w:p>
    <w:p w:rsidR="008E3F15" w:rsidRDefault="005F449A">
      <w:pPr>
        <w:spacing w:after="31"/>
        <w:ind w:left="2" w:right="15"/>
      </w:pPr>
      <w:r>
        <w:rPr>
          <w:b/>
        </w:rPr>
        <w:t xml:space="preserve">Таблица 15.1. </w:t>
      </w:r>
      <w:r>
        <w:t>Примеры оформления диагноза</w:t>
      </w:r>
    </w:p>
    <w:tbl>
      <w:tblPr>
        <w:tblStyle w:val="TableGrid"/>
        <w:tblW w:w="10485" w:type="dxa"/>
        <w:tblInd w:w="30" w:type="dxa"/>
        <w:tblCellMar>
          <w:top w:w="80" w:type="dxa"/>
          <w:left w:w="43" w:type="dxa"/>
          <w:bottom w:w="0" w:type="dxa"/>
          <w:right w:w="64" w:type="dxa"/>
        </w:tblCellMar>
        <w:tblLook w:val="04A0" w:firstRow="1" w:lastRow="0" w:firstColumn="1" w:lastColumn="0" w:noHBand="0" w:noVBand="1"/>
      </w:tblPr>
      <w:tblGrid>
        <w:gridCol w:w="9195"/>
        <w:gridCol w:w="1290"/>
      </w:tblGrid>
      <w:tr w:rsidR="008E3F15">
        <w:trPr>
          <w:trHeight w:val="570"/>
        </w:trPr>
        <w:tc>
          <w:tcPr>
            <w:tcW w:w="91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rPr>
                <w:b/>
              </w:rPr>
              <w:t>Диагноз</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Аутоиммунный тиреоидит, гипотиреоз, декомпенсация</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E06.3</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Фибрилляция предсердий постоянная, EHRA 2a. Радиойодтерапия болезни Грейвса (12.2022), гипотиреоз</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I48.2</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Болезнь Грейвса, дилатационная кардиомиопатия, персистирующая фибрилляция предсердий, сердечная недостаточность NYHA II</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I43.8</w:t>
            </w:r>
          </w:p>
        </w:tc>
      </w:tr>
      <w:tr w:rsidR="008E3F15">
        <w:trPr>
          <w:trHeight w:val="5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Пароксизмальная фибрилляция предсердий, EHRA 2б. Амиодарониндуцированный тиреотоксикоз II типа</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I48.0, E05.4</w:t>
            </w:r>
          </w:p>
        </w:tc>
      </w:tr>
      <w:tr w:rsidR="008E3F15">
        <w:trPr>
          <w:trHeight w:val="3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Стабильная стенокард</w:t>
            </w:r>
            <w:r>
              <w:t>ия II ФК. Субклинический гипертиреоз</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I20.8</w:t>
            </w:r>
          </w:p>
        </w:tc>
      </w:tr>
    </w:tbl>
    <w:p w:rsidR="008E3F15" w:rsidRDefault="005F449A">
      <w:pPr>
        <w:pStyle w:val="Heading1"/>
        <w:ind w:left="2"/>
      </w:pPr>
      <w:r>
        <w:t>Часть II. Коморбидные болезни</w:t>
      </w:r>
    </w:p>
    <w:p w:rsidR="008E3F15" w:rsidRDefault="005F449A">
      <w:pPr>
        <w:spacing w:after="31"/>
        <w:ind w:left="2" w:right="15"/>
      </w:pPr>
      <w:r>
        <w:t>Диагностика</w:t>
      </w:r>
    </w:p>
    <w:p w:rsidR="008E3F15" w:rsidRDefault="005F449A">
      <w:pPr>
        <w:spacing w:after="179"/>
        <w:ind w:left="2" w:right="15"/>
      </w:pPr>
      <w:r>
        <w:rPr>
          <w:b/>
        </w:rPr>
        <w:t>Клиническая картина.</w:t>
      </w:r>
      <w:r>
        <w:t xml:space="preserve"> Субъективные проявления тиреотоксикоза включают следующие неспецифические симптомы.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4304" behindDoc="0" locked="0" layoutInCell="1" allowOverlap="1">
                <wp:simplePos x="0" y="0"/>
                <wp:positionH relativeFrom="column">
                  <wp:posOffset>209550</wp:posOffset>
                </wp:positionH>
                <wp:positionV relativeFrom="paragraph">
                  <wp:posOffset>34826</wp:posOffset>
                </wp:positionV>
                <wp:extent cx="57150" cy="1428750"/>
                <wp:effectExtent l="0" t="0" r="0" b="0"/>
                <wp:wrapSquare wrapText="bothSides"/>
                <wp:docPr id="310470" name="Group 310470"/>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16464" name="Shape 16464"/>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66" name="Shape 16466"/>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68" name="Shape 1646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264"/>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264"/>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70" name="Shape 16470"/>
                        <wps:cNvSpPr/>
                        <wps:spPr>
                          <a:xfrm>
                            <a:off x="0" y="4572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72" name="Shape 16472"/>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74" name="Shape 16474"/>
                        <wps:cNvSpPr/>
                        <wps:spPr>
                          <a:xfrm>
                            <a:off x="0" y="7620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183"/>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76" name="Shape 16476"/>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78" name="Shape 16478"/>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80" name="Shape 16480"/>
                        <wps:cNvSpPr/>
                        <wps:spPr>
                          <a:xfrm>
                            <a:off x="0" y="12192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82" name="Shape 16482"/>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0470" style="width:4.5pt;height:112.5pt;position:absolute;mso-position-horizontal-relative:text;mso-position-horizontal:absolute;margin-left:16.5pt;mso-position-vertical-relative:text;margin-top:2.74219pt;" coordsize="571,14287">
                <v:shape id="Shape 16464" style="position:absolute;width:571;height:571;left:0;top:0;" coordsize="57150,57150" path="m28575,0c32364,0,36009,695,39510,2084c43011,3373,46101,5457,48781,8136c51460,10716,53525,13791,54975,17363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363c3625,13791,5690,10716,8369,8136c11049,5457,14139,3373,17640,2084c21141,695,24786,0,28575,0x">
                  <v:stroke weight="0pt" endcap="flat" joinstyle="miter" miterlimit="4" on="false" color="#000000" opacity="0"/>
                  <v:fill on="true" color="#333333"/>
                </v:shape>
                <v:shape id="Shape 16466" style="position:absolute;width:571;height:571;left:0;top:1524;" coordsize="57150,57150" path="m28575,0c32364,0,36009,695,39510,2084c43011,3373,46101,5358,48781,8136c51460,10716,53525,13791,54975,17363c56425,20836,57150,24507,57150,28575c57150,32246,56425,35818,54975,39291c53525,42664,51460,45839,48781,48617c46101,51296,43011,53380,39510,54769c36009,56257,32364,56952,28575,57150c24786,56952,21141,56257,17640,54769c14139,53380,11049,51296,8369,48617c5690,45839,3625,42664,2175,39291c725,35818,0,32246,0,28575c0,24507,725,20836,2175,17363c3625,13791,5690,10716,8369,8136c11049,5358,14139,3373,17640,2084c21141,695,24786,0,28575,0x">
                  <v:stroke weight="0pt" endcap="flat" joinstyle="miter" miterlimit="4" on="false" color="#000000" opacity="0"/>
                  <v:fill on="true" color="#333333"/>
                </v:shape>
                <v:shape id="Shape 16468" style="position:absolute;width:571;height:571;left:0;top:3048;" coordsize="57150,57150" path="m28575,0c32364,0,36009,695,39510,2084c43011,3373,46101,5457,48781,8136c51460,10716,53525,13791,54975,17264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264c3625,13791,5690,10716,8369,8136c11049,5457,14139,3373,17640,2084c21141,695,24786,0,28575,0x">
                  <v:stroke weight="0pt" endcap="flat" joinstyle="miter" miterlimit="4" on="false" color="#000000" opacity="0"/>
                  <v:fill on="true" color="#333333"/>
                </v:shape>
                <v:shape id="Shape 16470" style="position:absolute;width:571;height:571;left:0;top:4572;" coordsize="57150,57150" path="m28575,0c32364,0,36009,695,39510,2183c43011,3572,46101,5655,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655,14139,3572,17640,2183c21141,695,24786,0,28575,0x">
                  <v:stroke weight="0pt" endcap="flat" joinstyle="miter" miterlimit="4" on="false" color="#000000" opacity="0"/>
                  <v:fill on="true" color="#333333"/>
                </v:shape>
                <v:shape id="Shape 16472" style="position:absolute;width:571;height:571;left:0;top:6096;" coordsize="57150,57150" path="m28575,0c32364,0,36009,695,39510,2084c43011,3373,46101,5457,48781,8334c51460,10815,53525,13990,54975,17363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363c3625,13990,5690,10815,8369,8334c11049,5457,14139,3373,17640,2084c21141,695,24786,0,28575,0x">
                  <v:stroke weight="0pt" endcap="flat" joinstyle="miter" miterlimit="4" on="false" color="#000000" opacity="0"/>
                  <v:fill on="true" color="#333333"/>
                </v:shape>
                <v:shape id="Shape 16474" style="position:absolute;width:571;height:571;left:0;top:7620;" coordsize="57150,57150" path="m28575,0c32364,0,36009,695,39510,2183c43011,3572,46101,5655,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655,14139,3572,17640,2183c21141,695,24786,0,28575,0x">
                  <v:stroke weight="0pt" endcap="flat" joinstyle="miter" miterlimit="4" on="false" color="#000000" opacity="0"/>
                  <v:fill on="true" color="#333333"/>
                </v:shape>
                <v:shape id="Shape 16476" style="position:absolute;width:571;height:571;left:0;top:9144;" coordsize="57150,57150" path="m28575,0c32364,0,36009,595,39510,1885c43011,3373,46101,5457,48781,8334c51460,10815,53525,13990,54975,17363c56425,20935,57150,24705,57150,28575c57150,32246,56425,35818,54975,39291c53525,42664,51460,45839,48781,48617c46101,51197,43011,53280,39510,54769c36009,56356,32364,57150,28575,57150c24786,57150,21141,56356,17640,54769c14139,53280,11049,51197,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6478" style="position:absolute;width:571;height:571;left:0;top:10668;" coordsize="57150,57150" path="m28575,0c32364,0,36009,695,39510,2084c43011,3572,46101,5655,48781,8334c51460,10815,53525,13990,54975,17363c56425,20935,57150,24705,57150,28575c57150,32246,56425,35818,54975,39291c53525,42664,51460,45839,48781,48617c46101,51197,43011,53280,39510,54769c36009,56059,32364,56952,28575,57150c24786,56952,21141,56059,17640,54769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6480" style="position:absolute;width:571;height:571;left:0;top:12192;" coordsize="57150,57150" path="m28575,0c32364,0,36009,595,39510,1885c43011,3373,46101,5457,48781,8334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6482" style="position:absolute;width:571;height:571;left:0;top:13716;" coordsize="57150,57150" path="m28575,0c32364,0,36009,695,39510,2084c43011,3572,46101,5655,48781,8334c51460,10815,53525,13990,54975,17363c56425,20935,57150,24705,57150,28575c57150,32246,56425,36016,54975,39390c53525,42863,51460,45938,48781,48816c46101,51296,43011,53380,39510,54868c36009,56257,32364,56952,28575,57150c24786,56952,21141,56257,17640,54868c14139,53380,11049,51296,8369,48816c5690,45938,3625,42863,2175,39390c725,36016,0,32246,0,28575c0,24705,725,20935,2175,17363c3625,13990,5690,10815,8369,8334c11049,5655,14139,3572,17640,2084c21141,695,24786,0,28575,0x">
                  <v:stroke weight="0pt" endcap="flat" joinstyle="miter" miterlimit="4" on="false" color="#000000" opacity="0"/>
                  <v:fill on="true" color="#333333"/>
                </v:shape>
                <w10:wrap type="square"/>
              </v:group>
            </w:pict>
          </mc:Fallback>
        </mc:AlternateContent>
      </w:r>
      <w:r>
        <w:t>Непереносимость жары, потливость.</w:t>
      </w:r>
    </w:p>
    <w:p w:rsidR="008E3F15" w:rsidRDefault="005F449A">
      <w:pPr>
        <w:spacing w:after="31"/>
        <w:ind w:left="340" w:right="15"/>
      </w:pPr>
      <w:r>
        <w:t>Тревога.</w:t>
      </w:r>
    </w:p>
    <w:p w:rsidR="008E3F15" w:rsidRDefault="005F449A">
      <w:pPr>
        <w:spacing w:after="31"/>
        <w:ind w:left="340" w:right="15"/>
      </w:pPr>
      <w:r>
        <w:t>Учащенное сердцебиение.</w:t>
      </w:r>
    </w:p>
    <w:p w:rsidR="008E3F15" w:rsidRDefault="005F449A">
      <w:pPr>
        <w:spacing w:after="31"/>
        <w:ind w:left="340" w:right="15"/>
      </w:pPr>
      <w:r>
        <w:t>Повышенная утомляемость.</w:t>
      </w:r>
    </w:p>
    <w:p w:rsidR="008E3F15" w:rsidRDefault="005F449A">
      <w:pPr>
        <w:spacing w:after="31"/>
        <w:ind w:left="340" w:right="15"/>
      </w:pPr>
      <w:r>
        <w:t>Одышка при физической нагрузке.</w:t>
      </w:r>
    </w:p>
    <w:p w:rsidR="008E3F15" w:rsidRDefault="005F449A">
      <w:pPr>
        <w:spacing w:after="31"/>
        <w:ind w:left="340" w:right="15"/>
      </w:pPr>
      <w:r>
        <w:t>Нарушение сна.</w:t>
      </w:r>
    </w:p>
    <w:p w:rsidR="008E3F15" w:rsidRDefault="005F449A">
      <w:pPr>
        <w:spacing w:after="31"/>
        <w:ind w:left="340" w:right="15"/>
      </w:pPr>
      <w:r>
        <w:t>Слабость проксимальных мышц.</w:t>
      </w:r>
    </w:p>
    <w:p w:rsidR="008E3F15" w:rsidRDefault="005F449A">
      <w:pPr>
        <w:spacing w:after="31"/>
        <w:ind w:left="340" w:right="15"/>
      </w:pPr>
      <w:r>
        <w:t>Гипердефекация, диарея.</w:t>
      </w:r>
    </w:p>
    <w:p w:rsidR="008E3F15" w:rsidRDefault="005F449A">
      <w:pPr>
        <w:spacing w:after="31"/>
        <w:ind w:left="340" w:right="15"/>
      </w:pPr>
      <w:r>
        <w:t>Зуд.</w:t>
      </w:r>
    </w:p>
    <w:p w:rsidR="008E3F15" w:rsidRDefault="005F449A">
      <w:pPr>
        <w:spacing w:after="165"/>
        <w:ind w:left="340" w:right="15"/>
      </w:pPr>
      <w:r>
        <w:t>Жажда и полиурия.</w:t>
      </w:r>
    </w:p>
    <w:p w:rsidR="008E3F15" w:rsidRDefault="005F449A">
      <w:pPr>
        <w:spacing w:after="165"/>
        <w:ind w:left="2" w:right="15"/>
      </w:pPr>
      <w:r>
        <w:t>При объективном обследовании обращают внимание на клинические проявления.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5328" behindDoc="0" locked="0" layoutInCell="1" allowOverlap="1">
                <wp:simplePos x="0" y="0"/>
                <wp:positionH relativeFrom="column">
                  <wp:posOffset>209550</wp:posOffset>
                </wp:positionH>
                <wp:positionV relativeFrom="paragraph">
                  <wp:posOffset>34826</wp:posOffset>
                </wp:positionV>
                <wp:extent cx="57150" cy="1123950"/>
                <wp:effectExtent l="0" t="0" r="0" b="0"/>
                <wp:wrapSquare wrapText="bothSides"/>
                <wp:docPr id="310473" name="Group 310473"/>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16485" name="Shape 16485"/>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147"/>
                                  <a:pt x="56425" y="35719"/>
                                  <a:pt x="54975" y="39291"/>
                                </a:cubicBezTo>
                                <a:cubicBezTo>
                                  <a:pt x="53525" y="42664"/>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664"/>
                                  <a:pt x="2175" y="39291"/>
                                </a:cubicBezTo>
                                <a:cubicBezTo>
                                  <a:pt x="725" y="35719"/>
                                  <a:pt x="0" y="32147"/>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87" name="Shape 16487"/>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89" name="Shape 1648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1134"/>
                                  <a:pt x="57150" y="24805"/>
                                  <a:pt x="57150" y="28575"/>
                                </a:cubicBezTo>
                                <a:cubicBezTo>
                                  <a:pt x="57150" y="32246"/>
                                  <a:pt x="56425" y="35818"/>
                                  <a:pt x="54975" y="39390"/>
                                </a:cubicBezTo>
                                <a:cubicBezTo>
                                  <a:pt x="53525" y="42863"/>
                                  <a:pt x="51460" y="45938"/>
                                  <a:pt x="48781" y="48816"/>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816"/>
                                </a:cubicBezTo>
                                <a:cubicBezTo>
                                  <a:pt x="5690" y="45938"/>
                                  <a:pt x="3625" y="42863"/>
                                  <a:pt x="2175" y="39390"/>
                                </a:cubicBezTo>
                                <a:cubicBezTo>
                                  <a:pt x="725" y="35818"/>
                                  <a:pt x="0" y="32246"/>
                                  <a:pt x="0" y="28575"/>
                                </a:cubicBezTo>
                                <a:cubicBezTo>
                                  <a:pt x="0" y="24805"/>
                                  <a:pt x="725" y="21134"/>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91" name="Shape 16491"/>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93" name="Shape 16493"/>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95" name="Shape 16495"/>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97" name="Shape 1649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1013"/>
                                  <a:pt x="53525" y="14089"/>
                                  <a:pt x="54975" y="17562"/>
                                </a:cubicBezTo>
                                <a:cubicBezTo>
                                  <a:pt x="56425" y="20935"/>
                                  <a:pt x="57150" y="24705"/>
                                  <a:pt x="57150" y="28575"/>
                                </a:cubicBezTo>
                                <a:cubicBezTo>
                                  <a:pt x="57150" y="32246"/>
                                  <a:pt x="56425" y="35818"/>
                                  <a:pt x="54975" y="39390"/>
                                </a:cubicBezTo>
                                <a:cubicBezTo>
                                  <a:pt x="53525" y="42863"/>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863"/>
                                  <a:pt x="2175" y="39390"/>
                                </a:cubicBezTo>
                                <a:cubicBezTo>
                                  <a:pt x="725" y="35818"/>
                                  <a:pt x="0" y="32246"/>
                                  <a:pt x="0" y="28575"/>
                                </a:cubicBezTo>
                                <a:cubicBezTo>
                                  <a:pt x="0" y="24705"/>
                                  <a:pt x="725" y="20935"/>
                                  <a:pt x="2175" y="17562"/>
                                </a:cubicBezTo>
                                <a:cubicBezTo>
                                  <a:pt x="3625" y="14089"/>
                                  <a:pt x="5690" y="11013"/>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499" name="Shape 16499"/>
                        <wps:cNvSpPr/>
                        <wps:spPr>
                          <a:xfrm>
                            <a:off x="0" y="1066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0473" style="width:4.5pt;height:88.5pt;position:absolute;mso-position-horizontal-relative:text;mso-position-horizontal:absolute;margin-left:16.5pt;mso-position-vertical-relative:text;margin-top:2.74219pt;" coordsize="571,11239">
                <v:shape id="Shape 16485" style="position:absolute;width:571;height:571;left:0;top:0;" coordsize="57150,57150" path="m28575,0c32364,0,36009,695,39510,2084c43011,3572,46101,5655,48781,8334c51460,11013,53525,14089,54975,17562c56425,21134,57150,24805,57150,28575c57150,32147,56425,35719,54975,39291c53525,42664,51460,45938,48781,48816c46101,51296,43011,53380,39510,54868c36009,56257,32364,56952,28575,57150c24786,56952,21141,56257,17640,54868c14139,53380,11049,51296,8369,48816c5690,45938,3625,42664,2175,39291c725,35719,0,32147,0,28575c0,24805,725,21134,2175,17562c3625,14089,5690,11013,8369,8334c11049,5655,14139,3572,17640,2084c21141,695,24786,0,28575,0x">
                  <v:stroke weight="0pt" endcap="flat" joinstyle="miter" miterlimit="4" on="false" color="#000000" opacity="0"/>
                  <v:fill on="true" color="#333333"/>
                </v:shape>
                <v:shape id="Shape 16487" style="position:absolute;width:571;height:571;left:0;top:1524;" coordsize="57150,57150" path="m28575,0c32364,0,36009,595,39510,1885c43011,3373,46101,5457,48781,8334c51460,10815,53525,13990,54975,17363c56425,20935,57150,24705,57150,28575c57150,32246,56425,35818,54975,39390c53525,42863,51460,45938,48781,48816c46101,51296,43011,53380,39510,54868c36009,56257,32364,56952,28575,57150c24786,56952,21141,56257,17640,54868c14139,53380,11049,51296,8369,48816c5690,45938,3625,42863,2175,39390c725,35818,0,32246,0,28575c0,24705,725,20935,2175,17363c3625,13990,5690,10815,8369,8334c11049,5457,14139,3373,17640,1885c21141,595,24786,0,28575,0x">
                  <v:stroke weight="0pt" endcap="flat" joinstyle="miter" miterlimit="4" on="false" color="#000000" opacity="0"/>
                  <v:fill on="true" color="#333333"/>
                </v:shape>
                <v:shape id="Shape 16489" style="position:absolute;width:571;height:571;left:0;top:3048;" coordsize="57150,57150" path="m28575,0c32364,0,36009,695,39510,2084c43011,3572,46101,5655,48781,8334c51460,11013,53525,14089,54975,17562c56425,21134,57150,24805,57150,28575c57150,32246,56425,35818,54975,39390c53525,42863,51460,45938,48781,48816c46101,51296,43011,53380,39510,54868c36009,56257,32364,56952,28575,57150c24786,56952,21141,56257,17640,54868c14139,53380,11049,51296,8369,48816c5690,45938,3625,42863,2175,39390c725,35818,0,32246,0,28575c0,24805,725,21134,2175,17562c3625,14089,5690,11013,8369,8334c11049,5655,14139,3572,17640,2084c21141,695,24786,0,28575,0x">
                  <v:stroke weight="0pt" endcap="flat" joinstyle="miter" miterlimit="4" on="false" color="#000000" opacity="0"/>
                  <v:fill on="true" color="#333333"/>
                </v:shape>
                <v:shape id="Shape 16491" style="position:absolute;width:571;height:571;left:0;top:4572;" coordsize="57150,57150" path="m28575,0c32364,0,36009,595,39510,1885c43011,3373,46101,5457,48781,8334c51460,10815,53525,13990,54975,17363c56425,20836,57150,24507,57150,28575c57150,32246,56425,35818,54975,39390c53525,42863,51460,45938,48781,48617c46101,51296,43011,53380,39510,54868c36009,56257,32364,56952,28575,57150c24786,56952,21141,56257,17640,54868c14139,53380,11049,51296,8369,48617c5690,45938,3625,42863,2175,39390c725,35818,0,32246,0,28575c0,24507,725,20836,2175,17363c3625,13990,5690,10815,8369,8334c11049,5457,14139,3373,17640,1885c21141,595,24786,0,28575,0x">
                  <v:stroke weight="0pt" endcap="flat" joinstyle="miter" miterlimit="4" on="false" color="#000000" opacity="0"/>
                  <v:fill on="true" color="#333333"/>
                </v:shape>
                <v:shape id="Shape 16493" style="position:absolute;width:571;height:571;left:0;top:6096;" coordsize="57150,57150" path="m28575,0c32364,0,36009,695,39510,2084c43011,3572,46101,5655,48781,8334c51460,11013,53525,14089,54975,17562c56425,20935,57150,24705,57150,28575c57150,32246,56425,35818,54975,39390c53525,42863,51460,45839,48781,48617c46101,51197,43011,53280,39510,54868c36009,56257,32364,56952,28575,57150c24786,56952,21141,56257,17640,54868c14139,53280,11049,51197,8369,48617c5690,45839,3625,42863,2175,39390c725,35818,0,32246,0,28575c0,24705,725,20935,2175,17562c3625,14089,5690,11013,8369,8334c11049,5655,14139,3572,17640,2084c21141,695,24786,0,28575,0x">
                  <v:stroke weight="0pt" endcap="flat" joinstyle="miter" miterlimit="4" on="false" color="#000000" opacity="0"/>
                  <v:fill on="true" color="#333333"/>
                </v:shape>
                <v:shape id="Shape 16495" style="position:absolute;width:571;height:571;left:0;top:7620;" coordsize="57150,57150" path="m28575,0c32364,0,36009,595,39510,1885c43011,3373,46101,5457,48781,8334c51460,10815,53525,13990,54975,17363c56425,20836,57150,24507,57150,28575c57150,32246,56425,35818,54975,39390c53525,42863,51460,45938,48781,48617c46101,51296,43011,53380,39510,54868c36009,56257,32364,56952,28575,57150c24786,56952,21141,56257,17640,54868c14139,53380,11049,51296,8369,48617c5690,45938,3625,42863,2175,39390c725,35818,0,32246,0,28575c0,24507,725,20836,2175,17363c3625,13990,5690,10815,8369,8334c11049,5457,14139,3373,17640,1885c21141,595,24786,0,28575,0x">
                  <v:stroke weight="0pt" endcap="flat" joinstyle="miter" miterlimit="4" on="false" color="#000000" opacity="0"/>
                  <v:fill on="true" color="#333333"/>
                </v:shape>
                <v:shape id="Shape 16497" style="position:absolute;width:571;height:571;left:0;top:9144;" coordsize="57150,57150" path="m28575,0c32364,0,36009,695,39510,2084c43011,3572,46101,5655,48781,8334c51460,11013,53525,14089,54975,17562c56425,20935,57150,24705,57150,28575c57150,32246,56425,35818,54975,39390c53525,42863,51460,45839,48781,48617c46101,51197,43011,53280,39510,54868c36009,56257,32364,56952,28575,57150c24786,56952,21141,56257,17640,54868c14139,53280,11049,51197,8369,48617c5690,45839,3625,42863,2175,39390c725,35818,0,32246,0,28575c0,24705,725,20935,2175,17562c3625,14089,5690,11013,8369,8334c11049,5655,14139,3572,17640,2084c21141,695,24786,0,28575,0x">
                  <v:stroke weight="0pt" endcap="flat" joinstyle="miter" miterlimit="4" on="false" color="#000000" opacity="0"/>
                  <v:fill on="true" color="#333333"/>
                </v:shape>
                <v:shape id="Shape 16499" style="position:absolute;width:571;height:571;left:0;top:10668;" coordsize="57150,57150" path="m28575,0c32364,0,36009,595,39510,1885c43011,3373,46101,5457,48781,8136c51460,10815,53525,13990,54975,17363c56425,20836,57150,24507,57150,28575c57150,32246,56425,35818,54975,39390c53525,42863,51460,45938,48781,48617c46101,51296,43011,53380,39510,54868c36009,56257,32364,56952,28575,57150c24786,56952,21141,56257,17640,54868c14139,53380,11049,51296,8369,48617c5690,45938,3625,42863,2175,39390c725,35818,0,32246,0,28575c0,24507,725,20836,2175,17363c3625,13990,5690,10815,8369,8136c11049,5457,14139,3373,17640,1885c21141,595,24786,0,28575,0x">
                  <v:stroke weight="0pt" endcap="flat" joinstyle="miter" miterlimit="4" on="false" color="#000000" opacity="0"/>
                  <v:fill on="true" color="#333333"/>
                </v:shape>
                <w10:wrap type="square"/>
              </v:group>
            </w:pict>
          </mc:Fallback>
        </mc:AlternateContent>
      </w:r>
      <w:r>
        <w:t>Зоб: диффузный, узловой.</w:t>
      </w:r>
    </w:p>
    <w:p w:rsidR="008E3F15" w:rsidRDefault="005F449A">
      <w:pPr>
        <w:spacing w:after="31"/>
        <w:ind w:left="340" w:right="15"/>
      </w:pPr>
      <w:r>
        <w:t>Синусовая тахикардия, ФП.</w:t>
      </w:r>
    </w:p>
    <w:p w:rsidR="008E3F15" w:rsidRDefault="005F449A">
      <w:pPr>
        <w:spacing w:after="31"/>
        <w:ind w:left="340" w:right="15"/>
      </w:pPr>
      <w:r>
        <w:t>Тремор мелковолновый симметричный.</w:t>
      </w:r>
    </w:p>
    <w:p w:rsidR="008E3F15" w:rsidRDefault="005F449A">
      <w:pPr>
        <w:spacing w:after="31"/>
        <w:ind w:left="340" w:right="15"/>
      </w:pPr>
      <w:r>
        <w:t>Экзофтальм, периорбитальный отек, отставание век при движении глаз.</w:t>
      </w:r>
    </w:p>
    <w:p w:rsidR="008E3F15" w:rsidRDefault="005F449A">
      <w:pPr>
        <w:spacing w:after="31"/>
        <w:ind w:left="340" w:right="15"/>
      </w:pPr>
      <w:r>
        <w:t>Потеря веса при сохраненном аппетите.</w:t>
      </w:r>
    </w:p>
    <w:p w:rsidR="008E3F15" w:rsidRDefault="005F449A">
      <w:pPr>
        <w:spacing w:after="31"/>
        <w:ind w:left="340" w:right="15"/>
      </w:pPr>
      <w:r>
        <w:t>Горячие и влажные ладони.</w:t>
      </w:r>
    </w:p>
    <w:p w:rsidR="008E3F15" w:rsidRDefault="005F449A">
      <w:pPr>
        <w:spacing w:after="201"/>
        <w:ind w:left="340" w:right="4147"/>
      </w:pPr>
      <w:r>
        <w:t xml:space="preserve">Претибиальная дермопатия (микседема). </w:t>
      </w:r>
      <w:r>
        <w:t>Акропатия.</w:t>
      </w:r>
    </w:p>
    <w:p w:rsidR="008E3F15" w:rsidRDefault="005F449A">
      <w:pPr>
        <w:ind w:left="2" w:right="15"/>
      </w:pPr>
      <w:r>
        <w:t>Клиническая симптоматика значимо отличается в зависимости от формы тиреотоксикоза: Т</w:t>
      </w:r>
      <w:r>
        <w:rPr>
          <w:sz w:val="31"/>
          <w:vertAlign w:val="subscript"/>
        </w:rPr>
        <w:t>4</w:t>
      </w:r>
      <w:r>
        <w:t>тиреотоксикоз включает общие и сердечно-сосудистые симптомы, а Т</w:t>
      </w:r>
      <w:r>
        <w:rPr>
          <w:sz w:val="31"/>
          <w:vertAlign w:val="subscript"/>
        </w:rPr>
        <w:t>3</w:t>
      </w:r>
      <w:r>
        <w:t>-тиреотоксикоз, встречающийся чаще в старших возрастных группах и зонах йододефицита, нередко п</w:t>
      </w:r>
      <w:r>
        <w:t>роявляется изолированными сердечными симптомами.</w:t>
      </w:r>
    </w:p>
    <w:p w:rsidR="008E3F15" w:rsidRDefault="005F449A">
      <w:pPr>
        <w:ind w:left="2" w:right="15"/>
      </w:pPr>
      <w:r>
        <w:t>У пожилых пациентов тиреотоксикоз чаще проявляется снижением аппетита и массы тела, СН и ФП.</w:t>
      </w:r>
    </w:p>
    <w:p w:rsidR="008E3F15" w:rsidRDefault="005F449A">
      <w:pPr>
        <w:ind w:left="2" w:right="15"/>
      </w:pPr>
      <w:r>
        <w:t xml:space="preserve">Следует отметить, что для тиреотоксикоза установлена связь только с ФП, но не с другими аритмиями сердца, включая </w:t>
      </w:r>
      <w:r>
        <w:t>ЭС.</w:t>
      </w:r>
    </w:p>
    <w:p w:rsidR="008E3F15" w:rsidRDefault="005F449A">
      <w:pPr>
        <w:spacing w:after="165"/>
        <w:ind w:left="2" w:right="15"/>
      </w:pPr>
      <w:r>
        <w:rPr>
          <w:b/>
        </w:rPr>
        <w:t>Лабораторные тесты.</w:t>
      </w:r>
      <w:r>
        <w:t xml:space="preserve"> Для гипертиреоза характерны следующие изменения в плазме крови.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6352" behindDoc="0" locked="0" layoutInCell="1" allowOverlap="1">
                <wp:simplePos x="0" y="0"/>
                <wp:positionH relativeFrom="column">
                  <wp:posOffset>209550</wp:posOffset>
                </wp:positionH>
                <wp:positionV relativeFrom="paragraph">
                  <wp:posOffset>34826</wp:posOffset>
                </wp:positionV>
                <wp:extent cx="57150" cy="400050"/>
                <wp:effectExtent l="0" t="0" r="0" b="0"/>
                <wp:wrapSquare wrapText="bothSides"/>
                <wp:docPr id="307543" name="Group 307543"/>
                <wp:cNvGraphicFramePr/>
                <a:graphic xmlns:a="http://schemas.openxmlformats.org/drawingml/2006/main">
                  <a:graphicData uri="http://schemas.microsoft.com/office/word/2010/wordprocessingGroup">
                    <wpg:wgp>
                      <wpg:cNvGrpSpPr/>
                      <wpg:grpSpPr>
                        <a:xfrm>
                          <a:off x="0" y="0"/>
                          <a:ext cx="57150" cy="400050"/>
                          <a:chOff x="0" y="0"/>
                          <a:chExt cx="57150" cy="400050"/>
                        </a:xfrm>
                      </wpg:grpSpPr>
                      <wps:wsp>
                        <wps:cNvPr id="16546" name="Shape 16546"/>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548" name="Shape 16548"/>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552" name="Shape 16552"/>
                        <wps:cNvSpPr/>
                        <wps:spPr>
                          <a:xfrm>
                            <a:off x="0" y="3429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641"/>
                                  <a:pt x="48781" y="48518"/>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518"/>
                                </a:cubicBezTo>
                                <a:cubicBezTo>
                                  <a:pt x="5690" y="45641"/>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07543" style="width:4.5pt;height:31.5pt;position:absolute;mso-position-horizontal-relative:text;mso-position-horizontal:absolute;margin-left:16.5pt;mso-position-vertical-relative:text;margin-top:2.74219pt;" coordsize="571,4000">
                <v:shape id="Shape 16546" style="position:absolute;width:571;height:571;left:0;top:0;" coordsize="57150,57150" path="m28575,0c32364,0,36009,695,39510,2084c43011,3373,46101,5358,48781,8136c51460,10716,53525,13791,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791,5690,10716,8369,8136c11049,5358,14139,3373,17640,2084c21141,695,24786,0,28575,0x">
                  <v:stroke weight="0pt" endcap="flat" joinstyle="miter" miterlimit="4" on="false" color="#000000" opacity="0"/>
                  <v:fill on="true" color="#333333"/>
                </v:shape>
                <v:shape id="Shape 16548" style="position:absolute;width:571;height:571;left:0;top:1524;" coordsize="57150,57150" path="m28575,0c32364,0,36009,695,39510,2084c43011,3373,46101,5457,48781,8136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136c11049,5457,14139,3373,17640,2084c21141,695,24786,0,28575,0x">
                  <v:stroke weight="0pt" endcap="flat" joinstyle="miter" miterlimit="4" on="false" color="#000000" opacity="0"/>
                  <v:fill on="true" color="#333333"/>
                </v:shape>
                <v:shape id="Shape 16552" style="position:absolute;width:571;height:571;left:0;top:3429;" coordsize="57150,57150" path="m28575,0c32364,0,36009,695,39510,2084c43011,3572,46101,5655,48781,8334c51460,10815,53525,13990,54975,17363c56425,20935,57150,24705,57150,28575c57150,32246,56425,35818,54975,39291c53525,42664,51460,45641,48781,48518c46101,51197,43011,53280,39510,54769c36009,56059,32364,56952,28575,57150c24786,56952,21141,56059,17640,54769c14139,53280,11049,51197,8369,48518c5690,45641,3625,42664,2175,39291c725,35818,0,32246,0,28575c0,24705,725,20935,2175,17363c3625,13990,5690,10815,8369,8334c11049,5655,14139,3572,17640,2084c21141,695,24786,0,28575,0x">
                  <v:stroke weight="0pt" endcap="flat" joinstyle="miter" miterlimit="4" on="false" color="#000000" opacity="0"/>
                  <v:fill on="true" color="#333333"/>
                </v:shape>
                <w10:wrap type="square"/>
              </v:group>
            </w:pict>
          </mc:Fallback>
        </mc:AlternateContent>
      </w:r>
      <w:r>
        <w:t>ТТГ (норма 0,4–4,0 мкEд/мл): снижен.</w:t>
      </w:r>
    </w:p>
    <w:p w:rsidR="008E3F15" w:rsidRDefault="005F449A">
      <w:pPr>
        <w:spacing w:after="174"/>
        <w:ind w:left="340" w:right="4495"/>
      </w:pPr>
      <w:r>
        <w:t>Т</w:t>
      </w:r>
      <w:r>
        <w:rPr>
          <w:sz w:val="31"/>
          <w:vertAlign w:val="subscript"/>
        </w:rPr>
        <w:t>4</w:t>
      </w:r>
      <w:r>
        <w:t xml:space="preserve"> свободный (норма 9–22 пмоль/л): повышен. Т</w:t>
      </w:r>
      <w:r>
        <w:rPr>
          <w:sz w:val="31"/>
          <w:vertAlign w:val="subscript"/>
        </w:rPr>
        <w:t>3</w:t>
      </w:r>
      <w:r>
        <w:t xml:space="preserve"> свободный (норма 3–6 пмоль/л): повышен.</w:t>
      </w:r>
    </w:p>
    <w:p w:rsidR="008E3F15" w:rsidRDefault="005F449A">
      <w:pPr>
        <w:spacing w:after="31"/>
        <w:ind w:left="2" w:right="15"/>
      </w:pPr>
      <w:r>
        <w:t>Болезнь Грейвса проявляется повышением уров</w:t>
      </w:r>
      <w:r>
        <w:t>ня антител к рецепторам ТТГ</w:t>
      </w:r>
    </w:p>
    <w:p w:rsidR="008E3F15" w:rsidRDefault="005F449A">
      <w:pPr>
        <w:spacing w:after="344"/>
        <w:ind w:left="2" w:right="174"/>
      </w:pPr>
      <w:r>
        <w:t>(тиреоидстимулирующего иммуноглобулина G). При подозрении на гипертиреоз важна комплексная оценка тиреоидного статуса, включая ТТГ, свободные Т</w:t>
      </w:r>
      <w:r>
        <w:rPr>
          <w:sz w:val="31"/>
          <w:vertAlign w:val="subscript"/>
        </w:rPr>
        <w:t>4</w:t>
      </w:r>
      <w:r>
        <w:t xml:space="preserve"> и Т</w:t>
      </w:r>
      <w:r>
        <w:rPr>
          <w:sz w:val="31"/>
          <w:vertAlign w:val="subscript"/>
        </w:rPr>
        <w:t>3</w:t>
      </w:r>
      <w:r>
        <w:t>, а также антитела к рецепторам ТТГ.</w:t>
      </w:r>
    </w:p>
    <w:p w:rsidR="008E3F15" w:rsidRDefault="005F449A">
      <w:pPr>
        <w:pStyle w:val="Heading1"/>
        <w:ind w:left="2"/>
      </w:pPr>
      <w:r>
        <w:t>Часть II. Коморбидные болезни</w:t>
      </w:r>
    </w:p>
    <w:p w:rsidR="008E3F15" w:rsidRDefault="005F449A">
      <w:pPr>
        <w:spacing w:after="31"/>
        <w:ind w:left="2" w:right="15"/>
      </w:pPr>
      <w:r>
        <w:t>Лечение</w:t>
      </w:r>
    </w:p>
    <w:p w:rsidR="008E3F15" w:rsidRDefault="005F449A">
      <w:pPr>
        <w:ind w:left="2" w:right="15"/>
      </w:pPr>
      <w:r>
        <w:t>Такт</w:t>
      </w:r>
      <w:r>
        <w:t xml:space="preserve">ика ведения субклинического гипертиреоза с учетом повышенного риска явного заболевания и сердечно-сосудистых событий представлена на </w:t>
      </w:r>
      <w:r>
        <w:rPr>
          <w:b/>
        </w:rPr>
        <w:t>рис. 15.1</w:t>
      </w:r>
      <w:r>
        <w:t>. Лечение субклинического тиреотоксикоза рекомендуется при стойком снижении уровня ТТГ &lt;0,1 мЕд/ л у всех пациенто</w:t>
      </w:r>
      <w:r>
        <w:t>в 65 лет и старше, у женщин в постменопаузе, которые не принимают эстрогены или бисфосфонаты, а также у пациентов с заболеваниями сердца, остеопорозом. Если уровень ТТГ стойко ниже границы референтного диапазона, но ≥0,1 мЕд/л, лечение субклинического тире</w:t>
      </w:r>
      <w:r>
        <w:t>отоксикоза должно быть рассмотрено у пациентов ≥65 лет и у пациентов с заболеваниями сердца или симптомами тиреотоксикоза. Лечение субклинического тиреотоксикоза основано на этиологии нарушения функции щитовидной железы и принципах, принятых для лечения ма</w:t>
      </w:r>
      <w:r>
        <w:t>нифестного тиреотоксикоза.</w:t>
      </w:r>
    </w:p>
    <w:p w:rsidR="008E3F15" w:rsidRDefault="005F449A">
      <w:pPr>
        <w:spacing w:after="65" w:line="259" w:lineRule="auto"/>
        <w:ind w:left="0" w:right="0" w:firstLine="0"/>
      </w:pPr>
      <w:r>
        <w:rPr>
          <w:noProof/>
        </w:rPr>
        <w:drawing>
          <wp:inline distT="0" distB="0" distL="0" distR="0">
            <wp:extent cx="5057775" cy="3838575"/>
            <wp:effectExtent l="0" t="0" r="0" b="0"/>
            <wp:docPr id="16579" name="Picture 16579"/>
            <wp:cNvGraphicFramePr/>
            <a:graphic xmlns:a="http://schemas.openxmlformats.org/drawingml/2006/main">
              <a:graphicData uri="http://schemas.openxmlformats.org/drawingml/2006/picture">
                <pic:pic xmlns:pic="http://schemas.openxmlformats.org/drawingml/2006/picture">
                  <pic:nvPicPr>
                    <pic:cNvPr id="16579" name="Picture 16579"/>
                    <pic:cNvPicPr/>
                  </pic:nvPicPr>
                  <pic:blipFill>
                    <a:blip r:embed="rId140"/>
                    <a:stretch>
                      <a:fillRect/>
                    </a:stretch>
                  </pic:blipFill>
                  <pic:spPr>
                    <a:xfrm>
                      <a:off x="0" y="0"/>
                      <a:ext cx="5057775" cy="3838575"/>
                    </a:xfrm>
                    <a:prstGeom prst="rect">
                      <a:avLst/>
                    </a:prstGeom>
                  </pic:spPr>
                </pic:pic>
              </a:graphicData>
            </a:graphic>
          </wp:inline>
        </w:drawing>
      </w:r>
    </w:p>
    <w:p w:rsidR="008E3F15" w:rsidRDefault="005F449A">
      <w:pPr>
        <w:spacing w:after="31"/>
        <w:ind w:left="2" w:right="15"/>
      </w:pPr>
      <w:r>
        <w:rPr>
          <w:b/>
        </w:rPr>
        <w:t xml:space="preserve">Рис. 15.1. </w:t>
      </w:r>
      <w:r>
        <w:t>Ведение пациентов с субклиническим гипертиреозом (ATA)</w:t>
      </w:r>
    </w:p>
    <w:p w:rsidR="008E3F15" w:rsidRDefault="005F449A">
      <w:pPr>
        <w:ind w:left="2" w:right="15"/>
      </w:pPr>
      <w:r>
        <w:t xml:space="preserve">Преимущества и недостатки медикаментозного, радиоизотопного и хирургического методов лечения болезни Грейвса представлены в </w:t>
      </w:r>
      <w:r>
        <w:rPr>
          <w:b/>
        </w:rPr>
        <w:t>табл. 15.2</w:t>
      </w:r>
      <w:r>
        <w:t>.</w:t>
      </w:r>
    </w:p>
    <w:p w:rsidR="008E3F15" w:rsidRDefault="005F449A">
      <w:pPr>
        <w:spacing w:after="31"/>
        <w:ind w:left="2" w:right="15"/>
      </w:pPr>
      <w:r>
        <w:rPr>
          <w:b/>
        </w:rPr>
        <w:t xml:space="preserve">Таблица 15.2. </w:t>
      </w:r>
      <w:r>
        <w:t>Клинические ситуации с предпочтительным лечением болезни Грейвса (ATA)</w:t>
      </w:r>
    </w:p>
    <w:tbl>
      <w:tblPr>
        <w:tblStyle w:val="TableGrid"/>
        <w:tblW w:w="10485" w:type="dxa"/>
        <w:tblInd w:w="30" w:type="dxa"/>
        <w:tblCellMar>
          <w:top w:w="58" w:type="dxa"/>
          <w:left w:w="41" w:type="dxa"/>
          <w:bottom w:w="0" w:type="dxa"/>
          <w:right w:w="45" w:type="dxa"/>
        </w:tblCellMar>
        <w:tblLook w:val="04A0" w:firstRow="1" w:lastRow="0" w:firstColumn="1" w:lastColumn="0" w:noHBand="0" w:noVBand="1"/>
      </w:tblPr>
      <w:tblGrid>
        <w:gridCol w:w="7080"/>
        <w:gridCol w:w="510"/>
        <w:gridCol w:w="1680"/>
        <w:gridCol w:w="1215"/>
      </w:tblGrid>
      <w:tr w:rsidR="008E3F15">
        <w:trPr>
          <w:trHeight w:val="405"/>
        </w:trPr>
        <w:tc>
          <w:tcPr>
            <w:tcW w:w="70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rPr>
                <w:b/>
              </w:rPr>
              <w:t>Клиническая ситуация</w:t>
            </w:r>
          </w:p>
        </w:tc>
        <w:tc>
          <w:tcPr>
            <w:tcW w:w="3405" w:type="dxa"/>
            <w:gridSpan w:val="3"/>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sz w:val="31"/>
                <w:bdr w:val="single" w:sz="12" w:space="0" w:color="000000"/>
                <w:vertAlign w:val="superscript"/>
              </w:rPr>
              <w:t>131</w:t>
            </w:r>
            <w:r>
              <w:rPr>
                <w:b/>
                <w:bdr w:val="single" w:sz="12" w:space="0" w:color="000000"/>
              </w:rPr>
              <w:t>I Тиреостатики Хирургия</w:t>
            </w:r>
          </w:p>
        </w:tc>
      </w:tr>
      <w:tr w:rsidR="008E3F15">
        <w:trPr>
          <w:trHeight w:val="330"/>
        </w:trPr>
        <w:tc>
          <w:tcPr>
            <w:tcW w:w="7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Высокая вероятность ремиссии</w:t>
            </w:r>
          </w:p>
        </w:tc>
        <w:tc>
          <w:tcPr>
            <w:tcW w:w="5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6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08"/>
        </w:trPr>
        <w:tc>
          <w:tcPr>
            <w:tcW w:w="70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Беременность</w:t>
            </w:r>
          </w:p>
        </w:tc>
        <w:tc>
          <w:tcPr>
            <w:tcW w:w="5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х</w:t>
            </w:r>
          </w:p>
        </w:tc>
        <w:tc>
          <w:tcPr>
            <w:tcW w:w="16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9" w:right="0" w:firstLine="0"/>
            </w:pPr>
            <w:r>
              <w:t>+</w:t>
            </w:r>
          </w:p>
        </w:tc>
      </w:tr>
      <w:tr w:rsidR="008E3F15">
        <w:trPr>
          <w:trHeight w:val="488"/>
        </w:trPr>
        <w:tc>
          <w:tcPr>
            <w:tcW w:w="10485" w:type="dxa"/>
            <w:gridSpan w:val="4"/>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548"/>
        </w:trPr>
        <w:tc>
          <w:tcPr>
            <w:tcW w:w="70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Выраженная коморбидность с высоким хирургическим риском</w:t>
            </w:r>
          </w:p>
        </w:tc>
        <w:tc>
          <w:tcPr>
            <w:tcW w:w="510" w:type="dxa"/>
            <w:tcBorders>
              <w:top w:val="sing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jc w:val="both"/>
            </w:pPr>
            <w:r>
              <w:t>++</w:t>
            </w:r>
          </w:p>
        </w:tc>
        <w:tc>
          <w:tcPr>
            <w:tcW w:w="168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w:t>
            </w:r>
          </w:p>
        </w:tc>
        <w:tc>
          <w:tcPr>
            <w:tcW w:w="121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х</w:t>
            </w:r>
          </w:p>
        </w:tc>
      </w:tr>
      <w:tr w:rsidR="008E3F15">
        <w:trPr>
          <w:trHeight w:val="330"/>
        </w:trPr>
        <w:tc>
          <w:tcPr>
            <w:tcW w:w="70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Болезнь печени</w:t>
            </w:r>
          </w:p>
        </w:tc>
        <w:tc>
          <w:tcPr>
            <w:tcW w:w="510" w:type="dxa"/>
            <w:vMerge w:val="restart"/>
            <w:tcBorders>
              <w:top w:val="nil"/>
              <w:left w:val="nil"/>
              <w:bottom w:val="nil"/>
              <w:right w:val="nil"/>
            </w:tcBorders>
          </w:tcPr>
          <w:p w:rsidR="008E3F15" w:rsidRDefault="005F449A">
            <w:pPr>
              <w:spacing w:after="0" w:line="259" w:lineRule="auto"/>
              <w:ind w:left="0" w:right="0" w:firstLine="0"/>
              <w:jc w:val="both"/>
            </w:pPr>
            <w:r>
              <w:rPr>
                <w:bdr w:val="single" w:sz="12" w:space="0" w:color="000000"/>
              </w:rPr>
              <w:t>++</w:t>
            </w:r>
          </w:p>
          <w:p w:rsidR="008E3F15" w:rsidRDefault="005F449A">
            <w:pPr>
              <w:spacing w:after="0" w:line="259" w:lineRule="auto"/>
              <w:ind w:left="0" w:right="0" w:firstLine="0"/>
              <w:jc w:val="both"/>
            </w:pPr>
            <w:r>
              <w:rPr>
                <w:bdr w:val="single" w:sz="12" w:space="0" w:color="000000"/>
              </w:rPr>
              <w:t>++</w:t>
            </w:r>
          </w:p>
        </w:tc>
        <w:tc>
          <w:tcPr>
            <w:tcW w:w="168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СН</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68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Умеренная или выраженная офтальмопатия</w:t>
            </w:r>
          </w:p>
        </w:tc>
        <w:tc>
          <w:tcPr>
            <w:tcW w:w="510"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w:t>
            </w:r>
          </w:p>
        </w:tc>
        <w:tc>
          <w:tcPr>
            <w:tcW w:w="16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Выраженные побочные эффекты тиреостатиков</w:t>
            </w:r>
          </w:p>
        </w:tc>
        <w:tc>
          <w:tcPr>
            <w:tcW w:w="510" w:type="dxa"/>
            <w:vMerge w:val="restart"/>
            <w:tcBorders>
              <w:top w:val="nil"/>
              <w:left w:val="nil"/>
              <w:bottom w:val="nil"/>
              <w:right w:val="nil"/>
            </w:tcBorders>
          </w:tcPr>
          <w:p w:rsidR="008E3F15" w:rsidRDefault="005F449A">
            <w:pPr>
              <w:spacing w:after="0" w:line="259" w:lineRule="auto"/>
              <w:ind w:left="0" w:right="0" w:firstLine="0"/>
              <w:jc w:val="both"/>
            </w:pPr>
            <w:r>
              <w:rPr>
                <w:bdr w:val="single" w:sz="12" w:space="0" w:color="000000"/>
              </w:rPr>
              <w:t>++</w:t>
            </w:r>
          </w:p>
          <w:p w:rsidR="008E3F15" w:rsidRDefault="005F449A">
            <w:pPr>
              <w:spacing w:after="0" w:line="259" w:lineRule="auto"/>
              <w:ind w:left="0" w:right="0" w:firstLine="0"/>
              <w:jc w:val="both"/>
            </w:pPr>
            <w:r>
              <w:rPr>
                <w:bdr w:val="single" w:sz="12" w:space="0" w:color="000000"/>
              </w:rPr>
              <w:t>++</w:t>
            </w:r>
          </w:p>
        </w:tc>
        <w:tc>
          <w:tcPr>
            <w:tcW w:w="168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 w:right="0" w:firstLine="0"/>
            </w:pPr>
            <w:r>
              <w:t>х</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4" w:right="0" w:firstLine="0"/>
            </w:pPr>
            <w:r>
              <w:t>Периодический паралич</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68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pPr>
            <w:r>
              <w:rPr>
                <w:bdr w:val="single" w:sz="12" w:space="0" w:color="000000"/>
              </w:rPr>
              <w:t>Рак щитовидной железы документирован или подозревается</w:t>
            </w:r>
          </w:p>
        </w:tc>
        <w:tc>
          <w:tcPr>
            <w:tcW w:w="510"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6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Большой узел</w:t>
            </w:r>
          </w:p>
        </w:tc>
        <w:tc>
          <w:tcPr>
            <w:tcW w:w="5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6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7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Гиперпаратиреоз, требующий хирургии</w:t>
            </w:r>
          </w:p>
        </w:tc>
        <w:tc>
          <w:tcPr>
            <w:tcW w:w="5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6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bl>
    <w:p w:rsidR="008E3F15" w:rsidRDefault="005F449A">
      <w:pPr>
        <w:ind w:left="2" w:right="15"/>
      </w:pPr>
      <w:r>
        <w:rPr>
          <w:b/>
        </w:rPr>
        <w:t>Примечания.</w:t>
      </w:r>
      <w:r>
        <w:t xml:space="preserve"> ++ — предпочтительная терапия, + — приемлемая терапия, – — применять осторожно, х — противопоказано.</w:t>
      </w:r>
    </w:p>
    <w:p w:rsidR="008E3F15" w:rsidRDefault="005F449A">
      <w:pPr>
        <w:ind w:left="2" w:right="15"/>
      </w:pPr>
      <w:r>
        <w:t>Лечение впервые выявленного заболевания, обусловленного повышенным синтезом тиреоидных гормонов, обычно начинается с приема тиреостатиков (тиамазол,</w:t>
      </w:r>
    </w:p>
    <w:p w:rsidR="008E3F15" w:rsidRDefault="005F449A">
      <w:pPr>
        <w:ind w:left="2" w:right="15"/>
      </w:pPr>
      <w:r>
        <w:t>пропилтиоурацил). Медикаментозное лечение предпочтительнее при высокой вероятности стойкой ремиссии (женщин</w:t>
      </w:r>
      <w:r>
        <w:t>ы со слабой активностью, малым зобом, низкими титрами антител к рецепторам ТТГ). Недостатком тиреостатической терапии считается высокая частота (30– 70%) рецидивов болезни в случае ее прекращения после 18–24 мес, в то же время по сравнению с радиоизотопным</w:t>
      </w:r>
      <w:r>
        <w:t xml:space="preserve"> и хирургическим лечением реже развивается гипотиреоз (El Kawkgi O. et al., 2021).</w:t>
      </w:r>
    </w:p>
    <w:p w:rsidR="008E3F15" w:rsidRDefault="005F449A">
      <w:pPr>
        <w:ind w:left="2" w:right="15"/>
      </w:pPr>
      <w:r>
        <w:t>Доза тиреостатика (предпочтителен тиамазол в 1–2 приема, в случае аллергии и в первом триместре беременности — пропилтиоурацил в 3 приема в день) зависит от выраженности кли</w:t>
      </w:r>
      <w:r>
        <w:t>нической симптоматики и уровней повышения свободных фракций гормонов Т</w:t>
      </w:r>
      <w:r>
        <w:rPr>
          <w:sz w:val="31"/>
          <w:vertAlign w:val="subscript"/>
        </w:rPr>
        <w:t>3</w:t>
      </w:r>
      <w:r>
        <w:t xml:space="preserve"> и/или Т</w:t>
      </w:r>
      <w:r>
        <w:rPr>
          <w:sz w:val="31"/>
          <w:vertAlign w:val="subscript"/>
        </w:rPr>
        <w:t>4</w:t>
      </w:r>
      <w:r>
        <w:t>, а также возраста и коморбидных болезней. В старших возрастных группах и в отсутствие тяжелого тиреотоксикоза может быть применена доза тиамазола 5–10 мг/сут.</w:t>
      </w:r>
    </w:p>
    <w:p w:rsidR="008E3F15" w:rsidRDefault="005F449A">
      <w:pPr>
        <w:ind w:left="2" w:right="15"/>
      </w:pPr>
      <w:r>
        <w:t>Тиамазол 30 мг в</w:t>
      </w:r>
      <w:r>
        <w:t xml:space="preserve"> два приема (пропилтиоурацил 300 мг в 3 приема) позволяет добиться эутиреоза (нормальные уровни свободных Т</w:t>
      </w:r>
      <w:r>
        <w:rPr>
          <w:sz w:val="31"/>
          <w:vertAlign w:val="subscript"/>
        </w:rPr>
        <w:t>4</w:t>
      </w:r>
      <w:r>
        <w:rPr>
          <w:sz w:val="20"/>
        </w:rPr>
        <w:t xml:space="preserve"> </w:t>
      </w:r>
      <w:r>
        <w:t>и Т</w:t>
      </w:r>
      <w:r>
        <w:rPr>
          <w:sz w:val="31"/>
          <w:vertAlign w:val="subscript"/>
        </w:rPr>
        <w:t>3</w:t>
      </w:r>
      <w:r>
        <w:t>) обычно на 4–8-й нед. ТТГ нормализуется медленнее — этот процесс может затянуться на несколько месяцев. Поэтому при контроле тиреоидного стату</w:t>
      </w:r>
      <w:r>
        <w:t>са в начале терапии тиреостатиками необходимо ориентироваться только на уровни свободных Т</w:t>
      </w:r>
      <w:r>
        <w:rPr>
          <w:sz w:val="31"/>
          <w:vertAlign w:val="subscript"/>
        </w:rPr>
        <w:t>4</w:t>
      </w:r>
      <w:r>
        <w:t xml:space="preserve"> и Т</w:t>
      </w:r>
      <w:r>
        <w:rPr>
          <w:sz w:val="31"/>
          <w:vertAlign w:val="subscript"/>
        </w:rPr>
        <w:t>3</w:t>
      </w:r>
      <w:r>
        <w:t>, и только по мере их нормализации — на уровни ТТГ.</w:t>
      </w:r>
    </w:p>
    <w:p w:rsidR="008E3F15" w:rsidRDefault="005F449A">
      <w:pPr>
        <w:ind w:left="2" w:right="15"/>
      </w:pPr>
      <w:r>
        <w:t>Далее доза тиамазола постепенно снижается на 5 мг/нед с переходом на поддерживающую дозу 5–10 мг/сут и продо</w:t>
      </w:r>
      <w:r>
        <w:t>лжением терапии до 12–18 мес.</w:t>
      </w:r>
    </w:p>
    <w:p w:rsidR="008E3F15" w:rsidRDefault="005F449A">
      <w:pPr>
        <w:ind w:left="2" w:right="15"/>
      </w:pPr>
      <w:r>
        <w:t>При исходно большом объеме зоба (&gt;40 мл) или его увеличении в процессе приема тиамазола может использоваться режим «блокируй–замещай», когда к тиамазолу параллельно снижению дозы до 10 мг, начиная от момента нормализации уровн</w:t>
      </w:r>
      <w:r>
        <w:t>я свободного Т</w:t>
      </w:r>
      <w:r>
        <w:rPr>
          <w:sz w:val="31"/>
          <w:vertAlign w:val="subscript"/>
        </w:rPr>
        <w:t>4</w:t>
      </w:r>
      <w:r>
        <w:t xml:space="preserve"> или несколько позже, назначается левотироксин натрия в дозе 25–50 мкг в день.</w:t>
      </w:r>
    </w:p>
    <w:p w:rsidR="008E3F15" w:rsidRDefault="005F449A">
      <w:pPr>
        <w:ind w:left="2" w:right="15"/>
      </w:pPr>
      <w:r>
        <w:t>Отмена препарата возможна не ранее 12–18 мес терапии при стойкой биохимической ремиссии (нормализация ТТГ, желательно к середине референтного диапазона) при сниже</w:t>
      </w:r>
      <w:r>
        <w:t>нии уровня антител к рецепторам ТТГ (иммунологическая ремиссия). Не рекомендуется прекращение терапии тиреостатиками в весенне-летнее время. Контроль стойкости ремиссии включает определение свободного Т</w:t>
      </w:r>
      <w:r>
        <w:rPr>
          <w:sz w:val="31"/>
          <w:vertAlign w:val="subscript"/>
        </w:rPr>
        <w:t>4</w:t>
      </w:r>
      <w:r>
        <w:t xml:space="preserve"> и ТТГ каждые 3 мес.</w:t>
      </w:r>
    </w:p>
    <w:p w:rsidR="008E3F15" w:rsidRDefault="005F449A">
      <w:pPr>
        <w:ind w:left="2" w:right="15"/>
      </w:pPr>
      <w:r>
        <w:t>Перед началом тиреостатической т</w:t>
      </w:r>
      <w:r>
        <w:t>ерапии рекомендуется определение исходной развернутой гемограммы с лейкоцитарной формулой, а также печеночного профиля, включая трансаминазы, билирубин, щелочную фосфатазу. При появлении лихорадки, особенно острой фебрильной, или фарингита следует исключит</w:t>
      </w:r>
      <w:r>
        <w:t>ь нейтропению</w:t>
      </w:r>
    </w:p>
    <w:p w:rsidR="008E3F15" w:rsidRDefault="005F449A">
      <w:pPr>
        <w:spacing w:after="344"/>
        <w:ind w:left="2" w:right="15"/>
      </w:pPr>
      <w:r>
        <w:t xml:space="preserve">и агранулоцитоз (вероятность возрастает в случае приема НПВП). Также необходимо оценить состояние печени при появлении сыпи, зуда, желтухи, светлого стула, темной мочи, артралгий, болей в животе. Пациент должен быть предупрежден об указанных </w:t>
      </w:r>
      <w:r>
        <w:t>побочных эффектах тиреостатических препаратов и необходимости без промедления обратиться к лечащему врачу при их появлении.</w:t>
      </w:r>
    </w:p>
    <w:p w:rsidR="008E3F15" w:rsidRDefault="005F449A">
      <w:pPr>
        <w:pStyle w:val="Heading1"/>
        <w:ind w:left="2"/>
      </w:pPr>
      <w:r>
        <w:t>Часть II. Коморбидные болезни</w:t>
      </w:r>
    </w:p>
    <w:p w:rsidR="008E3F15" w:rsidRDefault="005F449A">
      <w:pPr>
        <w:ind w:left="2" w:right="15"/>
      </w:pPr>
      <w:r>
        <w:t xml:space="preserve">На период достижения эутиреоза, особенно у пожилых, с тахикардией или заболеваниями сердца, добавляют </w:t>
      </w:r>
      <w:r>
        <w:t>β-адреноблокаторы.</w:t>
      </w:r>
    </w:p>
    <w:p w:rsidR="008E3F15" w:rsidRDefault="005F449A">
      <w:pPr>
        <w:ind w:left="2" w:right="15"/>
      </w:pPr>
      <w:r>
        <w:t>Глюкокортикоиды (преднизолон 30 мг/сут) используются при амиодарон-индуцированном тиреотоксикозе II типа (длительной прием амиодарона, деструктивный тиреоидит, нет повышения уровня антител к рецепторам ТТГ, снижен кровоток при сонографии</w:t>
      </w:r>
      <w:r>
        <w:t xml:space="preserve"> щитовидной железы), хирургическая декомпрессия при оптической невропатии. Для лечения умеренной или тяжелой активной офтальмопатии применяют инфузии больших доз метилпреднизолона в эндокринологических стационарах.</w:t>
      </w:r>
    </w:p>
    <w:p w:rsidR="008E3F15" w:rsidRDefault="005F449A">
      <w:pPr>
        <w:spacing w:after="31"/>
        <w:ind w:left="2" w:right="15"/>
      </w:pPr>
      <w:r>
        <w:t>В случае рецидива гипертиреоза, выраженно</w:t>
      </w:r>
      <w:r>
        <w:t>й коморбидности (особенно болезни печени,</w:t>
      </w:r>
    </w:p>
    <w:p w:rsidR="008E3F15" w:rsidRDefault="005F449A">
      <w:pPr>
        <w:ind w:left="2" w:right="112"/>
      </w:pPr>
      <w:r>
        <w:t>СН), проблемах хирургического доступа к большой щитовидной железе, планируемого после 6 мес беременности, предшествующей хирургии или лучевой терапии шеи, рекомендуется терапия радиоактивным йодом (¹³¹I). Радиойодт</w:t>
      </w:r>
      <w:r>
        <w:t>ерапия болезни Грейвса снижает частоту рецидивов почти на 80% по сравнению с тиреостатиками и хирургией, а также более эффективно контролирует гипертиреоз и реже вызывает побочные эффекты по сравнению с тиреостатиками (Ren Z. et al., 2015; Wang J., Qin L.,</w:t>
      </w:r>
      <w:r>
        <w:t xml:space="preserve"> 2016).</w:t>
      </w:r>
    </w:p>
    <w:p w:rsidR="008E3F15" w:rsidRDefault="005F449A">
      <w:pPr>
        <w:ind w:left="2" w:right="15"/>
      </w:pPr>
      <w:r>
        <w:t>Связь между лечением радиоактивным йодом в больших дозах и небольшим повышением смертности от солидного рака, выявленная в наблюдательных исследованиях, требует более надежных доказательств (Shim S. et al., 2021).</w:t>
      </w:r>
    </w:p>
    <w:p w:rsidR="008E3F15" w:rsidRDefault="005F449A">
      <w:pPr>
        <w:spacing w:after="359"/>
        <w:ind w:left="2" w:right="698"/>
      </w:pPr>
      <w:r>
        <w:t>Тиреоидэктомия показана при большо</w:t>
      </w:r>
      <w:r>
        <w:t>м зобе (≥80 мл) или симптомах сдавления, одном или нескольких больших узлах, относительно низком поглощении йода, наличии или подозрении на рак щитовидной железы, гиперпаратиреозе.</w:t>
      </w:r>
    </w:p>
    <w:p w:rsidR="008E3F15" w:rsidRDefault="005F449A">
      <w:pPr>
        <w:pStyle w:val="Heading1"/>
        <w:ind w:left="2"/>
      </w:pPr>
      <w:r>
        <w:t>Часть II. Коморбидные болезни</w:t>
      </w:r>
    </w:p>
    <w:p w:rsidR="008E3F15" w:rsidRDefault="005F449A">
      <w:pPr>
        <w:spacing w:after="31"/>
        <w:ind w:left="2" w:right="15"/>
      </w:pPr>
      <w:r>
        <w:t>Болезни сердца и гипертиреоз</w:t>
      </w:r>
    </w:p>
    <w:p w:rsidR="008E3F15" w:rsidRDefault="005F449A">
      <w:pPr>
        <w:ind w:left="2" w:right="15"/>
      </w:pPr>
      <w:r>
        <w:rPr>
          <w:b/>
        </w:rPr>
        <w:t>Коронарная болез</w:t>
      </w:r>
      <w:r>
        <w:rPr>
          <w:b/>
        </w:rPr>
        <w:t xml:space="preserve">нь. </w:t>
      </w:r>
      <w:r>
        <w:t>Гипертиреоз повышает потребность мио карда в кислороде и может привести к обострению коронарной болезни. Кроме того, повышенный уровень гормонов щитовидной железы способствует спазму коронарных артерий, вплоть до развития ИМ 2-го типа.</w:t>
      </w:r>
    </w:p>
    <w:p w:rsidR="008E3F15" w:rsidRDefault="005F449A">
      <w:pPr>
        <w:ind w:left="2" w:right="15"/>
      </w:pPr>
      <w:r>
        <w:t>Даже субклиничес</w:t>
      </w:r>
      <w:r>
        <w:t>кий гипертиреоз ассоциируется с увеличением риска коронарной болезни, сердечно-сосудистой и общей смертности (Collet T. et al., 2012).</w:t>
      </w:r>
    </w:p>
    <w:p w:rsidR="008E3F15" w:rsidRDefault="005F449A">
      <w:pPr>
        <w:ind w:left="2" w:right="15"/>
      </w:pPr>
      <w:r>
        <w:t>При тиреотоксикозе и коронарной болезни предпочтительнее лечение радиоактивным йодом, чем использование тиреостатиков, по</w:t>
      </w:r>
      <w:r>
        <w:t>скольку значительно чаще удается добиться излечения тиреотоксикоза.</w:t>
      </w:r>
    </w:p>
    <w:p w:rsidR="008E3F15" w:rsidRDefault="005F449A">
      <w:pPr>
        <w:ind w:left="2" w:right="15"/>
      </w:pPr>
      <w:r>
        <w:t xml:space="preserve">У пациентов с коронарной болезнью может быть целесообразным лечение субклинического гипертиреоза (тиреостатики, </w:t>
      </w:r>
      <w:r>
        <w:rPr>
          <w:sz w:val="31"/>
          <w:vertAlign w:val="superscript"/>
        </w:rPr>
        <w:t>131</w:t>
      </w:r>
      <w:r>
        <w:t>I, хирургия) для предупреждения сердечно-сосудистых событий, переломов и прогрессирования в явный гипертиреоз (ATA, ETA).</w:t>
      </w:r>
    </w:p>
    <w:p w:rsidR="008E3F15" w:rsidRDefault="005F449A">
      <w:pPr>
        <w:ind w:left="2" w:right="223"/>
      </w:pPr>
      <w:r>
        <w:rPr>
          <w:b/>
        </w:rPr>
        <w:t xml:space="preserve">Сердечная недостаточность. </w:t>
      </w:r>
      <w:r>
        <w:t>Новая СН развивается у 5,4% пациентов с болезнью Грейвса и ассоциируется с повышением риска сердечно-сосуди</w:t>
      </w:r>
      <w:r>
        <w:t>стых госпитализаций и смертности</w:t>
      </w:r>
    </w:p>
    <w:p w:rsidR="008E3F15" w:rsidRDefault="005F449A">
      <w:pPr>
        <w:spacing w:after="31"/>
        <w:ind w:left="2" w:right="15"/>
      </w:pPr>
      <w:r>
        <w:t>(Naser J. et al., 2021).</w:t>
      </w:r>
    </w:p>
    <w:p w:rsidR="008E3F15" w:rsidRDefault="005F449A">
      <w:pPr>
        <w:ind w:left="2" w:right="15"/>
      </w:pPr>
      <w:r>
        <w:t>Гипертиреоз может усилить СН, обусловленную заболеванием сердца. Не случайно в ситуациях плохо поддающейся лечению СН рекомендуют определять функцию щитовидной железы.</w:t>
      </w:r>
    </w:p>
    <w:p w:rsidR="008E3F15" w:rsidRDefault="005F449A">
      <w:pPr>
        <w:spacing w:after="31"/>
        <w:ind w:left="2" w:right="15"/>
      </w:pPr>
      <w:r>
        <w:t>Гипертиреоз ассоциируется с по</w:t>
      </w:r>
      <w:r>
        <w:t>вышением смертности у пациентов с систолической СН</w:t>
      </w:r>
    </w:p>
    <w:p w:rsidR="008E3F15" w:rsidRDefault="005F449A">
      <w:pPr>
        <w:spacing w:after="31"/>
        <w:ind w:left="2" w:right="15"/>
      </w:pPr>
      <w:r>
        <w:t>(Mitchell J. et al., 2013).</w:t>
      </w:r>
    </w:p>
    <w:p w:rsidR="008E3F15" w:rsidRDefault="005F449A">
      <w:pPr>
        <w:ind w:left="2" w:right="15"/>
      </w:pPr>
      <w:r>
        <w:t>Выявлена связь субклинического гипертиреоза и увеличения риска СН на 31–94% независимо от сердечно-сосудистых факторов риска (Gencer B. et al., 2012).</w:t>
      </w:r>
    </w:p>
    <w:p w:rsidR="008E3F15" w:rsidRDefault="005F449A">
      <w:pPr>
        <w:ind w:left="2" w:right="15"/>
      </w:pPr>
      <w:r>
        <w:t>У пациентов с СН может быть целесообразным лечение субклинического гипотиреоза, особенно при уровне ТТГ ≥10 мЕд/л и возрасте до 70 лет (ATA, ETA).</w:t>
      </w:r>
    </w:p>
    <w:p w:rsidR="008E3F15" w:rsidRDefault="005F449A">
      <w:pPr>
        <w:ind w:left="2" w:right="904"/>
      </w:pPr>
      <w:r>
        <w:rPr>
          <w:b/>
        </w:rPr>
        <w:t xml:space="preserve">Фибрилляция предсердий. </w:t>
      </w:r>
      <w:r>
        <w:t>Связь ФП с гипертиреозом не следует преувеличивать — по данным проспективного исследо</w:t>
      </w:r>
      <w:r>
        <w:t>вания ALFA, только 3% случаев ФП были связаны с гипертиреозом. С другой стороны, у 8% пациентов с установленным диагнозом гипертиреоза в течение месяца регистрируется ФП (Frost L. et al., 2004).</w:t>
      </w:r>
    </w:p>
    <w:p w:rsidR="008E3F15" w:rsidRDefault="005F449A">
      <w:pPr>
        <w:ind w:left="2" w:right="15"/>
      </w:pPr>
      <w:r>
        <w:t>Субклинический гипертиреоз ассоциируется с повышением риска Ф</w:t>
      </w:r>
      <w:r>
        <w:t>П на 16–41%, выступая скорее как триггерный фактор (Selmer C. et al., 2012).</w:t>
      </w:r>
    </w:p>
    <w:p w:rsidR="008E3F15" w:rsidRDefault="005F449A">
      <w:pPr>
        <w:spacing w:after="36"/>
        <w:ind w:left="2" w:right="15"/>
      </w:pPr>
      <w:r>
        <w:t>Имеются противоречивые оценки связи гипертиреоза с риском инсультов и тромбоэмболий у пациентов с ФП (Chan P. et al., 2015; de Souza M. et al., 2017).</w:t>
      </w:r>
    </w:p>
    <w:p w:rsidR="008E3F15" w:rsidRDefault="005F449A">
      <w:pPr>
        <w:ind w:left="2" w:right="15"/>
      </w:pPr>
      <w:r>
        <w:t>Может быть целесообразным ле</w:t>
      </w:r>
      <w:r>
        <w:t xml:space="preserve">чение субклинического гипертиреоза (тиреостатики, </w:t>
      </w:r>
      <w:r>
        <w:rPr>
          <w:sz w:val="31"/>
          <w:vertAlign w:val="superscript"/>
        </w:rPr>
        <w:t>131</w:t>
      </w:r>
      <w:r>
        <w:t>I, хирургия) для предупреждения рецидивов ФП (ATA, ETA).</w:t>
      </w:r>
    </w:p>
    <w:p w:rsidR="008E3F15" w:rsidRDefault="005F449A">
      <w:pPr>
        <w:spacing w:after="359"/>
        <w:ind w:left="2" w:right="15"/>
      </w:pPr>
      <w:r>
        <w:t xml:space="preserve">Среди антиаритмических препаратов нежелательно применение амио дарона, который может спровоцировать обострение или вызвать заболевания щитовидной </w:t>
      </w:r>
      <w:r>
        <w:t>железы.</w:t>
      </w:r>
    </w:p>
    <w:p w:rsidR="008E3F15" w:rsidRDefault="005F449A">
      <w:pPr>
        <w:pStyle w:val="Heading1"/>
        <w:ind w:left="2"/>
      </w:pPr>
      <w:r>
        <w:t>Часть II. Коморбидные болезни</w:t>
      </w:r>
    </w:p>
    <w:p w:rsidR="008E3F15" w:rsidRDefault="005F449A">
      <w:pPr>
        <w:spacing w:after="31"/>
        <w:ind w:left="2" w:right="15"/>
      </w:pPr>
      <w:r>
        <w:t>Глава 16. Сахарный диабет 2-го типа</w:t>
      </w:r>
    </w:p>
    <w:p w:rsidR="008E3F15" w:rsidRDefault="005F449A">
      <w:pPr>
        <w:pStyle w:val="Heading2"/>
        <w:ind w:left="2"/>
      </w:pPr>
      <w: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312812" name="Group 31281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6828" name="Shape 16828"/>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2812" style="width:4.5pt;height:4.5pt;mso-position-horizontal-relative:char;mso-position-vertical-relative:line" coordsize="571,571">
                <v:shape id="Shape 16828" style="position:absolute;width:571;height:571;left:0;top:0;" coordsize="57150,57150" path="m28575,0c32364,0,36009,595,39510,1885c43011,3373,46101,5457,48781,8136c51460,10815,53525,13990,54975,17363c56425,20935,57150,24705,57150,28575c57150,32246,56425,35818,54975,39390c53525,42863,51460,45938,48781,48617c46101,51197,43011,53280,39510,54769c36009,56257,32364,56952,28575,57150c24786,56952,21141,56257,17640,54769c14139,53280,11049,51197,8369,48617c5690,45938,3625,42863,2175,39390c725,35818,0,32246,0,28575c0,24705,725,20935,2175,17363c3625,13990,5690,10815,8369,8136c11049,5457,14139,3373,17640,1885c21141,595,24786,0,28575,0x">
                  <v:stroke weight="0pt" endcap="flat" joinstyle="miter" miterlimit="10" on="false" color="#000000" opacity="0"/>
                  <v:fill on="true" color="#333333"/>
                </v:shape>
              </v:group>
            </w:pict>
          </mc:Fallback>
        </mc:AlternateContent>
      </w:r>
      <w:r>
        <w:t xml:space="preserve"> Гликемия натощак (венозная плазма, капиллярная кровь).</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7376" behindDoc="0" locked="0" layoutInCell="1" allowOverlap="1">
                <wp:simplePos x="0" y="0"/>
                <wp:positionH relativeFrom="column">
                  <wp:posOffset>209550</wp:posOffset>
                </wp:positionH>
                <wp:positionV relativeFrom="paragraph">
                  <wp:posOffset>18543</wp:posOffset>
                </wp:positionV>
                <wp:extent cx="57150" cy="1314450"/>
                <wp:effectExtent l="0" t="0" r="0" b="0"/>
                <wp:wrapSquare wrapText="bothSides"/>
                <wp:docPr id="310425" name="Group 310425"/>
                <wp:cNvGraphicFramePr/>
                <a:graphic xmlns:a="http://schemas.openxmlformats.org/drawingml/2006/main">
                  <a:graphicData uri="http://schemas.microsoft.com/office/word/2010/wordprocessingGroup">
                    <wpg:wgp>
                      <wpg:cNvGrpSpPr/>
                      <wpg:grpSpPr>
                        <a:xfrm>
                          <a:off x="0" y="0"/>
                          <a:ext cx="57150" cy="1314450"/>
                          <a:chOff x="0" y="0"/>
                          <a:chExt cx="57150" cy="1314450"/>
                        </a:xfrm>
                      </wpg:grpSpPr>
                      <wps:wsp>
                        <wps:cNvPr id="16846" name="Shape 16846"/>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50" name="Shape 16850"/>
                        <wps:cNvSpPr/>
                        <wps:spPr>
                          <a:xfrm>
                            <a:off x="0" y="1905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52" name="Shape 16852"/>
                        <wps:cNvSpPr/>
                        <wps:spPr>
                          <a:xfrm>
                            <a:off x="0" y="3429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54" name="Shape 16854"/>
                        <wps:cNvSpPr/>
                        <wps:spPr>
                          <a:xfrm>
                            <a:off x="0" y="4953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56" name="Shape 16856"/>
                        <wps:cNvSpPr/>
                        <wps:spPr>
                          <a:xfrm>
                            <a:off x="0" y="6477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58" name="Shape 16858"/>
                        <wps:cNvSpPr/>
                        <wps:spPr>
                          <a:xfrm>
                            <a:off x="0" y="8001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60" name="Shape 16860"/>
                        <wps:cNvSpPr/>
                        <wps:spPr>
                          <a:xfrm>
                            <a:off x="0" y="9525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62" name="Shape 16862"/>
                        <wps:cNvSpPr/>
                        <wps:spPr>
                          <a:xfrm>
                            <a:off x="0" y="11049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64" name="Shape 16864"/>
                        <wps:cNvSpPr/>
                        <wps:spPr>
                          <a:xfrm>
                            <a:off x="0" y="12573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0425" style="width:4.5pt;height:103.5pt;position:absolute;mso-position-horizontal-relative:text;mso-position-horizontal:absolute;margin-left:16.5pt;mso-position-vertical-relative:text;margin-top:1.46006pt;" coordsize="571,13144">
                <v:shape id="Shape 16846" style="position:absolute;width:571;height:571;left:0;top:0;" coordsize="57150,57150" path="m28575,0c32364,0,36009,595,39510,1885c43011,3373,46101,5457,48781,8136c51460,10815,53525,13990,54975,17363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363c3625,13990,5690,10815,8369,8136c11049,5457,14139,3373,17640,1885c21141,595,24786,0,28575,0x">
                  <v:stroke weight="0pt" endcap="flat" joinstyle="miter" miterlimit="10" on="false" color="#000000" opacity="0"/>
                  <v:fill on="true" color="#333333"/>
                </v:shape>
                <v:shape id="Shape 16850" style="position:absolute;width:571;height:571;left:0;top:1905;"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10" on="false" color="#000000" opacity="0"/>
                  <v:fill on="true" color="#333333"/>
                </v:shape>
                <v:shape id="Shape 16852" style="position:absolute;width:571;height:571;left:0;top:3429;"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v:shape id="Shape 16854" style="position:absolute;width:571;height:571;left:0;top:4953;"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10" on="false" color="#000000" opacity="0"/>
                  <v:fill on="true" color="#333333"/>
                </v:shape>
                <v:shape id="Shape 16856" style="position:absolute;width:571;height:571;left:0;top:6477;"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v:shape id="Shape 16858" style="position:absolute;width:571;height:571;left:0;top:8001;"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10" on="false" color="#000000" opacity="0"/>
                  <v:fill on="true" color="#333333"/>
                </v:shape>
                <v:shape id="Shape 16860" style="position:absolute;width:571;height:571;left:0;top:9525;"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v:shape id="Shape 16862" style="position:absolute;width:571;height:571;left:0;top:11049;"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10" on="false" color="#000000" opacity="0"/>
                  <v:fill on="true" color="#333333"/>
                </v:shape>
                <v:shape id="Shape 16864" style="position:absolute;width:571;height:571;left:0;top:12573;" coordsize="57150,57150" path="m28575,0c32364,0,36009,695,39510,2084c43011,3373,46101,5358,48781,8136c51460,10716,53525,13791,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791,5690,10716,8369,8136c11049,5358,14139,3373,17640,2084c21141,695,24786,0,28575,0x">
                  <v:stroke weight="0pt" endcap="flat" joinstyle="miter" miterlimit="10" on="false" color="#000000" opacity="0"/>
                  <v:fill on="true" color="#333333"/>
                </v:shape>
                <w10:wrap type="square"/>
              </v:group>
            </w:pict>
          </mc:Fallback>
        </mc:AlternateContent>
      </w:r>
      <w:r>
        <w:t>HbA</w:t>
      </w:r>
      <w:r>
        <w:rPr>
          <w:sz w:val="31"/>
          <w:vertAlign w:val="subscript"/>
        </w:rPr>
        <w:t>1</w:t>
      </w:r>
      <w:r>
        <w:rPr>
          <w:sz w:val="20"/>
        </w:rPr>
        <w:t>c</w:t>
      </w:r>
      <w:r>
        <w:t>.</w:t>
      </w:r>
    </w:p>
    <w:p w:rsidR="008E3F15" w:rsidRDefault="005F449A">
      <w:pPr>
        <w:spacing w:after="31"/>
        <w:ind w:left="340" w:right="15"/>
      </w:pPr>
      <w:r>
        <w:t>Пероральный глюкозотолерантный тест.</w:t>
      </w:r>
    </w:p>
    <w:p w:rsidR="008E3F15" w:rsidRDefault="005F449A">
      <w:pPr>
        <w:spacing w:after="31"/>
        <w:ind w:left="340" w:right="15"/>
      </w:pPr>
      <w:r>
        <w:t>Липидограмма.</w:t>
      </w:r>
    </w:p>
    <w:p w:rsidR="008E3F15" w:rsidRDefault="005F449A">
      <w:pPr>
        <w:spacing w:after="31"/>
        <w:ind w:left="340" w:right="15"/>
      </w:pPr>
      <w:r>
        <w:t>С-пептид.</w:t>
      </w:r>
    </w:p>
    <w:p w:rsidR="008E3F15" w:rsidRDefault="005F449A">
      <w:pPr>
        <w:spacing w:after="31"/>
        <w:ind w:left="340" w:right="15"/>
      </w:pPr>
      <w:r>
        <w:t>Анализ мочи, альбуминурия.</w:t>
      </w:r>
    </w:p>
    <w:p w:rsidR="008E3F15" w:rsidRDefault="005F449A">
      <w:pPr>
        <w:spacing w:after="31"/>
        <w:ind w:left="340" w:right="15"/>
      </w:pPr>
      <w:r>
        <w:t>Креатинин, рСКФ.</w:t>
      </w:r>
    </w:p>
    <w:p w:rsidR="008E3F15" w:rsidRDefault="005F449A">
      <w:pPr>
        <w:spacing w:after="31"/>
        <w:ind w:left="340" w:right="15"/>
      </w:pPr>
      <w:r>
        <w:t>Консультация невролога, офтальмолога (офтальмоскопия).</w:t>
      </w:r>
    </w:p>
    <w:p w:rsidR="008E3F15" w:rsidRDefault="005F449A">
      <w:pPr>
        <w:spacing w:after="31"/>
        <w:ind w:left="340" w:right="15"/>
      </w:pPr>
      <w:r>
        <w:t>Лодыжечно-плечевой индекс.</w:t>
      </w:r>
    </w:p>
    <w:p w:rsidR="008E3F15" w:rsidRDefault="005F449A">
      <w:pPr>
        <w:spacing w:after="179"/>
        <w:ind w:left="-8" w:right="6000" w:firstLine="180"/>
      </w:pPr>
      <w:r>
        <w:t xml:space="preserve">Шкалы: FINDRISK, RECODe. </w:t>
      </w:r>
      <w:r>
        <w:rPr>
          <w:b/>
        </w:rP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8400"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310427" name="Group 31042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6867" name="Shape 16867"/>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69" name="Shape 16869"/>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6871" name="Shape 16871"/>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082"/>
                                  <a:pt x="39510" y="54769"/>
                                </a:cubicBezTo>
                                <a:cubicBezTo>
                                  <a:pt x="36009" y="56257"/>
                                  <a:pt x="32364" y="56952"/>
                                  <a:pt x="28575" y="57150"/>
                                </a:cubicBezTo>
                                <a:cubicBezTo>
                                  <a:pt x="24786" y="56952"/>
                                  <a:pt x="21141" y="56257"/>
                                  <a:pt x="17640" y="54769"/>
                                </a:cubicBezTo>
                                <a:cubicBezTo>
                                  <a:pt x="14139" y="53082"/>
                                  <a:pt x="11049" y="51197"/>
                                  <a:pt x="8369" y="48617"/>
                                </a:cubicBezTo>
                                <a:cubicBezTo>
                                  <a:pt x="5690" y="45839"/>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0427" style="width:4.5pt;height:28.5pt;position:absolute;mso-position-horizontal-relative:text;mso-position-horizontal:absolute;margin-left:16.5pt;mso-position-vertical-relative:text;margin-top:2.74219pt;" coordsize="571,3619">
                <v:shape id="Shape 16867" style="position:absolute;width:571;height:571;left:0;top:0;" coordsize="57150,57150" path="m28575,0c32364,0,36009,695,39510,2084c43011,3373,46101,5457,48781,8334c51460,10815,53525,13990,54975,17562c56425,20935,57150,24705,57150,28575c57150,32246,56425,35818,54975,39291c53525,42863,51460,45938,48781,48617c46101,51197,43011,53280,39510,54769c36009,56257,32364,56952,28575,57150c24786,56952,21141,56257,17640,54769c14139,53280,11049,51197,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6869" style="position:absolute;width:571;height:571;left:0;top:1524;" coordsize="57150,57150" path="m28575,0c32364,0,36009,695,39510,2084c43011,3373,46101,5457,48781,8334c51460,10815,53525,13990,54975,17562c56425,20935,57150,24705,57150,28575c57150,32246,56425,35818,54975,39291c53525,42664,51460,45839,48781,48617c46101,51296,43011,53380,39510,54769c36009,56257,32364,56952,28575,57150c24786,56952,21141,56257,17640,54769c14139,53380,11049,51296,8369,48617c5690,45839,3625,42664,2175,39291c725,35818,0,32246,0,28575c0,24705,725,20935,2175,17562c3625,13990,5690,10815,8369,8334c11049,5457,14139,3373,17640,2084c21141,695,24786,0,28575,0x">
                  <v:stroke weight="0pt" endcap="flat" joinstyle="miter" miterlimit="10" on="false" color="#000000" opacity="0"/>
                  <v:fill on="true" color="#333333"/>
                </v:shape>
                <v:shape id="Shape 16871" style="position:absolute;width:571;height:571;left:0;top:3048;" coordsize="57150,57150" path="m28575,0c32364,0,36009,695,39510,2084c43011,3373,46101,5457,48781,8334c51460,10815,53525,13990,54975,17562c56425,20935,57150,24705,57150,28575c57150,32246,56425,35818,54975,39291c53525,42664,51460,45839,48781,48617c46101,51197,43011,53082,39510,54769c36009,56257,32364,56952,28575,57150c24786,56952,21141,56257,17640,54769c14139,53082,11049,51197,8369,48617c5690,45839,3625,42664,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Диета.</w:t>
      </w:r>
    </w:p>
    <w:p w:rsidR="008E3F15" w:rsidRDefault="005F449A">
      <w:pPr>
        <w:spacing w:after="179"/>
        <w:ind w:left="340" w:right="2821"/>
      </w:pPr>
      <w:r>
        <w:t>Неинсулиновые антигипергликемические препараты. Инсулины.</w:t>
      </w:r>
    </w:p>
    <w:p w:rsidR="008E3F15" w:rsidRDefault="005F449A">
      <w:pPr>
        <w:ind w:left="2" w:right="15"/>
      </w:pPr>
      <w:r>
        <w:t>По данным отечественного регистра NATION, распространенность СД 2-го типа с</w:t>
      </w:r>
      <w:r>
        <w:t xml:space="preserve">оставила 5,4%, из них 2,5% — диагностированный ранее и 2,9% — недиагностированный. Ориентируясь на результаты международных эпидемиологических исследований, где СД выявлен у 9–13%, а предиабет — у 26–35% населения, можно констатировать, что основная часть </w:t>
      </w:r>
      <w:r>
        <w:t>пациентов с СД 2-го типа и предшествующими состояниями в нашей стране своевременно не выявляется (NHANES, NCD).</w:t>
      </w:r>
    </w:p>
    <w:p w:rsidR="008E3F15" w:rsidRDefault="005F449A">
      <w:pPr>
        <w:ind w:left="2" w:right="15"/>
      </w:pPr>
      <w:r>
        <w:t>В последние годы во многих странах наблюдается изменение структуры госпитализаций пациентов с СД (</w:t>
      </w:r>
      <w:r>
        <w:rPr>
          <w:b/>
        </w:rPr>
        <w:t>рис. 16.1</w:t>
      </w:r>
      <w:r>
        <w:t>).</w:t>
      </w:r>
    </w:p>
    <w:p w:rsidR="008E3F15" w:rsidRDefault="005F449A">
      <w:pPr>
        <w:spacing w:after="65" w:line="259" w:lineRule="auto"/>
        <w:ind w:left="0" w:right="0" w:firstLine="0"/>
      </w:pPr>
      <w:r>
        <w:rPr>
          <w:noProof/>
        </w:rPr>
        <w:drawing>
          <wp:inline distT="0" distB="0" distL="0" distR="0">
            <wp:extent cx="5057775" cy="4762500"/>
            <wp:effectExtent l="0" t="0" r="0" b="0"/>
            <wp:docPr id="16884" name="Picture 16884"/>
            <wp:cNvGraphicFramePr/>
            <a:graphic xmlns:a="http://schemas.openxmlformats.org/drawingml/2006/main">
              <a:graphicData uri="http://schemas.openxmlformats.org/drawingml/2006/picture">
                <pic:pic xmlns:pic="http://schemas.openxmlformats.org/drawingml/2006/picture">
                  <pic:nvPicPr>
                    <pic:cNvPr id="16884" name="Picture 16884"/>
                    <pic:cNvPicPr/>
                  </pic:nvPicPr>
                  <pic:blipFill>
                    <a:blip r:embed="rId141"/>
                    <a:stretch>
                      <a:fillRect/>
                    </a:stretch>
                  </pic:blipFill>
                  <pic:spPr>
                    <a:xfrm>
                      <a:off x="0" y="0"/>
                      <a:ext cx="5057775" cy="4762500"/>
                    </a:xfrm>
                    <a:prstGeom prst="rect">
                      <a:avLst/>
                    </a:prstGeom>
                  </pic:spPr>
                </pic:pic>
              </a:graphicData>
            </a:graphic>
          </wp:inline>
        </w:drawing>
      </w:r>
    </w:p>
    <w:p w:rsidR="008E3F15" w:rsidRDefault="005F449A">
      <w:pPr>
        <w:spacing w:after="330"/>
        <w:ind w:left="2" w:right="15"/>
      </w:pPr>
      <w:r>
        <w:rPr>
          <w:b/>
        </w:rPr>
        <w:t xml:space="preserve">Рис. 16.1. </w:t>
      </w:r>
      <w:r>
        <w:t>Причины госпитализаци</w:t>
      </w:r>
      <w:r>
        <w:t>и пациентов с диабетом (Pearson-Stuttard J. et al., 2022)</w:t>
      </w:r>
    </w:p>
    <w:p w:rsidR="008E3F15" w:rsidRDefault="005F449A">
      <w:pPr>
        <w:pStyle w:val="Heading1"/>
        <w:ind w:left="2"/>
      </w:pPr>
      <w:r>
        <w:t>Часть II. Коморбидные болезни</w:t>
      </w:r>
    </w:p>
    <w:p w:rsidR="008E3F15" w:rsidRDefault="005F449A">
      <w:pPr>
        <w:spacing w:after="31"/>
        <w:ind w:left="2" w:right="15"/>
      </w:pPr>
      <w:r>
        <w:t>Классификация</w:t>
      </w:r>
    </w:p>
    <w:p w:rsidR="008E3F15" w:rsidRDefault="005F449A">
      <w:pPr>
        <w:ind w:left="2" w:right="546"/>
      </w:pPr>
      <w:r>
        <w:t>Общепринятая классификация СД, основанная на современных представлениях о данной группе расстройств, характеризующихся нарушениями обмена углеводов, предс</w:t>
      </w:r>
      <w:r>
        <w:t xml:space="preserve">тавлена в </w:t>
      </w:r>
      <w:r>
        <w:rPr>
          <w:b/>
        </w:rPr>
        <w:t>табл. 16.1</w:t>
      </w:r>
      <w:r>
        <w:t>.</w:t>
      </w:r>
    </w:p>
    <w:p w:rsidR="008E3F15" w:rsidRDefault="005F449A">
      <w:pPr>
        <w:spacing w:after="31"/>
        <w:ind w:left="2" w:right="15"/>
      </w:pPr>
      <w:r>
        <w:rPr>
          <w:b/>
        </w:rPr>
        <w:t xml:space="preserve">Таблица 16.1. </w:t>
      </w:r>
      <w:r>
        <w:t>Классификация диабета (ADA)</w:t>
      </w:r>
    </w:p>
    <w:tbl>
      <w:tblPr>
        <w:tblStyle w:val="TableGrid"/>
        <w:tblW w:w="10485" w:type="dxa"/>
        <w:tblInd w:w="30" w:type="dxa"/>
        <w:tblCellMar>
          <w:top w:w="80" w:type="dxa"/>
          <w:left w:w="45" w:type="dxa"/>
          <w:bottom w:w="0" w:type="dxa"/>
          <w:right w:w="39" w:type="dxa"/>
        </w:tblCellMar>
        <w:tblLook w:val="04A0" w:firstRow="1" w:lastRow="0" w:firstColumn="1" w:lastColumn="0" w:noHBand="0" w:noVBand="1"/>
      </w:tblPr>
      <w:tblGrid>
        <w:gridCol w:w="1665"/>
        <w:gridCol w:w="8820"/>
      </w:tblGrid>
      <w:tr w:rsidR="008E3F15">
        <w:trPr>
          <w:trHeight w:val="330"/>
        </w:trPr>
        <w:tc>
          <w:tcPr>
            <w:tcW w:w="16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СД</w:t>
            </w:r>
          </w:p>
        </w:tc>
        <w:tc>
          <w:tcPr>
            <w:tcW w:w="8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Характеристика</w:t>
            </w:r>
          </w:p>
        </w:tc>
      </w:tr>
      <w:tr w:rsidR="008E3F15">
        <w:trPr>
          <w:trHeight w:val="570"/>
        </w:trPr>
        <w:tc>
          <w:tcPr>
            <w:tcW w:w="16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1-го типа</w:t>
            </w:r>
          </w:p>
        </w:tc>
        <w:tc>
          <w:tcPr>
            <w:tcW w:w="8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Аутоиммунная деструкция β-клеток поджелудочной железы, обычно приводящая к абсолютному дефициту инсулина</w:t>
            </w:r>
          </w:p>
        </w:tc>
      </w:tr>
      <w:tr w:rsidR="008E3F15">
        <w:trPr>
          <w:trHeight w:val="570"/>
        </w:trPr>
        <w:tc>
          <w:tcPr>
            <w:tcW w:w="16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2-го типа</w:t>
            </w:r>
          </w:p>
        </w:tc>
        <w:tc>
          <w:tcPr>
            <w:tcW w:w="8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26" w:firstLine="0"/>
            </w:pPr>
            <w:r>
              <w:t>Прогрессирующая потеря способности β-клеток секретировать инсулин, часто на фоне инсулинорезистентности</w:t>
            </w:r>
          </w:p>
        </w:tc>
      </w:tr>
      <w:tr w:rsidR="008E3F15">
        <w:trPr>
          <w:trHeight w:val="570"/>
        </w:trPr>
        <w:tc>
          <w:tcPr>
            <w:tcW w:w="16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Гестационный</w:t>
            </w:r>
          </w:p>
        </w:tc>
        <w:tc>
          <w:tcPr>
            <w:tcW w:w="8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СД, диагностированный в 2–3-м триместре беременности и не являющийся СД, предшествовавшим до беременности</w:t>
            </w:r>
          </w:p>
        </w:tc>
      </w:tr>
      <w:tr w:rsidR="008E3F15">
        <w:trPr>
          <w:trHeight w:val="1050"/>
        </w:trPr>
        <w:tc>
          <w:tcPr>
            <w:tcW w:w="166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Другие типы</w:t>
            </w:r>
          </w:p>
        </w:tc>
        <w:tc>
          <w:tcPr>
            <w:tcW w:w="88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Моногенные формы СД (неонатальный СД, СД молодых у взрослых), заболевания экзокринной части поджелудочной железы (муковисцидоз, панкреатит), СД, вызванный лекарствами (глюкокортикоиды, лечение ВИЧинфекции, после трансплантации органов)</w:t>
            </w:r>
          </w:p>
        </w:tc>
      </w:tr>
    </w:tbl>
    <w:p w:rsidR="008E3F15" w:rsidRDefault="005F449A">
      <w:pPr>
        <w:spacing w:after="133" w:line="259" w:lineRule="auto"/>
        <w:ind w:left="2" w:right="0"/>
      </w:pPr>
      <w:r>
        <w:rPr>
          <w:b/>
        </w:rPr>
        <w:t>Классификация МКБ-1</w:t>
      </w:r>
      <w:r>
        <w:rPr>
          <w:b/>
        </w:rPr>
        <w:t>0:</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79424"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313997" name="Group 313997"/>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6949" name="Shape 16949"/>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51" name="Shape 16951"/>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53" name="Shape 16953"/>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55" name="Shape 16955"/>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57" name="Shape 16957"/>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59" name="Shape 16959"/>
                        <wps:cNvSpPr/>
                        <wps:spPr>
                          <a:xfrm>
                            <a:off x="0" y="7620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61" name="Shape 16961"/>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997" style="width:4.5pt;height:76.5pt;position:absolute;mso-position-horizontal-relative:text;mso-position-horizontal:absolute;margin-left:16.5pt;mso-position-vertical-relative:text;margin-top:2.74219pt;" coordsize="571,9715">
                <v:shape id="Shape 16949" style="position:absolute;width:571;height:571;left:0;top:0;" coordsize="57150,57150" path="m28575,0c32364,0,36009,595,39510,1885c43011,3373,46101,5457,48781,8334c51460,10815,53525,13990,54975,17363c56425,20935,57150,24705,57150,28575c57150,32246,56425,35818,54975,39291c53525,42664,51460,45839,48781,48617c46101,51296,43011,53380,39510,54868c36009,56257,32364,56952,28575,57150c24786,56952,21141,56257,17640,54868c14139,53380,11049,51296,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6951" style="position:absolute;width:571;height:571;left:0;top:1524;" coordsize="57150,57150" path="m28575,0c32364,0,36009,695,39510,2084c43011,3572,46101,5655,48781,8334c51460,10815,53525,13990,54975,17363c56425,20935,57150,24705,57150,28575c57150,32246,56425,35818,54975,39291c53525,42664,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6953" style="position:absolute;width:571;height:571;left:0;top:3048;" coordsize="57150,57150" path="m28575,0c32364,0,36009,595,39510,1885c43011,3373,46101,5457,48781,8334c51460,10815,53525,13990,54975,17363c56425,20935,57150,24705,57150,28575c57150,32246,56425,35818,54975,39291c53525,42664,51460,45839,48781,48617c46101,51296,43011,53380,39510,54868c36009,56257,32364,56952,28575,57150c24786,56952,21141,56257,17640,54868c14139,53380,11049,51296,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6955" style="position:absolute;width:571;height:571;left:0;top:4572;" coordsize="57150,57150" path="m28575,0c32364,0,36009,695,39510,2084c43011,3572,46101,5655,48781,8334c51460,10815,53525,13990,54975,17363c56425,20935,57150,24705,57150,28575c57150,32246,56425,35818,54975,39291c53525,42664,51460,45839,48781,48617c46101,51197,43011,53280,39510,54868c36009,56257,32364,56952,28575,57150c24786,56952,21141,56257,17640,54868c14139,53280,11049,51197,8369,48617c5690,45839,3625,42664,2175,39291c725,35818,0,32246,0,28575c0,24705,725,20935,2175,17363c3625,13990,5690,10815,8369,8334c11049,5655,14139,3572,17640,2084c21141,695,24786,0,28575,0x">
                  <v:stroke weight="0pt" endcap="flat" joinstyle="miter" miterlimit="4" on="false" color="#000000" opacity="0"/>
                  <v:fill on="true" color="#333333"/>
                </v:shape>
                <v:shape id="Shape 16957" style="position:absolute;width:571;height:571;left:0;top:6096;" coordsize="57150,57150" path="m28575,0c32364,0,36009,595,39510,1885c43011,3373,46101,5457,48781,8136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136c11049,5457,14139,3373,17640,1885c21141,595,24786,0,28575,0x">
                  <v:stroke weight="0pt" endcap="flat" joinstyle="miter" miterlimit="4" on="false" color="#000000" opacity="0"/>
                  <v:fill on="true" color="#333333"/>
                </v:shape>
                <v:shape id="Shape 16959" style="position:absolute;width:571;height:571;left:0;top:7620;"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4" on="false" color="#000000" opacity="0"/>
                  <v:fill on="true" color="#333333"/>
                </v:shape>
                <v:shape id="Shape 16961" style="position:absolute;width:571;height:571;left:0;top:9144;" coordsize="57150,57150" path="m28575,0c32364,0,36009,595,39510,1885c43011,3373,46101,5457,48781,8136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136c11049,5457,14139,3373,17640,1885c21141,595,24786,0,28575,0x">
                  <v:stroke weight="0pt" endcap="flat" joinstyle="miter" miterlimit="4" on="false" color="#000000" opacity="0"/>
                  <v:fill on="true" color="#333333"/>
                </v:shape>
                <w10:wrap type="square"/>
              </v:group>
            </w:pict>
          </mc:Fallback>
        </mc:AlternateContent>
      </w:r>
      <w:r>
        <w:t>E10 СД 1-го типа;</w:t>
      </w:r>
    </w:p>
    <w:p w:rsidR="008E3F15" w:rsidRDefault="005F449A">
      <w:pPr>
        <w:spacing w:after="31"/>
        <w:ind w:left="340" w:right="15"/>
      </w:pPr>
      <w:r>
        <w:t>E11 СД 2-го типа;</w:t>
      </w:r>
    </w:p>
    <w:p w:rsidR="008E3F15" w:rsidRDefault="005F449A">
      <w:pPr>
        <w:spacing w:after="31"/>
        <w:ind w:left="340" w:right="15"/>
      </w:pPr>
      <w:r>
        <w:t>E12 СД, связанный с недостаточностью питания;</w:t>
      </w:r>
    </w:p>
    <w:p w:rsidR="008E3F15" w:rsidRDefault="005F449A">
      <w:pPr>
        <w:spacing w:after="31"/>
        <w:ind w:left="340" w:right="15"/>
      </w:pPr>
      <w:r>
        <w:t>E13 Другие уточненные формы СД;</w:t>
      </w:r>
    </w:p>
    <w:p w:rsidR="008E3F15" w:rsidRDefault="005F449A">
      <w:pPr>
        <w:spacing w:after="31"/>
        <w:ind w:left="340" w:right="15"/>
      </w:pPr>
      <w:r>
        <w:t>E14 СД неуточненный;</w:t>
      </w:r>
    </w:p>
    <w:p w:rsidR="008E3F15" w:rsidRDefault="005F449A">
      <w:pPr>
        <w:spacing w:after="31"/>
        <w:ind w:left="340" w:right="15"/>
      </w:pPr>
      <w:r>
        <w:t>О24 Гестационный СД;</w:t>
      </w:r>
    </w:p>
    <w:p w:rsidR="008E3F15" w:rsidRDefault="005F449A">
      <w:pPr>
        <w:spacing w:after="179"/>
        <w:ind w:left="340" w:right="182"/>
      </w:pPr>
      <w:r>
        <w:t>R73 Повышенное содержание глюкозы в крови (включает нарушенную толерантность к глюкозе и нарушен</w:t>
      </w:r>
      <w:r>
        <w:t>ную гликемию натощак).</w:t>
      </w:r>
    </w:p>
    <w:p w:rsidR="008E3F15" w:rsidRDefault="005F449A">
      <w:pPr>
        <w:spacing w:after="165"/>
        <w:ind w:left="2" w:right="15"/>
      </w:pPr>
      <w:r>
        <w:t>Рубрики E10–14 классифицируют дополнительными знаками: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80448" behindDoc="0" locked="0" layoutInCell="1" allowOverlap="1">
                <wp:simplePos x="0" y="0"/>
                <wp:positionH relativeFrom="column">
                  <wp:posOffset>209550</wp:posOffset>
                </wp:positionH>
                <wp:positionV relativeFrom="paragraph">
                  <wp:posOffset>34775</wp:posOffset>
                </wp:positionV>
                <wp:extent cx="57150" cy="1428750"/>
                <wp:effectExtent l="0" t="0" r="0" b="0"/>
                <wp:wrapSquare wrapText="bothSides"/>
                <wp:docPr id="313999" name="Group 313999"/>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16965" name="Shape 16965"/>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67" name="Shape 16967"/>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69" name="Shape 16969"/>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71" name="Shape 16971"/>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73" name="Shape 16973"/>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570"/>
                                </a:cubicBezTo>
                                <a:cubicBezTo>
                                  <a:pt x="36009" y="56059"/>
                                  <a:pt x="32364" y="56952"/>
                                  <a:pt x="28575" y="57150"/>
                                </a:cubicBezTo>
                                <a:cubicBezTo>
                                  <a:pt x="24786" y="56952"/>
                                  <a:pt x="21141" y="56059"/>
                                  <a:pt x="17640" y="54570"/>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75" name="Shape 16975"/>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77" name="Shape 16977"/>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147"/>
                                  <a:pt x="56425" y="35719"/>
                                  <a:pt x="54975" y="39092"/>
                                </a:cubicBezTo>
                                <a:cubicBezTo>
                                  <a:pt x="53525" y="42664"/>
                                  <a:pt x="51460" y="45839"/>
                                  <a:pt x="48781" y="48617"/>
                                </a:cubicBezTo>
                                <a:cubicBezTo>
                                  <a:pt x="46101" y="51197"/>
                                  <a:pt x="43011" y="53280"/>
                                  <a:pt x="39510" y="54570"/>
                                </a:cubicBezTo>
                                <a:cubicBezTo>
                                  <a:pt x="36009" y="56059"/>
                                  <a:pt x="32364" y="56952"/>
                                  <a:pt x="28575" y="57150"/>
                                </a:cubicBezTo>
                                <a:cubicBezTo>
                                  <a:pt x="24786" y="56952"/>
                                  <a:pt x="21141" y="56059"/>
                                  <a:pt x="17640" y="54570"/>
                                </a:cubicBezTo>
                                <a:cubicBezTo>
                                  <a:pt x="14139" y="53280"/>
                                  <a:pt x="11049" y="51197"/>
                                  <a:pt x="8369" y="48617"/>
                                </a:cubicBezTo>
                                <a:cubicBezTo>
                                  <a:pt x="5690" y="45839"/>
                                  <a:pt x="3625" y="42664"/>
                                  <a:pt x="2175" y="39092"/>
                                </a:cubicBezTo>
                                <a:cubicBezTo>
                                  <a:pt x="725" y="35719"/>
                                  <a:pt x="0" y="32147"/>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79" name="Shape 16979"/>
                        <wps:cNvSpPr/>
                        <wps:spPr>
                          <a:xfrm>
                            <a:off x="0" y="10668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815"/>
                                  <a:pt x="53525" y="13990"/>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990"/>
                                  <a:pt x="5690" y="10815"/>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81" name="Shape 16981"/>
                        <wps:cNvSpPr/>
                        <wps:spPr>
                          <a:xfrm>
                            <a:off x="0" y="12192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692"/>
                                  <a:pt x="54975" y="17363"/>
                                </a:cubicBezTo>
                                <a:cubicBezTo>
                                  <a:pt x="56425" y="20836"/>
                                  <a:pt x="57150" y="24507"/>
                                  <a:pt x="57150" y="28575"/>
                                </a:cubicBezTo>
                                <a:cubicBezTo>
                                  <a:pt x="57150" y="32147"/>
                                  <a:pt x="56425" y="35719"/>
                                  <a:pt x="54975" y="39092"/>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092"/>
                                </a:cubicBezTo>
                                <a:cubicBezTo>
                                  <a:pt x="725" y="35719"/>
                                  <a:pt x="0" y="32147"/>
                                  <a:pt x="0" y="28575"/>
                                </a:cubicBezTo>
                                <a:cubicBezTo>
                                  <a:pt x="0" y="24507"/>
                                  <a:pt x="725" y="20836"/>
                                  <a:pt x="2175" y="17363"/>
                                </a:cubicBezTo>
                                <a:cubicBezTo>
                                  <a:pt x="3625" y="13692"/>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6983" name="Shape 16983"/>
                        <wps:cNvSpPr/>
                        <wps:spPr>
                          <a:xfrm>
                            <a:off x="0" y="1371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999" style="width:4.5pt;height:112.5pt;position:absolute;mso-position-horizontal-relative:text;mso-position-horizontal:absolute;margin-left:16.5pt;mso-position-vertical-relative:text;margin-top:2.73822pt;" coordsize="571,14287">
                <v:shape id="Shape 16965" style="position:absolute;width:571;height:571;left:0;top:0;"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4" on="false" color="#000000" opacity="0"/>
                  <v:fill on="true" color="#333333"/>
                </v:shape>
                <v:shape id="Shape 16967" style="position:absolute;width:571;height:571;left:0;top:1524;"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4" on="false" color="#000000" opacity="0"/>
                  <v:fill on="true" color="#333333"/>
                </v:shape>
                <v:shape id="Shape 16969" style="position:absolute;width:571;height:571;left:0;top:3048;"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4" on="false" color="#000000" opacity="0"/>
                  <v:fill on="true" color="#333333"/>
                </v:shape>
                <v:shape id="Shape 16971" style="position:absolute;width:571;height:571;left:0;top:4572;"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4" on="false" color="#000000" opacity="0"/>
                  <v:fill on="true" color="#333333"/>
                </v:shape>
                <v:shape id="Shape 16973" style="position:absolute;width:571;height:571;left:0;top:6096;" coordsize="57150,57150" path="m28575,0c32364,0,36009,695,39510,2084c43011,3572,46101,5655,48781,8136c51460,10716,53525,13791,54975,17363c56425,20836,57150,24507,57150,28575c57150,32246,56425,35818,54975,39390c53525,42863,51460,45839,48781,48617c46101,51197,43011,53280,39510,54570c36009,56059,32364,56952,28575,57150c24786,56952,21141,56059,17640,54570c14139,53280,11049,51197,8369,48617c5690,45839,3625,42863,2175,39390c725,35818,0,32246,0,28575c0,24507,725,20836,2175,17363c3625,13791,5690,10716,8369,8136c11049,5655,14139,3572,17640,2084c21141,695,24786,0,28575,0x">
                  <v:stroke weight="0pt" endcap="flat" joinstyle="miter" miterlimit="4" on="false" color="#000000" opacity="0"/>
                  <v:fill on="true" color="#333333"/>
                </v:shape>
                <v:shape id="Shape 16975" style="position:absolute;width:571;height:571;left:0;top:7620;" coordsize="57150,57150" path="m28575,0c32364,0,36009,695,39510,2084c43011,3373,46101,5457,48781,8136c51460,10815,53525,13990,54975,17363c56425,20836,57150,24507,57150,28575c57150,32246,56425,35818,54975,39291c53525,42664,51460,45839,48781,48617c46101,51197,43011,53280,39510,54570c36009,56257,32364,56952,28575,57150c24786,56952,21141,56257,17640,54570c14139,53280,11049,51197,8369,48617c5690,45839,3625,42664,2175,39291c725,35818,0,32246,0,28575c0,24507,725,20836,2175,17363c3625,13990,5690,10815,8369,8136c11049,5457,14139,3373,17640,2084c21141,695,24786,0,28575,0x">
                  <v:stroke weight="0pt" endcap="flat" joinstyle="miter" miterlimit="4" on="false" color="#000000" opacity="0"/>
                  <v:fill on="true" color="#333333"/>
                </v:shape>
                <v:shape id="Shape 16977" style="position:absolute;width:571;height:571;left:0;top:9144;" coordsize="57150,57150" path="m28575,0c32364,0,36009,695,39510,2084c43011,3572,46101,5655,48781,8136c51460,10716,53525,13791,54975,17363c56425,20836,57150,24507,57150,28575c57150,32147,56425,35719,54975,39092c53525,42664,51460,45839,48781,48617c46101,51197,43011,53280,39510,54570c36009,56059,32364,56952,28575,57150c24786,56952,21141,56059,17640,54570c14139,53280,11049,51197,8369,48617c5690,45839,3625,42664,2175,39092c725,35719,0,32147,0,28575c0,24507,725,20836,2175,17363c3625,13791,5690,10716,8369,8136c11049,5655,14139,3572,17640,2084c21141,695,24786,0,28575,0x">
                  <v:stroke weight="0pt" endcap="flat" joinstyle="miter" miterlimit="4" on="false" color="#000000" opacity="0"/>
                  <v:fill on="true" color="#333333"/>
                </v:shape>
                <v:shape id="Shape 16979" style="position:absolute;width:571;height:571;left:0;top:10668;" coordsize="57150,57150" path="m28575,0c32364,0,36009,695,39510,2084c43011,3373,46101,5358,48781,8136c51460,10815,53525,13990,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990,5690,10815,8369,8136c11049,5358,14139,3373,17640,2084c21141,695,24786,0,28575,0x">
                  <v:stroke weight="0pt" endcap="flat" joinstyle="miter" miterlimit="4" on="false" color="#000000" opacity="0"/>
                  <v:fill on="true" color="#333333"/>
                </v:shape>
                <v:shape id="Shape 16981" style="position:absolute;width:571;height:571;left:0;top:12192;" coordsize="57150,57150" path="m28575,0c32364,0,36009,695,39510,2084c43011,3373,46101,5457,48781,8136c51460,10716,53525,13692,54975,17363c56425,20836,57150,24507,57150,28575c57150,32147,56425,35719,54975,39092c53525,42664,51460,45839,48781,48617c46101,51197,43011,53280,39510,54769c36009,56257,32364,56952,28575,57150c24786,56952,21141,56257,17640,54769c14139,53280,11049,51197,8369,48617c5690,45839,3625,42664,2175,39092c725,35719,0,32147,0,28575c0,24507,725,20836,2175,17363c3625,13692,5690,10716,8369,8136c11049,5457,14139,3373,17640,2084c21141,695,24786,0,28575,0x">
                  <v:stroke weight="0pt" endcap="flat" joinstyle="miter" miterlimit="4" on="false" color="#000000" opacity="0"/>
                  <v:fill on="true" color="#333333"/>
                </v:shape>
                <v:shape id="Shape 16983" style="position:absolute;width:571;height:571;left:0;top:13716;" coordsize="57150,57150" path="m28575,0c32364,0,36009,695,39510,2084c43011,3373,46101,5457,48781,8334c51460,10815,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815,8369,8334c11049,5457,14139,3373,17640,2084c21141,695,24786,0,28575,0x">
                  <v:stroke weight="0pt" endcap="flat" joinstyle="miter" miterlimit="4" on="false" color="#000000" opacity="0"/>
                  <v:fill on="true" color="#333333"/>
                </v:shape>
                <w10:wrap type="square"/>
              </v:group>
            </w:pict>
          </mc:Fallback>
        </mc:AlternateContent>
      </w:r>
      <w:r>
        <w:t>.0 с комой;</w:t>
      </w:r>
    </w:p>
    <w:p w:rsidR="008E3F15" w:rsidRDefault="005F449A">
      <w:pPr>
        <w:spacing w:after="31"/>
        <w:ind w:left="340" w:right="15"/>
      </w:pPr>
      <w:r>
        <w:t>.1 с кетоацидозом;</w:t>
      </w:r>
    </w:p>
    <w:p w:rsidR="008E3F15" w:rsidRDefault="005F449A">
      <w:pPr>
        <w:spacing w:after="31"/>
        <w:ind w:left="340" w:right="15"/>
      </w:pPr>
      <w:r>
        <w:t>.2 с поражениями почек;</w:t>
      </w:r>
    </w:p>
    <w:p w:rsidR="008E3F15" w:rsidRDefault="005F449A">
      <w:pPr>
        <w:spacing w:after="31"/>
        <w:ind w:left="340" w:right="15"/>
      </w:pPr>
      <w:r>
        <w:t>.3 с поражениями глаз;</w:t>
      </w:r>
    </w:p>
    <w:p w:rsidR="008E3F15" w:rsidRDefault="005F449A">
      <w:pPr>
        <w:spacing w:after="31"/>
        <w:ind w:left="340" w:right="15"/>
      </w:pPr>
      <w:r>
        <w:t>.4 с неврологическими осложнениями;</w:t>
      </w:r>
    </w:p>
    <w:p w:rsidR="008E3F15" w:rsidRDefault="005F449A">
      <w:pPr>
        <w:spacing w:after="31"/>
        <w:ind w:left="340" w:right="15"/>
      </w:pPr>
      <w:r>
        <w:t>.5 с нарушениями периферического кровообращения;</w:t>
      </w:r>
    </w:p>
    <w:p w:rsidR="008E3F15" w:rsidRDefault="005F449A">
      <w:pPr>
        <w:spacing w:after="31"/>
        <w:ind w:left="340" w:right="15"/>
      </w:pPr>
      <w:r>
        <w:t>.6 с другими уточненными осложнениями;</w:t>
      </w:r>
    </w:p>
    <w:p w:rsidR="008E3F15" w:rsidRDefault="005F449A">
      <w:pPr>
        <w:spacing w:after="179"/>
        <w:ind w:left="340" w:right="5765"/>
      </w:pPr>
      <w:r>
        <w:t>.7 с множественными осложнениями; .8 с неуточненными осложнениями; .9 без осложнений.</w:t>
      </w:r>
    </w:p>
    <w:p w:rsidR="008E3F15" w:rsidRDefault="005F449A">
      <w:pPr>
        <w:spacing w:after="31"/>
        <w:ind w:left="2" w:right="15"/>
      </w:pPr>
      <w:r>
        <w:rPr>
          <w:b/>
        </w:rPr>
        <w:t xml:space="preserve">Таблица 16.2. </w:t>
      </w:r>
      <w:r>
        <w:t>Примеры оформления диагноза</w:t>
      </w:r>
    </w:p>
    <w:tbl>
      <w:tblPr>
        <w:tblStyle w:val="TableGrid"/>
        <w:tblW w:w="10485" w:type="dxa"/>
        <w:tblInd w:w="30" w:type="dxa"/>
        <w:tblCellMar>
          <w:top w:w="80" w:type="dxa"/>
          <w:left w:w="42" w:type="dxa"/>
          <w:bottom w:w="0" w:type="dxa"/>
          <w:right w:w="115" w:type="dxa"/>
        </w:tblCellMar>
        <w:tblLook w:val="04A0" w:firstRow="1" w:lastRow="0" w:firstColumn="1" w:lastColumn="0" w:noHBand="0" w:noVBand="1"/>
      </w:tblPr>
      <w:tblGrid>
        <w:gridCol w:w="9075"/>
        <w:gridCol w:w="1410"/>
      </w:tblGrid>
      <w:tr w:rsidR="008E3F15">
        <w:trPr>
          <w:trHeight w:val="570"/>
        </w:trPr>
        <w:tc>
          <w:tcPr>
            <w:tcW w:w="90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Пример диагноза</w:t>
            </w:r>
          </w:p>
        </w:tc>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129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3" w:right="0" w:firstLine="0"/>
            </w:pPr>
            <w:r>
              <w:t>Сахарный диабет 2 типа. ХБП C3а. Диабетическая ретинопатия, препролиферативная.</w:t>
            </w:r>
          </w:p>
          <w:p w:rsidR="008E3F15" w:rsidRDefault="005F449A">
            <w:pPr>
              <w:spacing w:after="0" w:line="259" w:lineRule="auto"/>
              <w:ind w:left="3" w:right="0" w:firstLine="0"/>
            </w:pPr>
            <w:r>
              <w:t>Диабетическая стопа, ишемическая форма, стадия IIa.</w:t>
            </w:r>
          </w:p>
          <w:p w:rsidR="008E3F15" w:rsidRDefault="005F449A">
            <w:pPr>
              <w:spacing w:after="0" w:line="259" w:lineRule="auto"/>
              <w:ind w:left="3" w:right="0" w:firstLine="0"/>
            </w:pPr>
            <w:r>
              <w:t>Стабильная стенокардия, II ФК.</w:t>
            </w:r>
          </w:p>
          <w:p w:rsidR="008E3F15" w:rsidRDefault="005F449A">
            <w:pPr>
              <w:spacing w:after="0" w:line="259" w:lineRule="auto"/>
              <w:ind w:left="3" w:right="0" w:firstLine="0"/>
            </w:pPr>
            <w:r>
              <w:t>Дислипидемия IIa типа. Гипертоническая болезнь. ХСН, NYHA III</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E11.7</w:t>
            </w:r>
          </w:p>
        </w:tc>
      </w:tr>
      <w:tr w:rsidR="008E3F15">
        <w:trPr>
          <w:trHeight w:val="57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1253" w:firstLine="0"/>
            </w:pPr>
            <w:r>
              <w:t>Стабильная стенокардия II ФК, инфаркт мио карда (2014). Нарушенная гликемия натощак</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I20.8</w:t>
            </w:r>
          </w:p>
        </w:tc>
      </w:tr>
      <w:tr w:rsidR="008E3F15">
        <w:trPr>
          <w:trHeight w:val="57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Сахарный диабет 2 типа. Метаболизм-ассоциированная жировая болезнь печени</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E11.9</w:t>
            </w:r>
          </w:p>
        </w:tc>
      </w:tr>
      <w:tr w:rsidR="008E3F15">
        <w:trPr>
          <w:trHeight w:val="57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Хронический панкреатит, алкоголь-индуцированный, обострение. Вторичный сахарный диабет</w:t>
            </w:r>
          </w:p>
        </w:tc>
        <w:tc>
          <w:tcPr>
            <w:tcW w:w="1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K86.0</w:t>
            </w:r>
          </w:p>
        </w:tc>
      </w:tr>
      <w:tr w:rsidR="008E3F15">
        <w:trPr>
          <w:trHeight w:val="330"/>
        </w:trPr>
        <w:tc>
          <w:tcPr>
            <w:tcW w:w="90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Сахарный диабет, обусловленный хроническим панкреатитом</w:t>
            </w:r>
          </w:p>
        </w:tc>
        <w:tc>
          <w:tcPr>
            <w:tcW w:w="1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E13.9</w:t>
            </w:r>
          </w:p>
        </w:tc>
      </w:tr>
    </w:tbl>
    <w:p w:rsidR="008E3F15" w:rsidRDefault="005F449A">
      <w:pPr>
        <w:spacing w:after="344"/>
        <w:ind w:left="2" w:right="15"/>
      </w:pPr>
      <w:r>
        <w:t>СД 2-го типа у 5% пациентов может достигать ремиссии, критерием которой считают сохранение HbA</w:t>
      </w:r>
      <w:r>
        <w:rPr>
          <w:sz w:val="31"/>
          <w:vertAlign w:val="subscript"/>
        </w:rPr>
        <w:t>1</w:t>
      </w:r>
      <w:r>
        <w:rPr>
          <w:sz w:val="20"/>
        </w:rPr>
        <w:t>c</w:t>
      </w:r>
      <w:r>
        <w:t xml:space="preserve"> &lt;6,5% (48 ммоль/моль), измеренного ≥3 мес после прекращения приема глюкозоснижающих лекарственных препаратов (ES/EASD/ADA).</w:t>
      </w:r>
    </w:p>
    <w:p w:rsidR="008E3F15" w:rsidRDefault="005F449A">
      <w:pPr>
        <w:pStyle w:val="Heading1"/>
        <w:ind w:left="2"/>
      </w:pPr>
      <w:r>
        <w:t>Часть II. Коморбидные болезни</w:t>
      </w:r>
    </w:p>
    <w:p w:rsidR="008E3F15" w:rsidRDefault="005F449A">
      <w:pPr>
        <w:spacing w:after="31"/>
        <w:ind w:left="2" w:right="15"/>
      </w:pPr>
      <w:r>
        <w:t>Диагностика</w:t>
      </w:r>
    </w:p>
    <w:p w:rsidR="008E3F15" w:rsidRDefault="005F449A">
      <w:pPr>
        <w:ind w:left="2" w:right="15"/>
      </w:pPr>
      <w:r>
        <w:t>Основным методом диагностики СД является определение уровня глюкозы в крови. В норме верх</w:t>
      </w:r>
      <w:r>
        <w:t>ний уровень глюкозы в капиллярной крови натощак составляет &lt;5,6 ммоль/л, в плазме венозной крови — &lt;6,1 ммоль/л, а через 2 ч после еды — &lt;7,8 ммоль/л.</w:t>
      </w:r>
    </w:p>
    <w:p w:rsidR="008E3F15" w:rsidRDefault="005F449A">
      <w:pPr>
        <w:spacing w:after="179"/>
        <w:ind w:left="2" w:right="974"/>
      </w:pPr>
      <w:r>
        <w:t>Использование цельной капиллярной крови для оценки гликемии дает менее точные результаты, однако более уд</w:t>
      </w:r>
      <w:r>
        <w:t>обно и шире применяется в амбулаторной практике. Для установления диагноза СД необходим любой из критериев СД (ВОЗ; ADA):</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81472" behindDoc="0" locked="0" layoutInCell="1" allowOverlap="1">
                <wp:simplePos x="0" y="0"/>
                <wp:positionH relativeFrom="column">
                  <wp:posOffset>209550</wp:posOffset>
                </wp:positionH>
                <wp:positionV relativeFrom="paragraph">
                  <wp:posOffset>34826</wp:posOffset>
                </wp:positionV>
                <wp:extent cx="57150" cy="857250"/>
                <wp:effectExtent l="0" t="0" r="0" b="0"/>
                <wp:wrapSquare wrapText="bothSides"/>
                <wp:docPr id="311790" name="Group 311790"/>
                <wp:cNvGraphicFramePr/>
                <a:graphic xmlns:a="http://schemas.openxmlformats.org/drawingml/2006/main">
                  <a:graphicData uri="http://schemas.microsoft.com/office/word/2010/wordprocessingGroup">
                    <wpg:wgp>
                      <wpg:cNvGrpSpPr/>
                      <wpg:grpSpPr>
                        <a:xfrm>
                          <a:off x="0" y="0"/>
                          <a:ext cx="57150" cy="857250"/>
                          <a:chOff x="0" y="0"/>
                          <a:chExt cx="57150" cy="857250"/>
                        </a:xfrm>
                      </wpg:grpSpPr>
                      <wps:wsp>
                        <wps:cNvPr id="17075" name="Shape 1707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863"/>
                                  <a:pt x="51460" y="45938"/>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5938"/>
                                  <a:pt x="3625" y="42863"/>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078" name="Shape 17078"/>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081" name="Shape 17081"/>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356"/>
                                  <a:pt x="32364" y="57150"/>
                                  <a:pt x="28575" y="57150"/>
                                </a:cubicBezTo>
                                <a:cubicBezTo>
                                  <a:pt x="24786" y="57150"/>
                                  <a:pt x="21141" y="56356"/>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085" name="Shape 17085"/>
                        <wps:cNvSpPr/>
                        <wps:spPr>
                          <a:xfrm>
                            <a:off x="0" y="8001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790" style="width:4.5pt;height:67.5pt;position:absolute;mso-position-horizontal-relative:text;mso-position-horizontal:absolute;margin-left:16.5pt;mso-position-vertical-relative:text;margin-top:2.74219pt;" coordsize="571,8572">
                <v:shape id="Shape 17075" style="position:absolute;width:571;height:571;left:0;top:0;" coordsize="57150,57150" path="m28575,0c32364,0,36009,695,39510,2084c43011,3373,46101,5457,48781,8334c51460,10815,53525,13990,54975,17562c56425,20935,57150,24705,57150,28575c57150,32246,56425,36016,54975,39390c53525,42863,51460,45938,48781,48816c46101,51495,43011,53578,39510,54868c36009,56356,32364,57150,28575,57150c24786,57150,21141,56356,17640,54868c14139,53578,11049,51495,8369,48816c5690,45938,3625,42863,2175,39390c725,36016,0,32246,0,28575c0,24705,725,20935,2175,17562c3625,13990,5690,10815,8369,8334c11049,5457,14139,3373,17640,2084c21141,695,24786,0,28575,0x">
                  <v:stroke weight="0pt" endcap="flat" joinstyle="miter" miterlimit="4" on="false" color="#000000" opacity="0"/>
                  <v:fill on="true" color="#333333"/>
                </v:shape>
                <v:shape id="Shape 17078" style="position:absolute;width:571;height:571;left:0;top:3048;" coordsize="57150,57150" path="m28575,0c32364,0,36009,695,39510,2084c43011,3373,46101,5457,48781,8334c51460,10815,53525,13990,54975,17363c56425,20935,57150,24705,57150,28575c57150,32246,56425,35818,54975,39291c53525,42664,51460,45839,48781,48617c46101,51197,43011,53280,39510,54769c36009,56356,32364,57150,28575,57150c24786,57150,21141,56356,17640,54769c14139,53280,11049,51197,8369,48617c5690,45839,3625,42664,2175,39291c725,35818,0,32246,0,28575c0,24705,725,20935,2175,17363c3625,13990,5690,10815,8369,8334c11049,5457,14139,3373,17640,2084c21141,695,24786,0,28575,0x">
                  <v:stroke weight="0pt" endcap="flat" joinstyle="miter" miterlimit="4" on="false" color="#000000" opacity="0"/>
                  <v:fill on="true" color="#333333"/>
                </v:shape>
                <v:shape id="Shape 17081" style="position:absolute;width:571;height:571;left:0;top:6096;" coordsize="57150,57150" path="m28575,0c32364,0,36009,595,39510,1885c43011,3373,46101,5457,48781,8334c51460,10815,53525,13990,54975,17363c56425,20935,57150,24705,57150,28575c57150,32246,56425,35818,54975,39291c53525,42664,51460,45839,48781,48617c46101,51197,43011,53280,39510,54769c36009,56356,32364,57150,28575,57150c24786,57150,21141,56356,17640,54769c14139,53280,11049,51197,8369,48617c5690,45839,3625,42664,2175,39291c725,35818,0,32246,0,28575c0,24705,725,20935,2175,17363c3625,13990,5690,10815,8369,8334c11049,5457,14139,3373,17640,1885c21141,595,24786,0,28575,0x">
                  <v:stroke weight="0pt" endcap="flat" joinstyle="miter" miterlimit="4" on="false" color="#000000" opacity="0"/>
                  <v:fill on="true" color="#333333"/>
                </v:shape>
                <v:shape id="Shape 17085" style="position:absolute;width:571;height:571;left:0;top:8001;"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4" on="false" color="#000000" opacity="0"/>
                  <v:fill on="true" color="#333333"/>
                </v:shape>
                <w10:wrap type="square"/>
              </v:group>
            </w:pict>
          </mc:Fallback>
        </mc:AlternateContent>
      </w:r>
      <w:r>
        <w:t>глюкоза венозной плазмы ≥7,0 ммоль/л или капиллярной крови ≥6,1 ммоль/л натощак</w:t>
      </w:r>
    </w:p>
    <w:p w:rsidR="008E3F15" w:rsidRDefault="005F449A">
      <w:pPr>
        <w:spacing w:after="31"/>
        <w:ind w:left="340" w:right="15"/>
      </w:pPr>
      <w:r>
        <w:t>(последний прием пищи ≥8 ч назад);</w:t>
      </w:r>
    </w:p>
    <w:p w:rsidR="008E3F15" w:rsidRDefault="005F449A">
      <w:pPr>
        <w:ind w:left="340" w:right="496"/>
      </w:pPr>
      <w:r>
        <w:t>уровень глюкозы ве</w:t>
      </w:r>
      <w:r>
        <w:t>нозной плазмы или капиллярной крови ≥11,1 ммоль/л через 2 ч после нагрузки глюкозой; HbA</w:t>
      </w:r>
      <w:r>
        <w:rPr>
          <w:sz w:val="31"/>
          <w:vertAlign w:val="subscript"/>
        </w:rPr>
        <w:t>1</w:t>
      </w:r>
      <w:r>
        <w:rPr>
          <w:sz w:val="20"/>
        </w:rPr>
        <w:t>c</w:t>
      </w:r>
      <w:r>
        <w:t xml:space="preserve"> ≥6,5%;</w:t>
      </w:r>
    </w:p>
    <w:p w:rsidR="008E3F15" w:rsidRDefault="005F449A">
      <w:pPr>
        <w:spacing w:after="179"/>
        <w:ind w:left="340" w:right="15"/>
      </w:pPr>
      <w:r>
        <w:t>симптомы СД (полиурия, полидипсия, необъяснимая потеря массы тела) и случайная гликемия в венозной плазме или капиллярной крови ≥11,1 ммоль/л.</w:t>
      </w:r>
    </w:p>
    <w:p w:rsidR="008E3F15" w:rsidRDefault="005F449A">
      <w:pPr>
        <w:ind w:left="2" w:right="336"/>
      </w:pPr>
      <w:r>
        <w:t>При отсутствии очевидной гипергликемии диагноз подтверждается повторным тестом в другой день (ADA). Вначале нужно установить диагноз, а затем рекомендовать диету. Если используется другой тест и результаты не согласуются, то повторяют аномальный тест.</w:t>
      </w:r>
    </w:p>
    <w:p w:rsidR="008E3F15" w:rsidRDefault="005F449A">
      <w:pPr>
        <w:ind w:left="2" w:right="101"/>
      </w:pPr>
      <w:r>
        <w:t>Если</w:t>
      </w:r>
      <w:r>
        <w:t xml:space="preserve"> двукратный тест подтвердил наличие СД, а другой тест — нет (например, два теста HbA</w:t>
      </w:r>
      <w:r>
        <w:rPr>
          <w:sz w:val="31"/>
          <w:vertAlign w:val="subscript"/>
        </w:rPr>
        <w:t>1</w:t>
      </w:r>
      <w:r>
        <w:rPr>
          <w:sz w:val="20"/>
        </w:rPr>
        <w:t>c</w:t>
      </w:r>
      <w:r>
        <w:t xml:space="preserve"> ≥6,5% и гликемия натощак &lt;7,0 ммоль/л), то устанавливается диагноз СД. В случае когда тест выявил СД, а повторный тест был ниже порогового значения (редко HbA</w:t>
      </w:r>
      <w:r>
        <w:rPr>
          <w:sz w:val="31"/>
          <w:vertAlign w:val="subscript"/>
        </w:rPr>
        <w:t>1</w:t>
      </w:r>
      <w:r>
        <w:rPr>
          <w:sz w:val="20"/>
        </w:rPr>
        <w:t>c</w:t>
      </w:r>
      <w:r>
        <w:t>, может г</w:t>
      </w:r>
      <w:r>
        <w:t>ликемия натощак, чаще пероральный глюкозотолерантный тест), требуются тщательное наблюдение за пациентом и повторный тест через 3–6 мес.</w:t>
      </w:r>
    </w:p>
    <w:p w:rsidR="008E3F15" w:rsidRDefault="005F449A">
      <w:pPr>
        <w:spacing w:after="179"/>
        <w:ind w:left="2" w:right="15"/>
      </w:pPr>
      <w:r>
        <w:t>Выявление устойчивой гипергликемии при слабой реакции HbA</w:t>
      </w:r>
      <w:r>
        <w:rPr>
          <w:sz w:val="31"/>
          <w:vertAlign w:val="subscript"/>
        </w:rPr>
        <w:t>1</w:t>
      </w:r>
      <w:r>
        <w:rPr>
          <w:sz w:val="20"/>
        </w:rPr>
        <w:t>c</w:t>
      </w:r>
      <w:r>
        <w:t xml:space="preserve"> (для его диагностического повышения требуется гипергликемия</w:t>
      </w:r>
      <w:r>
        <w:t xml:space="preserve"> около трех месяцев) может отражать раннее начало СД. Кроме того, важно учесть ряд ситуаций, которые могут существенно повлиять на уровень гликемии и результаты тестов:</w:t>
      </w:r>
    </w:p>
    <w:p w:rsidR="008E3F15" w:rsidRDefault="005F449A">
      <w:pPr>
        <w:spacing w:after="206"/>
        <w:ind w:left="340" w:right="270"/>
      </w:pPr>
      <w:r>
        <w:rPr>
          <w:rFonts w:ascii="Calibri" w:eastAsia="Calibri" w:hAnsi="Calibri" w:cs="Calibri"/>
          <w:noProof/>
          <w:color w:val="000000"/>
          <w:sz w:val="22"/>
        </w:rPr>
        <mc:AlternateContent>
          <mc:Choice Requires="wpg">
            <w:drawing>
              <wp:anchor distT="0" distB="0" distL="114300" distR="114300" simplePos="0" relativeHeight="251882496" behindDoc="0" locked="0" layoutInCell="1" allowOverlap="1">
                <wp:simplePos x="0" y="0"/>
                <wp:positionH relativeFrom="column">
                  <wp:posOffset>209550</wp:posOffset>
                </wp:positionH>
                <wp:positionV relativeFrom="paragraph">
                  <wp:posOffset>34826</wp:posOffset>
                </wp:positionV>
                <wp:extent cx="57150" cy="209550"/>
                <wp:effectExtent l="0" t="0" r="0" b="0"/>
                <wp:wrapSquare wrapText="bothSides"/>
                <wp:docPr id="311791" name="Group 31179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17106" name="Shape 17106"/>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108" name="Shape 17108"/>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334"/>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334"/>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791" style="width:4.5pt;height:16.5pt;position:absolute;mso-position-horizontal-relative:text;mso-position-horizontal:absolute;margin-left:16.5pt;mso-position-vertical-relative:text;margin-top:2.74219pt;" coordsize="571,2095">
                <v:shape id="Shape 17106" style="position:absolute;width:571;height:571;left:0;top:0;"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4" on="false" color="#000000" opacity="0"/>
                  <v:fill on="true" color="#333333"/>
                </v:shape>
                <v:shape id="Shape 17108" style="position:absolute;width:571;height:571;left:0;top:1524;" coordsize="57150,57150" path="m28575,0c32364,0,36009,595,39510,1885c43011,3373,46101,5457,48781,8334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334c11049,5457,14139,3373,17640,1885c21141,595,24786,0,28575,0x">
                  <v:stroke weight="0pt" endcap="flat" joinstyle="miter" miterlimit="4" on="false" color="#000000" opacity="0"/>
                  <v:fill on="true" color="#333333"/>
                </v:shape>
                <w10:wrap type="square"/>
              </v:group>
            </w:pict>
          </mc:Fallback>
        </mc:AlternateContent>
      </w:r>
      <w:r>
        <w:t>острые заболевания, травмы или хирургические вмешательства, цирроз печени; прием препа</w:t>
      </w:r>
      <w:r>
        <w:t>ратов, повышающих уровень гликемии (глюкокортикоиды, тиазиды, βадреноблокаторы, статины и др.).</w:t>
      </w:r>
    </w:p>
    <w:p w:rsidR="008E3F15" w:rsidRDefault="005F449A">
      <w:pPr>
        <w:ind w:left="2" w:right="15"/>
      </w:pPr>
      <w:r>
        <w:rPr>
          <w:b/>
        </w:rPr>
        <w:t>Гликированный гемоглобин.</w:t>
      </w:r>
      <w:r>
        <w:t xml:space="preserve"> Оценка HbA</w:t>
      </w:r>
      <w:r>
        <w:rPr>
          <w:sz w:val="31"/>
          <w:vertAlign w:val="subscript"/>
        </w:rPr>
        <w:t>1</w:t>
      </w:r>
      <w:r>
        <w:rPr>
          <w:sz w:val="20"/>
        </w:rPr>
        <w:t>c</w:t>
      </w:r>
      <w:r>
        <w:t xml:space="preserve"> удобна, так как позволяет оценивать углеводный обмен независимо от приема пищи и в любое время суток, характеризуется мен</w:t>
      </w:r>
      <w:r>
        <w:t>ьшей вариабельностью ото дня ко дню, особенно при стрессе или заболевании. Наиболее точным методом оценки HbA</w:t>
      </w:r>
      <w:r>
        <w:rPr>
          <w:sz w:val="31"/>
          <w:vertAlign w:val="subscript"/>
        </w:rPr>
        <w:t>1</w:t>
      </w:r>
      <w:r>
        <w:rPr>
          <w:sz w:val="20"/>
        </w:rPr>
        <w:t>c</w:t>
      </w:r>
      <w:r>
        <w:t xml:space="preserve"> считается прямой метод высокоэффективной жидкостной хроматографии. Используемые приборы должны иметь сертификат NGSP.</w:t>
      </w:r>
    </w:p>
    <w:p w:rsidR="008E3F15" w:rsidRDefault="005F449A">
      <w:pPr>
        <w:ind w:left="2" w:right="92"/>
      </w:pPr>
      <w:r>
        <w:rPr>
          <w:b/>
        </w:rPr>
        <w:t>Пероральный глюкозотолеран</w:t>
      </w:r>
      <w:r>
        <w:rPr>
          <w:b/>
        </w:rPr>
        <w:t>тный тест</w:t>
      </w:r>
      <w:r>
        <w:t xml:space="preserve"> включает определение гликемии до и через 2 ч после пероральной нагрузки 75 г глюкозы и позволяет диагностировать СД у большего числа людей, чем определение глюкозы крови натощак или HbA</w:t>
      </w:r>
      <w:r>
        <w:rPr>
          <w:sz w:val="31"/>
          <w:vertAlign w:val="subscript"/>
        </w:rPr>
        <w:t>1</w:t>
      </w:r>
      <w:r>
        <w:rPr>
          <w:sz w:val="20"/>
        </w:rPr>
        <w:t>c</w:t>
      </w:r>
      <w:r>
        <w:t>. Это может быть связано с тем, что первоначально при наруш</w:t>
      </w:r>
      <w:r>
        <w:t>ениях углеводного обмена чаще повышается гликемия после еды, а HbA</w:t>
      </w:r>
      <w:r>
        <w:rPr>
          <w:sz w:val="31"/>
          <w:vertAlign w:val="subscript"/>
        </w:rPr>
        <w:t>1</w:t>
      </w:r>
      <w:r>
        <w:rPr>
          <w:sz w:val="20"/>
        </w:rPr>
        <w:t>c</w:t>
      </w:r>
      <w:r>
        <w:t>, как интегральный показатель, реагирует только через 2–3 мес. Тест не является рутинным и проводится в случаях сомнительных значений гликемии для уточнения диагноза. Вместе с тем в исслед</w:t>
      </w:r>
      <w:r>
        <w:t>овании Whitehall II у пациентов с критериями СД по глюкозотолерантному тесту и нормальным HbA</w:t>
      </w:r>
      <w:r>
        <w:rPr>
          <w:sz w:val="31"/>
          <w:vertAlign w:val="subscript"/>
        </w:rPr>
        <w:t>1</w:t>
      </w:r>
      <w:r>
        <w:rPr>
          <w:sz w:val="20"/>
        </w:rPr>
        <w:t>c</w:t>
      </w:r>
      <w:r>
        <w:t xml:space="preserve"> риск ССЗ и ХБП был сопоставим с риском у лиц без СД.</w:t>
      </w:r>
    </w:p>
    <w:p w:rsidR="008E3F15" w:rsidRDefault="005F449A">
      <w:pPr>
        <w:ind w:left="2" w:right="15"/>
      </w:pPr>
      <w:r>
        <w:t>При нарушении углеводного обмена (гипергликемия натощак или СД) частота изолированной нагрузочной гиперглик</w:t>
      </w:r>
      <w:r>
        <w:t xml:space="preserve">емии повышается с возрастом, особенно у женщин (DECODE). </w:t>
      </w:r>
      <w:r>
        <w:rPr>
          <w:b/>
        </w:rPr>
        <w:t>С-пептид</w:t>
      </w:r>
      <w:r>
        <w:t xml:space="preserve"> высвобождается из бета-клеток поджелудочной железы в процессе отщепления инсулина от проинсулина и используется для оценки секреции инсулина. Оценка С-пептида используется для отличия 1-го и</w:t>
      </w:r>
      <w:r>
        <w:t xml:space="preserve"> 2-го типов (&lt;200 пмоль/л при 1-м типе, &gt;600 пмоль/л при 2м типе), диагностике диабета молодых у взрослых, оценки риска гипогликемии. </w:t>
      </w:r>
      <w:r>
        <w:rPr>
          <w:b/>
        </w:rPr>
        <w:t xml:space="preserve">Предиабет. </w:t>
      </w:r>
      <w:r>
        <w:t>Нарушенные гликемия натощак и толерантность к глюкозе объединяются понятием «предиабет» (</w:t>
      </w:r>
      <w:r>
        <w:rPr>
          <w:b/>
        </w:rPr>
        <w:t>табл. 16.3</w:t>
      </w:r>
      <w:r>
        <w:t>), так как я</w:t>
      </w:r>
      <w:r>
        <w:t>вляются факторами риска для СД, который появится у 70% таких пациентов.</w:t>
      </w:r>
    </w:p>
    <w:p w:rsidR="008E3F15" w:rsidRDefault="005F449A">
      <w:pPr>
        <w:spacing w:after="31"/>
        <w:ind w:left="2" w:right="15"/>
      </w:pPr>
      <w:r>
        <w:rPr>
          <w:b/>
        </w:rPr>
        <w:t xml:space="preserve">Таблица 16.3. </w:t>
      </w:r>
      <w:r>
        <w:t>Критерии предиабета (ВОЗ; РАЭ)</w:t>
      </w:r>
    </w:p>
    <w:tbl>
      <w:tblPr>
        <w:tblStyle w:val="TableGrid"/>
        <w:tblW w:w="10020" w:type="dxa"/>
        <w:tblInd w:w="30" w:type="dxa"/>
        <w:tblCellMar>
          <w:top w:w="58" w:type="dxa"/>
          <w:left w:w="38" w:type="dxa"/>
          <w:bottom w:w="0" w:type="dxa"/>
          <w:right w:w="42" w:type="dxa"/>
        </w:tblCellMar>
        <w:tblLook w:val="04A0" w:firstRow="1" w:lastRow="0" w:firstColumn="1" w:lastColumn="0" w:noHBand="0" w:noVBand="1"/>
      </w:tblPr>
      <w:tblGrid>
        <w:gridCol w:w="4305"/>
        <w:gridCol w:w="1200"/>
        <w:gridCol w:w="1005"/>
        <w:gridCol w:w="1350"/>
        <w:gridCol w:w="1125"/>
        <w:gridCol w:w="1035"/>
      </w:tblGrid>
      <w:tr w:rsidR="008E3F15">
        <w:trPr>
          <w:trHeight w:val="308"/>
        </w:trPr>
        <w:tc>
          <w:tcPr>
            <w:tcW w:w="430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rPr>
                <w:b/>
              </w:rPr>
              <w:t>Тип предиабета</w:t>
            </w:r>
          </w:p>
        </w:tc>
        <w:tc>
          <w:tcPr>
            <w:tcW w:w="4680" w:type="dxa"/>
            <w:gridSpan w:val="4"/>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rPr>
                <w:b/>
              </w:rPr>
              <w:t>Глюкоза, ммоль/л</w:t>
            </w:r>
          </w:p>
        </w:tc>
        <w:tc>
          <w:tcPr>
            <w:tcW w:w="103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pPr>
            <w:r>
              <w:rPr>
                <w:b/>
              </w:rPr>
              <w:t>HbA</w:t>
            </w:r>
            <w:r>
              <w:rPr>
                <w:b/>
                <w:sz w:val="31"/>
                <w:vertAlign w:val="subscript"/>
              </w:rPr>
              <w:t>1</w:t>
            </w:r>
            <w:r>
              <w:rPr>
                <w:b/>
                <w:sz w:val="20"/>
              </w:rPr>
              <w:t>c</w:t>
            </w:r>
          </w:p>
        </w:tc>
      </w:tr>
      <w:tr w:rsidR="008E3F15">
        <w:trPr>
          <w:trHeight w:val="37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680" w:type="dxa"/>
            <w:gridSpan w:val="4"/>
            <w:tcBorders>
              <w:top w:val="single" w:sz="6" w:space="0" w:color="000000"/>
              <w:left w:val="single" w:sz="6" w:space="0" w:color="000000"/>
              <w:bottom w:val="nil"/>
              <w:right w:val="single" w:sz="6" w:space="0" w:color="000000"/>
            </w:tcBorders>
          </w:tcPr>
          <w:p w:rsidR="008E3F15" w:rsidRDefault="005F449A">
            <w:pPr>
              <w:spacing w:after="0" w:line="259" w:lineRule="auto"/>
              <w:ind w:left="3" w:right="0" w:firstLine="0"/>
              <w:jc w:val="both"/>
            </w:pPr>
            <w:r>
              <w:rPr>
                <w:b/>
                <w:bdr w:val="single" w:sz="12" w:space="0" w:color="000000"/>
              </w:rPr>
              <w:t>Венозной плазмы Капиллярной крови</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r>
      <w:tr w:rsidR="008E3F15">
        <w:trPr>
          <w:trHeight w:val="308"/>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200" w:type="dxa"/>
            <w:tcBorders>
              <w:top w:val="nil"/>
              <w:left w:val="nil"/>
              <w:bottom w:val="single" w:sz="6" w:space="0" w:color="000000"/>
              <w:right w:val="nil"/>
            </w:tcBorders>
          </w:tcPr>
          <w:p w:rsidR="008E3F15" w:rsidRDefault="005F449A">
            <w:pPr>
              <w:spacing w:after="0" w:line="259" w:lineRule="auto"/>
              <w:ind w:left="3" w:right="0" w:firstLine="0"/>
              <w:jc w:val="both"/>
            </w:pPr>
            <w:r>
              <w:rPr>
                <w:b/>
                <w:bdr w:val="single" w:sz="12" w:space="0" w:color="000000"/>
              </w:rPr>
              <w:t>Натощак</w:t>
            </w:r>
          </w:p>
        </w:tc>
        <w:tc>
          <w:tcPr>
            <w:tcW w:w="100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ПГТТ</w:t>
            </w:r>
          </w:p>
        </w:tc>
        <w:tc>
          <w:tcPr>
            <w:tcW w:w="13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rPr>
                <w:b/>
              </w:rPr>
              <w:t>Натощак</w:t>
            </w:r>
          </w:p>
        </w:tc>
        <w:tc>
          <w:tcPr>
            <w:tcW w:w="11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ПГТТ</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430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8" w:right="0" w:firstLine="0"/>
            </w:pPr>
            <w:r>
              <w:t>Нарушенная гликемия натощак</w:t>
            </w:r>
          </w:p>
        </w:tc>
        <w:tc>
          <w:tcPr>
            <w:tcW w:w="12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6,1–6,9</w:t>
            </w:r>
          </w:p>
        </w:tc>
        <w:tc>
          <w:tcPr>
            <w:tcW w:w="100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&lt;7,8</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5,6–6,0</w:t>
            </w:r>
          </w:p>
        </w:tc>
        <w:tc>
          <w:tcPr>
            <w:tcW w:w="11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&lt;7,8</w:t>
            </w:r>
          </w:p>
        </w:tc>
        <w:tc>
          <w:tcPr>
            <w:tcW w:w="103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jc w:val="both"/>
            </w:pPr>
            <w:r>
              <w:t>6,0–6,4%</w:t>
            </w:r>
          </w:p>
        </w:tc>
      </w:tr>
      <w:tr w:rsidR="008E3F15">
        <w:trPr>
          <w:trHeight w:val="330"/>
        </w:trPr>
        <w:tc>
          <w:tcPr>
            <w:tcW w:w="4305" w:type="dxa"/>
            <w:tcBorders>
              <w:top w:val="single" w:sz="6" w:space="0" w:color="000000"/>
              <w:left w:val="single" w:sz="6" w:space="0" w:color="000000"/>
              <w:bottom w:val="single" w:sz="6" w:space="0" w:color="000000"/>
              <w:right w:val="nil"/>
            </w:tcBorders>
          </w:tcPr>
          <w:p w:rsidR="008E3F15" w:rsidRDefault="005F449A">
            <w:pPr>
              <w:spacing w:after="0" w:line="259" w:lineRule="auto"/>
              <w:ind w:left="8" w:right="0" w:firstLine="0"/>
              <w:jc w:val="both"/>
            </w:pPr>
            <w:r>
              <w:rPr>
                <w:bdr w:val="single" w:sz="12" w:space="0" w:color="000000"/>
              </w:rPr>
              <w:t>Нарушенная толерантность к глюкозе</w:t>
            </w:r>
          </w:p>
        </w:tc>
        <w:tc>
          <w:tcPr>
            <w:tcW w:w="1200" w:type="dxa"/>
            <w:tcBorders>
              <w:top w:val="double" w:sz="6" w:space="0" w:color="000000"/>
              <w:left w:val="single" w:sz="6" w:space="0" w:color="000000"/>
              <w:bottom w:val="double" w:sz="6" w:space="0" w:color="000000"/>
              <w:right w:val="single" w:sz="6" w:space="0" w:color="000000"/>
            </w:tcBorders>
          </w:tcPr>
          <w:p w:rsidR="008E3F15" w:rsidRDefault="005F449A">
            <w:pPr>
              <w:spacing w:after="0" w:line="259" w:lineRule="auto"/>
              <w:ind w:left="3" w:right="0" w:firstLine="0"/>
            </w:pPr>
            <w:r>
              <w:t>&lt;7,0</w:t>
            </w:r>
          </w:p>
        </w:tc>
        <w:tc>
          <w:tcPr>
            <w:tcW w:w="1005" w:type="dxa"/>
            <w:tcBorders>
              <w:top w:val="single" w:sz="6" w:space="0" w:color="000000"/>
              <w:left w:val="nil"/>
              <w:bottom w:val="single" w:sz="6" w:space="0" w:color="000000"/>
              <w:right w:val="nil"/>
            </w:tcBorders>
          </w:tcPr>
          <w:p w:rsidR="008E3F15" w:rsidRDefault="005F449A">
            <w:pPr>
              <w:spacing w:after="0" w:line="259" w:lineRule="auto"/>
              <w:ind w:left="0" w:right="0" w:firstLine="0"/>
              <w:jc w:val="both"/>
            </w:pPr>
            <w:r>
              <w:rPr>
                <w:bdr w:val="single" w:sz="12" w:space="0" w:color="000000"/>
              </w:rPr>
              <w:t>7,8–11,0</w:t>
            </w:r>
          </w:p>
        </w:tc>
        <w:tc>
          <w:tcPr>
            <w:tcW w:w="1350" w:type="dxa"/>
            <w:tcBorders>
              <w:top w:val="double" w:sz="6" w:space="0" w:color="000000"/>
              <w:left w:val="single" w:sz="6" w:space="0" w:color="000000"/>
              <w:bottom w:val="double" w:sz="6" w:space="0" w:color="000000"/>
              <w:right w:val="single" w:sz="6" w:space="0" w:color="000000"/>
            </w:tcBorders>
          </w:tcPr>
          <w:p w:rsidR="008E3F15" w:rsidRDefault="005F449A">
            <w:pPr>
              <w:spacing w:after="0" w:line="259" w:lineRule="auto"/>
              <w:ind w:left="9" w:right="0" w:firstLine="0"/>
            </w:pPr>
            <w:r>
              <w:t>&lt;6,1</w:t>
            </w:r>
          </w:p>
        </w:tc>
        <w:tc>
          <w:tcPr>
            <w:tcW w:w="1125" w:type="dxa"/>
            <w:tcBorders>
              <w:top w:val="single" w:sz="6" w:space="0" w:color="000000"/>
              <w:left w:val="nil"/>
              <w:bottom w:val="single" w:sz="6" w:space="0" w:color="000000"/>
              <w:right w:val="nil"/>
            </w:tcBorders>
          </w:tcPr>
          <w:p w:rsidR="008E3F15" w:rsidRDefault="005F449A">
            <w:pPr>
              <w:spacing w:after="0" w:line="259" w:lineRule="auto"/>
              <w:ind w:left="0" w:right="0" w:firstLine="0"/>
            </w:pPr>
            <w:r>
              <w:rPr>
                <w:bdr w:val="single" w:sz="12" w:space="0" w:color="000000"/>
              </w:rPr>
              <w:t>7,8–11,0</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bl>
    <w:p w:rsidR="008E3F15" w:rsidRDefault="005F449A">
      <w:pPr>
        <w:spacing w:after="31"/>
        <w:ind w:left="2" w:right="15"/>
      </w:pPr>
      <w:r>
        <w:rPr>
          <w:b/>
        </w:rPr>
        <w:t>Примечание.</w:t>
      </w:r>
      <w:r>
        <w:t xml:space="preserve"> ПГТТ — пероральный глюкозотолерантный тест.</w:t>
      </w:r>
    </w:p>
    <w:p w:rsidR="008E3F15" w:rsidRDefault="005F449A">
      <w:pPr>
        <w:ind w:left="2" w:right="15"/>
      </w:pPr>
      <w:r>
        <w:t>Глобальная распространенность гипергликемии составляет 5,8%, а нарушенной толерантности к глюкозе — 9,1% (</w:t>
      </w:r>
      <w:r>
        <w:rPr>
          <w:b/>
        </w:rPr>
        <w:t>рис. 16.2</w:t>
      </w:r>
      <w:r>
        <w:t>). Связь предиабета с повышением риска ССЗ обусловлена в большей степени не гипергликемией, а ассоциированными с ней кардиометаболическими фа</w:t>
      </w:r>
      <w:r>
        <w:t>кторами риска (Whitehall II).</w:t>
      </w:r>
    </w:p>
    <w:p w:rsidR="008E3F15" w:rsidRDefault="005F449A">
      <w:pPr>
        <w:spacing w:after="65" w:line="259" w:lineRule="auto"/>
        <w:ind w:left="0" w:right="0" w:firstLine="0"/>
      </w:pPr>
      <w:r>
        <w:rPr>
          <w:noProof/>
        </w:rPr>
        <w:drawing>
          <wp:inline distT="0" distB="0" distL="0" distR="0">
            <wp:extent cx="5057775" cy="3390900"/>
            <wp:effectExtent l="0" t="0" r="0" b="0"/>
            <wp:docPr id="17240" name="Picture 17240"/>
            <wp:cNvGraphicFramePr/>
            <a:graphic xmlns:a="http://schemas.openxmlformats.org/drawingml/2006/main">
              <a:graphicData uri="http://schemas.openxmlformats.org/drawingml/2006/picture">
                <pic:pic xmlns:pic="http://schemas.openxmlformats.org/drawingml/2006/picture">
                  <pic:nvPicPr>
                    <pic:cNvPr id="17240" name="Picture 17240"/>
                    <pic:cNvPicPr/>
                  </pic:nvPicPr>
                  <pic:blipFill>
                    <a:blip r:embed="rId142"/>
                    <a:stretch>
                      <a:fillRect/>
                    </a:stretch>
                  </pic:blipFill>
                  <pic:spPr>
                    <a:xfrm>
                      <a:off x="0" y="0"/>
                      <a:ext cx="5057775" cy="3390900"/>
                    </a:xfrm>
                    <a:prstGeom prst="rect">
                      <a:avLst/>
                    </a:prstGeom>
                  </pic:spPr>
                </pic:pic>
              </a:graphicData>
            </a:graphic>
          </wp:inline>
        </w:drawing>
      </w:r>
    </w:p>
    <w:p w:rsidR="008E3F15" w:rsidRDefault="005F449A">
      <w:pPr>
        <w:spacing w:after="345"/>
        <w:ind w:left="2" w:right="15"/>
      </w:pPr>
      <w:r>
        <w:rPr>
          <w:b/>
        </w:rPr>
        <w:t xml:space="preserve">Рис. 16.2. </w:t>
      </w:r>
      <w:r>
        <w:t>Распространенность предиабета и возраст (Rooney M. et al., 2023)</w:t>
      </w:r>
    </w:p>
    <w:p w:rsidR="008E3F15" w:rsidRDefault="005F449A">
      <w:pPr>
        <w:pStyle w:val="Heading1"/>
        <w:spacing w:after="54"/>
        <w:ind w:left="2"/>
      </w:pPr>
      <w:r>
        <w:t>Часть II. Коморбидные болезни</w:t>
      </w:r>
    </w:p>
    <w:p w:rsidR="008E3F15" w:rsidRDefault="005F449A">
      <w:pPr>
        <w:ind w:left="2" w:right="629"/>
      </w:pPr>
      <w:r>
        <w:t>Гликемия натощак обладает низкой чувствительностью, а HbA</w:t>
      </w:r>
      <w:r>
        <w:rPr>
          <w:sz w:val="31"/>
          <w:vertAlign w:val="subscript"/>
        </w:rPr>
        <w:t>1</w:t>
      </w:r>
      <w:r>
        <w:rPr>
          <w:sz w:val="20"/>
        </w:rPr>
        <w:t>c</w:t>
      </w:r>
      <w:r>
        <w:t xml:space="preserve"> — невысокой чувствительностью и специфичностью для диагностики преддиабета (Barry E. et al., 2017). Необходимо отметить, что Американская диабетическая ассоциация и Европейская ассоциация по изучению СД установили более жесткие критерии нормы: гликемия в </w:t>
      </w:r>
      <w:r>
        <w:t>венозной плазме &lt;5,6 ммоль/л, HbA</w:t>
      </w:r>
      <w:r>
        <w:rPr>
          <w:sz w:val="31"/>
          <w:vertAlign w:val="subscript"/>
        </w:rPr>
        <w:t>1</w:t>
      </w:r>
      <w:r>
        <w:rPr>
          <w:sz w:val="20"/>
        </w:rPr>
        <w:t>c</w:t>
      </w:r>
      <w:r>
        <w:t xml:space="preserve"> &lt;5,7%.</w:t>
      </w:r>
    </w:p>
    <w:p w:rsidR="008E3F15" w:rsidRDefault="005F449A">
      <w:pPr>
        <w:ind w:left="2" w:right="15"/>
      </w:pPr>
      <w:r>
        <w:rPr>
          <w:b/>
        </w:rPr>
        <w:t>Беременность.</w:t>
      </w:r>
      <w:r>
        <w:t xml:space="preserve"> У беременных для оценки углеводного обмена используется только плазма венозной крови. Гестационный СД (гликемия натощак &lt;7,0 ммоль/л, через 1 ч после нагрузки глюкозой ≥10,0 ммоль/л, а через 2 ч — ≥8</w:t>
      </w:r>
      <w:r>
        <w:t>,5 и &lt;11,0 ммоль/л) характеризуется значительным повышением частоты перинатальных неблагоприятных событий и 8-кратным риском развития СД после родов (Chodick G. et al., 2010). Диагноз гестационного СД может быть поставлен на основании однократного определе</w:t>
      </w:r>
      <w:r>
        <w:t>ния гликемии.</w:t>
      </w:r>
    </w:p>
    <w:p w:rsidR="008E3F15" w:rsidRDefault="005F449A">
      <w:pPr>
        <w:ind w:left="2" w:right="15"/>
      </w:pPr>
      <w:r>
        <w:rPr>
          <w:b/>
        </w:rPr>
        <w:t>Скрининг.</w:t>
      </w:r>
      <w:r>
        <w:t xml:space="preserve"> Для своевременной диагностики часто скрытого течения СД 2-го типа может быть полезен скрининг (раннее выявление) заболевания в группах риска. В то же время скрининг СД не снижает смертность и заболеваемость (ADDITION-Cambridge; USPS</w:t>
      </w:r>
      <w:r>
        <w:t>TF). Для оценки риска развития СД 2-го типа может быть полезной шкала FINDRISK, валидизированная также новосибирскими исследователями (Мустафина С.В. и др., 2016).</w:t>
      </w:r>
    </w:p>
    <w:p w:rsidR="008E3F15" w:rsidRDefault="005F449A">
      <w:pPr>
        <w:spacing w:after="277"/>
        <w:ind w:left="2" w:right="173"/>
      </w:pPr>
      <w:r>
        <w:t>Скрининг в группах риска для выявления предиабета и СД показан каждые 3 года или чаще в зави</w:t>
      </w:r>
      <w:r>
        <w:t>симости от исходных результатов и степени риска (ADA).</w:t>
      </w:r>
    </w:p>
    <w:p w:rsidR="008E3F15" w:rsidRDefault="005F449A">
      <w:pPr>
        <w:ind w:left="600" w:right="64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1011" name="Group 31101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7268" name="Shape 17268"/>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863"/>
                                  <a:pt x="51460" y="45938"/>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5938"/>
                                  <a:pt x="3625" y="42863"/>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1011" style="width:4.5pt;height:4.5pt;mso-position-horizontal-relative:char;mso-position-vertical-relative:line" coordsize="571,571">
                <v:shape id="Shape 17268" style="position:absolute;width:571;height:571;left:0;top:0;" coordsize="57150,57150" path="m28575,0c32364,0,36009,695,39510,2084c43011,3373,46101,5457,48781,8334c51460,10815,53525,13990,54975,17562c56425,20935,57150,24705,57150,28575c57150,32246,56425,36016,54975,39390c53525,42863,51460,45938,48781,48816c46101,51495,43011,53578,39510,54868c36009,56356,32364,57150,28575,57150c24786,57150,21141,56356,17640,54868c14139,53578,11049,51495,8369,48816c5690,45938,3625,42863,2175,39390c725,36016,0,32246,0,28575c0,24705,725,20935,2175,17562c3625,13990,5690,10815,8369,8334c11049,5457,14139,3373,17640,2084c21141,695,24786,0,28575,0x">
                  <v:stroke weight="0pt" endcap="flat" joinstyle="miter" miterlimit="10" on="false" color="#000000" opacity="0"/>
                  <v:fill on="true" color="#333333"/>
                </v:shape>
              </v:group>
            </w:pict>
          </mc:Fallback>
        </mc:AlternateContent>
      </w:r>
      <w:r>
        <w:t xml:space="preserve"> Взрослым любого возраста с индексом массы тела ≥25 кг/м</w:t>
      </w:r>
      <w:r>
        <w:rPr>
          <w:sz w:val="31"/>
          <w:vertAlign w:val="superscript"/>
        </w:rPr>
        <w:t>2</w:t>
      </w:r>
      <w:r>
        <w:t xml:space="preserve"> (у азиатов ≥23 кг/м</w:t>
      </w:r>
      <w:r>
        <w:rPr>
          <w:sz w:val="31"/>
          <w:vertAlign w:val="superscript"/>
        </w:rPr>
        <w:t>2</w:t>
      </w:r>
      <w:r>
        <w:t>) и дополнительными факторами риска:</w:t>
      </w:r>
    </w:p>
    <w:p w:rsidR="008E3F15" w:rsidRDefault="005F449A">
      <w:pPr>
        <w:spacing w:after="31"/>
        <w:ind w:left="940" w:right="15"/>
      </w:pPr>
      <w:r>
        <w:rPr>
          <w:rFonts w:ascii="Calibri" w:eastAsia="Calibri" w:hAnsi="Calibri" w:cs="Calibri"/>
          <w:noProof/>
          <w:color w:val="000000"/>
          <w:sz w:val="22"/>
        </w:rPr>
        <mc:AlternateContent>
          <mc:Choice Requires="wpg">
            <w:drawing>
              <wp:anchor distT="0" distB="0" distL="114300" distR="114300" simplePos="0" relativeHeight="251883520" behindDoc="0" locked="0" layoutInCell="1" allowOverlap="1">
                <wp:simplePos x="0" y="0"/>
                <wp:positionH relativeFrom="column">
                  <wp:posOffset>590550</wp:posOffset>
                </wp:positionH>
                <wp:positionV relativeFrom="paragraph">
                  <wp:posOffset>34826</wp:posOffset>
                </wp:positionV>
                <wp:extent cx="57150" cy="1428750"/>
                <wp:effectExtent l="0" t="0" r="0" b="0"/>
                <wp:wrapSquare wrapText="bothSides"/>
                <wp:docPr id="311012" name="Group 311012"/>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17275" name="Shape 17275"/>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363"/>
                                </a:cubicBezTo>
                                <a:cubicBezTo>
                                  <a:pt x="56425" y="20935"/>
                                  <a:pt x="57150" y="24705"/>
                                  <a:pt x="57150" y="28575"/>
                                </a:cubicBezTo>
                                <a:cubicBezTo>
                                  <a:pt x="57150" y="32246"/>
                                  <a:pt x="56425" y="36016"/>
                                  <a:pt x="54975" y="39390"/>
                                </a:cubicBezTo>
                                <a:cubicBezTo>
                                  <a:pt x="53525" y="42863"/>
                                  <a:pt x="51460" y="45938"/>
                                  <a:pt x="48781" y="48816"/>
                                </a:cubicBezTo>
                                <a:cubicBezTo>
                                  <a:pt x="46101" y="51296"/>
                                  <a:pt x="43011" y="53380"/>
                                  <a:pt x="39510" y="54868"/>
                                </a:cubicBezTo>
                                <a:cubicBezTo>
                                  <a:pt x="36009" y="56356"/>
                                  <a:pt x="32364" y="57150"/>
                                  <a:pt x="28575" y="57150"/>
                                </a:cubicBezTo>
                                <a:cubicBezTo>
                                  <a:pt x="24786" y="57150"/>
                                  <a:pt x="21141" y="56356"/>
                                  <a:pt x="17640" y="54868"/>
                                </a:cubicBezTo>
                                <a:cubicBezTo>
                                  <a:pt x="14139" y="53380"/>
                                  <a:pt x="11049" y="51296"/>
                                  <a:pt x="8370" y="48816"/>
                                </a:cubicBezTo>
                                <a:cubicBezTo>
                                  <a:pt x="5690" y="45938"/>
                                  <a:pt x="3625" y="42863"/>
                                  <a:pt x="2175" y="39390"/>
                                </a:cubicBezTo>
                                <a:cubicBezTo>
                                  <a:pt x="725" y="36016"/>
                                  <a:pt x="0" y="32246"/>
                                  <a:pt x="0" y="28575"/>
                                </a:cubicBezTo>
                                <a:cubicBezTo>
                                  <a:pt x="0" y="24705"/>
                                  <a:pt x="725" y="20935"/>
                                  <a:pt x="2175" y="17363"/>
                                </a:cubicBezTo>
                                <a:cubicBezTo>
                                  <a:pt x="3625" y="13990"/>
                                  <a:pt x="5690" y="10815"/>
                                  <a:pt x="8370"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77" name="Shape 17277"/>
                        <wps:cNvSpPr/>
                        <wps:spPr>
                          <a:xfrm>
                            <a:off x="0" y="152400"/>
                            <a:ext cx="57150" cy="57150"/>
                          </a:xfrm>
                          <a:custGeom>
                            <a:avLst/>
                            <a:gdLst/>
                            <a:ahLst/>
                            <a:cxnLst/>
                            <a:rect l="0" t="0" r="0" b="0"/>
                            <a:pathLst>
                              <a:path w="57150" h="57150">
                                <a:moveTo>
                                  <a:pt x="28575" y="0"/>
                                </a:moveTo>
                                <a:cubicBezTo>
                                  <a:pt x="32364" y="0"/>
                                  <a:pt x="36009" y="695"/>
                                  <a:pt x="39510" y="2183"/>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183"/>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80" name="Shape 17280"/>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83" name="Shape 17283"/>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572"/>
                                  <a:pt x="46101" y="5655"/>
                                  <a:pt x="48781" y="8334"/>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868"/>
                                </a:cubicBezTo>
                                <a:cubicBezTo>
                                  <a:pt x="36009" y="56257"/>
                                  <a:pt x="32364" y="56952"/>
                                  <a:pt x="28575" y="57150"/>
                                </a:cubicBezTo>
                                <a:cubicBezTo>
                                  <a:pt x="24786" y="56952"/>
                                  <a:pt x="21141" y="56257"/>
                                  <a:pt x="17640" y="54868"/>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334"/>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85" name="Shape 17285"/>
                        <wps:cNvSpPr/>
                        <wps:spPr>
                          <a:xfrm>
                            <a:off x="0" y="914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296"/>
                                  <a:pt x="43011" y="53380"/>
                                  <a:pt x="39510" y="54868"/>
                                </a:cubicBezTo>
                                <a:cubicBezTo>
                                  <a:pt x="36009" y="56257"/>
                                  <a:pt x="32364" y="56952"/>
                                  <a:pt x="28575" y="57150"/>
                                </a:cubicBezTo>
                                <a:cubicBezTo>
                                  <a:pt x="24786" y="56952"/>
                                  <a:pt x="21141" y="56257"/>
                                  <a:pt x="17640" y="54868"/>
                                </a:cubicBezTo>
                                <a:cubicBezTo>
                                  <a:pt x="14139" y="53380"/>
                                  <a:pt x="11049" y="51296"/>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88" name="Shape 17288"/>
                        <wps:cNvSpPr/>
                        <wps:spPr>
                          <a:xfrm>
                            <a:off x="0" y="1219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70"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290" name="Shape 17290"/>
                        <wps:cNvSpPr/>
                        <wps:spPr>
                          <a:xfrm>
                            <a:off x="0" y="1371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70"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70"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012" style="width:4.50001pt;height:112.5pt;position:absolute;mso-position-horizontal-relative:text;mso-position-horizontal:absolute;margin-left:46.5pt;mso-position-vertical-relative:text;margin-top:2.74219pt;" coordsize="571,14287">
                <v:shape id="Shape 17275" style="position:absolute;width:571;height:571;left:0;top:0;" coordsize="57150,57150" path="m28575,0c32364,0,36009,695,39510,2084c43011,3373,46101,5457,48781,8334c51460,10815,53525,13990,54975,17363c56425,20935,57150,24705,57150,28575c57150,32246,56425,36016,54975,39390c53525,42863,51460,45938,48781,48816c46101,51296,43011,53380,39510,54868c36009,56356,32364,57150,28575,57150c24786,57150,21141,56356,17640,54868c14139,53380,11049,51296,8370,48816c5690,45938,3625,42863,2175,39390c725,36016,0,32246,0,28575c0,24705,725,20935,2175,17363c3625,13990,5690,10815,8370,8334c11049,5457,14139,3373,17640,2084c21141,695,24786,0,28575,0x">
                  <v:stroke weight="0pt" endcap="flat" joinstyle="miter" miterlimit="10" on="false" color="#000000" opacity="0"/>
                  <v:fill on="true" color="#333333"/>
                </v:shape>
                <v:shape id="Shape 17277" style="position:absolute;width:571;height:571;left:0;top:1524;" coordsize="57150,57150" path="m28575,0c32364,0,36009,695,39510,2183c43011,3572,46101,5655,48781,8334c51460,10815,53525,13990,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990,5690,10815,8370,8334c11049,5655,14139,3572,17640,2183c21141,695,24786,0,28575,0x">
                  <v:stroke weight="0pt" endcap="flat" joinstyle="miter" miterlimit="10" on="false" color="#000000" opacity="0"/>
                  <v:fill on="true" color="#333333"/>
                </v:shape>
                <v:shape id="Shape 17280" style="position:absolute;width:571;height:571;left:0;top:4572;" coordsize="57150,57150" path="m28575,0c32364,0,36009,695,39510,2084c43011,3572,46101,5655,48781,8334c51460,10815,53525,13990,54975,17363c56425,20935,57150,24705,57150,28575c57150,32246,56425,35818,54975,39291c53525,42664,51460,45839,48781,48617c46101,51197,43011,53280,39510,54769c36009,56059,32364,56952,28575,57150c24786,56952,21141,56059,17640,54769c14139,53280,11049,51197,8370,48617c5690,45839,3625,42664,2175,39291c725,35818,0,32246,0,28575c0,24705,725,20935,2175,17363c3625,13990,5690,10815,8370,8334c11049,5655,14139,3572,17640,2084c21141,695,24786,0,28575,0x">
                  <v:stroke weight="0pt" endcap="flat" joinstyle="miter" miterlimit="10" on="false" color="#000000" opacity="0"/>
                  <v:fill on="true" color="#333333"/>
                </v:shape>
                <v:shape id="Shape 17283" style="position:absolute;width:571;height:571;left:0;top:7620;" coordsize="57150,57150" path="m28575,0c32364,0,36009,695,39510,2084c43011,3572,46101,5655,48781,8334c51460,10815,53525,13990,54975,17363c56425,20935,57150,24705,57150,28575c57150,32246,56425,35818,54975,39291c53525,42664,51460,45839,48781,48617c46101,51197,43011,53280,39510,54868c36009,56257,32364,56952,28575,57150c24786,56952,21141,56257,17640,54868c14139,53280,11049,51197,8370,48617c5690,45839,3625,42664,2175,39291c725,35818,0,32246,0,28575c0,24705,725,20935,2175,17363c3625,13990,5690,10815,8370,8334c11049,5655,14139,3572,17640,2084c21141,695,24786,0,28575,0x">
                  <v:stroke weight="0pt" endcap="flat" joinstyle="miter" miterlimit="10" on="false" color="#000000" opacity="0"/>
                  <v:fill on="true" color="#333333"/>
                </v:shape>
                <v:shape id="Shape 17285" style="position:absolute;width:571;height:571;left:0;top:9144;" coordsize="57150,57150" path="m28575,0c32364,0,36009,595,39510,1885c43011,3373,46101,5457,48781,8136c51460,10815,53525,13990,54975,17363c56425,20935,57150,24705,57150,28575c57150,32246,56425,35818,54975,39291c53525,42664,51460,45839,48781,48617c46101,51296,43011,53380,39510,54868c36009,56257,32364,56952,28575,57150c24786,56952,21141,56257,17640,54868c14139,53380,11049,51296,8370,48617c5690,45839,3625,42664,2175,39291c725,35818,0,32246,0,28575c0,24705,725,20935,2175,17363c3625,13990,5690,10815,8370,8136c11049,5457,14139,3373,17640,1885c21141,595,24786,0,28575,0x">
                  <v:stroke weight="0pt" endcap="flat" joinstyle="miter" miterlimit="10" on="false" color="#000000" opacity="0"/>
                  <v:fill on="true" color="#333333"/>
                </v:shape>
                <v:shape id="Shape 17288" style="position:absolute;width:571;height:571;left:0;top:12192;" coordsize="57150,57150" path="m28575,0c32364,0,36009,595,39510,1885c43011,3373,46101,5457,48781,8136c51460,10815,53525,13990,54975,17363c56425,20935,57150,24705,57150,28575c57150,32246,56425,35818,54975,39291c53525,42664,51460,45839,48781,48617c46101,51197,43011,53280,39510,54769c36009,56257,32364,56952,28575,57150c24786,56952,21141,56257,17640,54769c14139,53280,11049,51197,8370,48617c5690,45839,3625,42664,2175,39291c725,35818,0,32246,0,28575c0,24705,725,20935,2175,17363c3625,13990,5690,10815,8370,8136c11049,5457,14139,3373,17640,1885c21141,595,24786,0,28575,0x">
                  <v:stroke weight="0pt" endcap="flat" joinstyle="miter" miterlimit="10" on="false" color="#000000" opacity="0"/>
                  <v:fill on="true" color="#333333"/>
                </v:shape>
                <v:shape id="Shape 17290" style="position:absolute;width:571;height:571;left:0;top:13716;"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70,48617c5690,45839,3625,42664,2175,39291c725,35719,0,32147,0,28575c0,24705,725,20935,2175,17363c3625,13791,5690,10716,8370,8136c11049,5457,14139,3373,17640,1885c21141,595,24786,0,28575,0x">
                  <v:stroke weight="0pt" endcap="flat" joinstyle="miter" miterlimit="10" on="false" color="#000000" opacity="0"/>
                  <v:fill on="true" color="#333333"/>
                </v:shape>
                <w10:wrap type="square"/>
              </v:group>
            </w:pict>
          </mc:Fallback>
        </mc:AlternateContent>
      </w:r>
      <w:r>
        <w:t>родственники первой линии родства с СД;</w:t>
      </w:r>
    </w:p>
    <w:p w:rsidR="008E3F15" w:rsidRDefault="005F449A">
      <w:pPr>
        <w:ind w:left="940" w:right="15"/>
      </w:pPr>
      <w:r>
        <w:t>ССЗ (коронарная болезнь, инсульты, транзиторные ишемические атаки, болезнь периферических артерий);</w:t>
      </w:r>
    </w:p>
    <w:p w:rsidR="008E3F15" w:rsidRDefault="005F449A">
      <w:pPr>
        <w:ind w:left="940" w:right="724"/>
      </w:pPr>
      <w:r>
        <w:t>артериальная гипертензия (≥140/90 мм рт.ст. или прием антигипертензивных препаратов); физически неактивные;</w:t>
      </w:r>
    </w:p>
    <w:p w:rsidR="008E3F15" w:rsidRDefault="005F449A">
      <w:pPr>
        <w:ind w:left="940" w:right="232"/>
      </w:pPr>
      <w:r>
        <w:t xml:space="preserve">холестерин липопротеинов высокой плотности &lt;0,9 </w:t>
      </w:r>
      <w:r>
        <w:t>ммоль/л и/или триглицериды &gt;2,82 ммоль/л;</w:t>
      </w:r>
    </w:p>
    <w:p w:rsidR="008E3F15" w:rsidRDefault="005F449A">
      <w:pPr>
        <w:spacing w:after="31"/>
        <w:ind w:left="940" w:right="15"/>
      </w:pPr>
      <w:r>
        <w:t>женщины с синдромом поликистозных яичников;</w:t>
      </w:r>
    </w:p>
    <w:p w:rsidR="008E3F15" w:rsidRDefault="005F449A">
      <w:pPr>
        <w:ind w:left="940" w:right="15"/>
      </w:pPr>
      <w:r>
        <w:t>другие состояния, ассоциированные с инсулинорезистентностью (например, выраженное ожирение).</w:t>
      </w:r>
    </w:p>
    <w:p w:rsidR="008E3F15" w:rsidRDefault="008E3F15">
      <w:pPr>
        <w:sectPr w:rsidR="008E3F15">
          <w:headerReference w:type="even" r:id="rId143"/>
          <w:headerReference w:type="default" r:id="rId144"/>
          <w:footerReference w:type="even" r:id="rId145"/>
          <w:footerReference w:type="default" r:id="rId146"/>
          <w:headerReference w:type="first" r:id="rId147"/>
          <w:footerReference w:type="first" r:id="rId148"/>
          <w:pgSz w:w="11899" w:h="16838"/>
          <w:pgMar w:top="365" w:right="665" w:bottom="290" w:left="690" w:header="334" w:footer="720" w:gutter="0"/>
          <w:cols w:space="720"/>
          <w:titlePg/>
        </w:sectPr>
      </w:pPr>
    </w:p>
    <w:p w:rsidR="008E3F15" w:rsidRDefault="005F449A">
      <w:pPr>
        <w:ind w:left="610" w:right="15"/>
      </w:pPr>
      <w:r>
        <w:t>Пациентам с предиабетом (нарушенная толерантность к глюкозе, нарушенная гликемия натощак или HbA</w:t>
      </w:r>
      <w:r>
        <w:rPr>
          <w:sz w:val="31"/>
          <w:vertAlign w:val="subscript"/>
        </w:rPr>
        <w:t>1</w:t>
      </w:r>
      <w:r>
        <w:rPr>
          <w:sz w:val="20"/>
        </w:rPr>
        <w:t>c</w:t>
      </w:r>
      <w:r>
        <w:t xml:space="preserve"> 5,7–6,4%) — ежегодно.</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84544" behindDoc="0" locked="0" layoutInCell="1" allowOverlap="1">
                <wp:simplePos x="0" y="0"/>
                <wp:positionH relativeFrom="column">
                  <wp:posOffset>209550</wp:posOffset>
                </wp:positionH>
                <wp:positionV relativeFrom="paragraph">
                  <wp:posOffset>34826</wp:posOffset>
                </wp:positionV>
                <wp:extent cx="57150" cy="361950"/>
                <wp:effectExtent l="0" t="0" r="0" b="0"/>
                <wp:wrapSquare wrapText="bothSides"/>
                <wp:docPr id="311871" name="Group 31187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7312" name="Shape 17312"/>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692"/>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692"/>
                                  <a:pt x="5690" y="10716"/>
                                  <a:pt x="8369" y="8136"/>
                                </a:cubicBezTo>
                                <a:cubicBezTo>
                                  <a:pt x="11049" y="5655"/>
                                  <a:pt x="14139" y="3572"/>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14" name="Shape 1731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815"/>
                                  <a:pt x="53525" y="13990"/>
                                  <a:pt x="54975" y="17363"/>
                                </a:cubicBezTo>
                                <a:cubicBezTo>
                                  <a:pt x="56425" y="20836"/>
                                  <a:pt x="57150" y="24507"/>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507"/>
                                  <a:pt x="725" y="20836"/>
                                  <a:pt x="2175" y="17363"/>
                                </a:cubicBezTo>
                                <a:cubicBezTo>
                                  <a:pt x="3625" y="13990"/>
                                  <a:pt x="5690" y="10815"/>
                                  <a:pt x="8369" y="8136"/>
                                </a:cubicBezTo>
                                <a:cubicBezTo>
                                  <a:pt x="11049" y="5358"/>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16" name="Shape 17316"/>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692"/>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692"/>
                                  <a:pt x="5690" y="10716"/>
                                  <a:pt x="8369" y="8136"/>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871" style="width:4.5pt;height:28.5pt;position:absolute;mso-position-horizontal-relative:text;mso-position-horizontal:absolute;margin-left:16.5pt;mso-position-vertical-relative:text;margin-top:2.74219pt;" coordsize="571,3619">
                <v:shape id="Shape 17312" style="position:absolute;width:571;height:571;left:0;top:0;" coordsize="57150,57150" path="m28575,0c32364,0,36009,695,39510,2084c43011,3572,46101,5655,48781,8136c51460,10716,53525,13692,54975,17363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363c3625,13692,5690,10716,8369,8136c11049,5655,14139,3572,17640,2084c21141,695,24786,0,28575,0x">
                  <v:stroke weight="0pt" endcap="flat" joinstyle="miter" miterlimit="10" on="false" color="#000000" opacity="0"/>
                  <v:fill on="true" color="#333333"/>
                </v:shape>
                <v:shape id="Shape 17314" style="position:absolute;width:571;height:571;left:0;top:1524;" coordsize="57150,57150" path="m28575,0c32364,0,36009,695,39510,2084c43011,3373,46101,5358,48781,8136c51460,10815,53525,13990,54975,17363c56425,20836,57150,24507,57150,28575c57150,32246,56425,35818,54975,39291c53525,42863,51460,45938,48781,48617c46101,51296,43011,53380,39510,54769c36009,56257,32364,56952,28575,57150c24786,56952,21141,56257,17640,54769c14139,53380,11049,51296,8369,48617c5690,45938,3625,42863,2175,39291c725,35818,0,32246,0,28575c0,24507,725,20836,2175,17363c3625,13990,5690,10815,8369,8136c11049,5358,14139,3373,17640,2084c21141,695,24786,0,28575,0x">
                  <v:stroke weight="0pt" endcap="flat" joinstyle="miter" miterlimit="10" on="false" color="#000000" opacity="0"/>
                  <v:fill on="true" color="#333333"/>
                </v:shape>
                <v:shape id="Shape 17316" style="position:absolute;width:571;height:571;left:0;top:3048;" coordsize="57150,57150" path="m28575,0c32364,0,36009,695,39510,2084c43011,3373,46101,5457,48781,8136c51460,10716,53525,13692,54975,17363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363c3625,13692,5690,10716,8369,8136c11049,5457,14139,3373,17640,2084c21141,695,24786,0,28575,0x">
                  <v:stroke weight="0pt" endcap="flat" joinstyle="miter" miterlimit="10" on="false" color="#000000" opacity="0"/>
                  <v:fill on="true" color="#333333"/>
                </v:shape>
                <w10:wrap type="square"/>
              </v:group>
            </w:pict>
          </mc:Fallback>
        </mc:AlternateContent>
      </w:r>
      <w:r>
        <w:t>Женщинам с гестационным СД в анамн</w:t>
      </w:r>
      <w:r>
        <w:t>езе — каждые 3 года.</w:t>
      </w:r>
    </w:p>
    <w:p w:rsidR="008E3F15" w:rsidRDefault="005F449A">
      <w:pPr>
        <w:spacing w:after="31"/>
        <w:ind w:left="340" w:right="15"/>
      </w:pPr>
      <w:r>
        <w:t>Всем взрослым, начиная с возраста 35 лет.</w:t>
      </w:r>
    </w:p>
    <w:p w:rsidR="008E3F15" w:rsidRDefault="005F449A">
      <w:pPr>
        <w:spacing w:after="31"/>
        <w:ind w:left="340" w:right="15"/>
      </w:pPr>
      <w:r>
        <w:t>Инфицированным ВИЧ.</w:t>
      </w:r>
    </w:p>
    <w:p w:rsidR="008E3F15" w:rsidRDefault="005F449A">
      <w:pPr>
        <w:ind w:left="2" w:right="178"/>
      </w:pPr>
      <w:r>
        <w:t xml:space="preserve">Для скрининга можно использовать любой тест (ADA). В то же время пероральный глюкозотолерантный тест по сравнению с гликемией натощак выявляет дополнительно до 30% ранее не </w:t>
      </w:r>
      <w:r>
        <w:t>диагностированного СД. Кроме того, первичная профилактика СД 2-го типа доказана только для нарушенной толерантности к глюкозе.</w:t>
      </w:r>
    </w:p>
    <w:p w:rsidR="008E3F15" w:rsidRDefault="005F449A">
      <w:pPr>
        <w:spacing w:after="165"/>
        <w:ind w:left="2" w:right="15"/>
      </w:pPr>
      <w:r>
        <w:t>СД 2-го типа характеризуется следующими признаками (ADA/EASD).</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85568"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311875" name="Group 311875"/>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7323" name="Shape 17323"/>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25" name="Shape 17325"/>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27" name="Shape 17327"/>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29" name="Shape 17329"/>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962"/>
                                  <a:pt x="51460" y="46137"/>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6137"/>
                                  <a:pt x="3625" y="42962"/>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31" name="Shape 17331"/>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938"/>
                                  <a:pt x="48781" y="48816"/>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816"/>
                                </a:cubicBezTo>
                                <a:cubicBezTo>
                                  <a:pt x="5690" y="45938"/>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33" name="Shape 17333"/>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6016"/>
                                  <a:pt x="54975" y="39390"/>
                                </a:cubicBezTo>
                                <a:cubicBezTo>
                                  <a:pt x="53525" y="42863"/>
                                  <a:pt x="51460" y="45938"/>
                                  <a:pt x="48781" y="48816"/>
                                </a:cubicBezTo>
                                <a:cubicBezTo>
                                  <a:pt x="46101" y="51495"/>
                                  <a:pt x="43011" y="53578"/>
                                  <a:pt x="39510" y="54868"/>
                                </a:cubicBezTo>
                                <a:cubicBezTo>
                                  <a:pt x="36009" y="56356"/>
                                  <a:pt x="32364" y="57150"/>
                                  <a:pt x="28575" y="57150"/>
                                </a:cubicBezTo>
                                <a:cubicBezTo>
                                  <a:pt x="24786" y="57150"/>
                                  <a:pt x="21141" y="56356"/>
                                  <a:pt x="17640" y="54868"/>
                                </a:cubicBezTo>
                                <a:cubicBezTo>
                                  <a:pt x="14139" y="53578"/>
                                  <a:pt x="11049" y="51495"/>
                                  <a:pt x="8369" y="48816"/>
                                </a:cubicBezTo>
                                <a:cubicBezTo>
                                  <a:pt x="5690" y="45938"/>
                                  <a:pt x="3625" y="42863"/>
                                  <a:pt x="2175" y="39390"/>
                                </a:cubicBezTo>
                                <a:cubicBezTo>
                                  <a:pt x="725" y="36016"/>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35" name="Shape 17335"/>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664"/>
                                  <a:pt x="51460" y="45938"/>
                                  <a:pt x="48781" y="48816"/>
                                </a:cubicBezTo>
                                <a:cubicBezTo>
                                  <a:pt x="46101" y="51296"/>
                                  <a:pt x="43011" y="53280"/>
                                  <a:pt x="39510" y="54769"/>
                                </a:cubicBezTo>
                                <a:cubicBezTo>
                                  <a:pt x="36009" y="56257"/>
                                  <a:pt x="32364" y="56952"/>
                                  <a:pt x="28575" y="57150"/>
                                </a:cubicBezTo>
                                <a:cubicBezTo>
                                  <a:pt x="24786" y="56952"/>
                                  <a:pt x="21141" y="56257"/>
                                  <a:pt x="17640" y="54769"/>
                                </a:cubicBezTo>
                                <a:cubicBezTo>
                                  <a:pt x="14139" y="53280"/>
                                  <a:pt x="11049" y="51296"/>
                                  <a:pt x="8369" y="48816"/>
                                </a:cubicBezTo>
                                <a:cubicBezTo>
                                  <a:pt x="5690" y="45938"/>
                                  <a:pt x="3625" y="42664"/>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875" style="width:4.5pt;height:76.5pt;position:absolute;mso-position-horizontal-relative:text;mso-position-horizontal:absolute;margin-left:16.5pt;mso-position-vertical-relative:text;margin-top:2.74219pt;" coordsize="571,9715">
                <v:shape id="Shape 17323" style="position:absolute;width:571;height:571;left:0;top: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7325" style="position:absolute;width:571;height:571;left:0;top:1524;"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v:shape id="Shape 17327" style="position:absolute;width:571;height:571;left:0;top:3048;" coordsize="57150,57150" path="m28575,0c32364,0,36009,695,39510,2084c43011,3373,46101,5457,48781,8334c51460,10815,53525,13990,54975,17562c56425,20935,57150,24705,57150,28575c57150,32246,56425,35818,54975,39291c53525,42863,51460,45938,48781,48816c46101,51296,43011,53380,39510,54769c36009,56257,32364,56952,28575,57150c24786,56952,21141,56257,17640,54769c14139,53380,11049,51296,8369,48816c5690,45938,3625,42863,2175,39291c725,35818,0,32246,0,28575c0,24705,725,20935,2175,17562c3625,13990,5690,10815,8369,8334c11049,5457,14139,3373,17640,2084c21141,695,24786,0,28575,0x">
                  <v:stroke weight="0pt" endcap="flat" joinstyle="miter" miterlimit="10" on="false" color="#000000" opacity="0"/>
                  <v:fill on="true" color="#333333"/>
                </v:shape>
                <v:shape id="Shape 17329" style="position:absolute;width:571;height:571;left:0;top:4572;" coordsize="57150,57150" path="m28575,0c32364,0,36009,695,39510,2084c43011,3373,46101,5457,48781,8334c51460,10815,53525,13990,54975,17562c56425,20935,57150,24705,57150,28575c57150,32246,56425,36016,54975,39390c53525,42962,51460,46137,48781,48816c46101,51495,43011,53578,39510,54868c36009,56356,32364,57150,28575,57150c24786,57150,21141,56356,17640,54868c14139,53578,11049,51495,8369,48816c5690,46137,3625,42962,2175,39390c725,36016,0,32246,0,28575c0,24705,725,20935,2175,17562c3625,13990,5690,10815,8369,8334c11049,5457,14139,3373,17640,2084c21141,695,24786,0,28575,0x">
                  <v:stroke weight="0pt" endcap="flat" joinstyle="miter" miterlimit="10" on="false" color="#000000" opacity="0"/>
                  <v:fill on="true" color="#333333"/>
                </v:shape>
                <v:shape id="Shape 17331" style="position:absolute;width:571;height:571;left:0;top:6096;" coordsize="57150,57150" path="m28575,0c32364,0,36009,695,39510,2084c43011,3373,46101,5457,48781,8334c51460,10815,53525,13990,54975,17562c56425,20935,57150,24705,57150,28575c57150,32246,56425,35818,54975,39291c53525,42664,51460,45938,48781,48816c46101,51296,43011,53380,39510,54769c36009,56257,32364,56952,28575,57150c24786,56952,21141,56257,17640,54769c14139,53380,11049,51296,8369,48816c5690,45938,3625,42664,2175,39291c725,35818,0,32246,0,28575c0,24705,725,20935,2175,17562c3625,13990,5690,10815,8369,8334c11049,5457,14139,3373,17640,2084c21141,695,24786,0,28575,0x">
                  <v:stroke weight="0pt" endcap="flat" joinstyle="miter" miterlimit="10" on="false" color="#000000" opacity="0"/>
                  <v:fill on="true" color="#333333"/>
                </v:shape>
                <v:shape id="Shape 17333" style="position:absolute;width:571;height:571;left:0;top:7620;" coordsize="57150,57150" path="m28575,0c32364,0,36009,695,39510,2084c43011,3373,46101,5457,48781,8334c51460,10815,53525,13990,54975,17562c56425,20935,57150,24705,57150,28575c57150,32246,56425,36016,54975,39390c53525,42863,51460,45938,48781,48816c46101,51495,43011,53578,39510,54868c36009,56356,32364,57150,28575,57150c24786,57150,21141,56356,17640,54868c14139,53578,11049,51495,8369,48816c5690,45938,3625,42863,2175,39390c725,36016,0,32246,0,28575c0,24705,725,20935,2175,17562c3625,13990,5690,10815,8369,8334c11049,5457,14139,3373,17640,2084c21141,695,24786,0,28575,0x">
                  <v:stroke weight="0pt" endcap="flat" joinstyle="miter" miterlimit="10" on="false" color="#000000" opacity="0"/>
                  <v:fill on="true" color="#333333"/>
                </v:shape>
                <v:shape id="Shape 17335" style="position:absolute;width:571;height:571;left:0;top:9144;" coordsize="57150,57150" path="m28575,0c32364,0,36009,695,39510,2084c43011,3373,46101,5457,48781,8334c51460,10815,53525,13990,54975,17562c56425,20935,57150,24705,57150,28575c57150,32246,56425,35818,54975,39291c53525,42664,51460,45938,48781,48816c46101,51296,43011,53280,39510,54769c36009,56257,32364,56952,28575,57150c24786,56952,21141,56257,17640,54769c14139,53280,11049,51296,8369,48816c5690,45938,3625,42664,2175,39291c725,35818,0,32246,0,28575c0,24705,725,20935,2175,17562c3625,13990,5690,10815,8369,8334c11049,5457,14139,3373,17640,2084c21141,695,24786,0,28575,0x">
                  <v:stroke weight="0pt" endcap="flat" joinstyle="miter" miterlimit="10" on="false" color="#000000" opacity="0"/>
                  <v:fill on="true" color="#333333"/>
                </v:shape>
                <w10:wrap type="square"/>
              </v:group>
            </w:pict>
          </mc:Fallback>
        </mc:AlternateContent>
      </w:r>
      <w:r>
        <w:t>Возраст &gt;35 лет.</w:t>
      </w:r>
    </w:p>
    <w:p w:rsidR="008E3F15" w:rsidRDefault="005F449A">
      <w:pPr>
        <w:spacing w:after="31"/>
        <w:ind w:left="340" w:right="15"/>
      </w:pPr>
      <w:r>
        <w:t>Нет потери массы тела.</w:t>
      </w:r>
    </w:p>
    <w:p w:rsidR="008E3F15" w:rsidRDefault="005F449A">
      <w:pPr>
        <w:spacing w:after="31"/>
        <w:ind w:left="340" w:right="15"/>
      </w:pPr>
      <w:r>
        <w:t>Ожирение.</w:t>
      </w:r>
    </w:p>
    <w:p w:rsidR="008E3F15" w:rsidRDefault="005F449A">
      <w:pPr>
        <w:spacing w:after="31"/>
        <w:ind w:left="340" w:right="15"/>
      </w:pPr>
      <w:r>
        <w:t>Невыраженная гл</w:t>
      </w:r>
      <w:r>
        <w:t>икемия без кетоацидоза.</w:t>
      </w:r>
    </w:p>
    <w:p w:rsidR="008E3F15" w:rsidRDefault="005F449A">
      <w:pPr>
        <w:spacing w:after="31"/>
        <w:ind w:left="340" w:right="15"/>
      </w:pPr>
      <w:r>
        <w:t>СД 2-го типа в семейном анамнезе.</w:t>
      </w:r>
    </w:p>
    <w:p w:rsidR="008E3F15" w:rsidRDefault="005F449A">
      <w:pPr>
        <w:spacing w:after="179"/>
        <w:ind w:left="340" w:right="2099"/>
      </w:pPr>
      <w:r>
        <w:t>Возможность коррекции диетой, пероральными препаратами Уровень С-пептида &gt;600 пмоль/л.</w:t>
      </w:r>
    </w:p>
    <w:p w:rsidR="008E3F15" w:rsidRDefault="005F449A">
      <w:pPr>
        <w:ind w:left="2" w:right="15"/>
      </w:pPr>
      <w:r>
        <w:t>Следует отметить, что у 9% госпитализированных с СД пациентов причиной заболевания является поражение поджелудочной железы, преимущественно панкреатит (Ewald N. et al., 2012). Это особая форма СД (3с типа), имеющая особенности в лечении: в частности, следу</w:t>
      </w:r>
      <w:r>
        <w:t>ет избегать антидиабетических препаратов, которые способны повредить поджелудочную железу (Руяткина Л.А., Руяткин Д.С., 2018).</w:t>
      </w:r>
    </w:p>
    <w:p w:rsidR="008E3F15" w:rsidRDefault="005F449A">
      <w:pPr>
        <w:spacing w:after="179"/>
        <w:ind w:left="2" w:right="816"/>
      </w:pPr>
      <w:r>
        <w:rPr>
          <w:b/>
        </w:rPr>
        <w:t xml:space="preserve">Клиническая картина. </w:t>
      </w:r>
      <w:r>
        <w:t>Для неконтролируемого СД характерны симптомы, связанные с гипергликемией:</w:t>
      </w:r>
    </w:p>
    <w:p w:rsidR="008E3F15" w:rsidRDefault="005F449A">
      <w:pPr>
        <w:spacing w:after="179"/>
        <w:ind w:left="340" w:right="7284"/>
      </w:pPr>
      <w:r>
        <w:rPr>
          <w:rFonts w:ascii="Calibri" w:eastAsia="Calibri" w:hAnsi="Calibri" w:cs="Calibri"/>
          <w:noProof/>
          <w:color w:val="000000"/>
          <w:sz w:val="22"/>
        </w:rPr>
        <mc:AlternateContent>
          <mc:Choice Requires="wpg">
            <w:drawing>
              <wp:anchor distT="0" distB="0" distL="114300" distR="114300" simplePos="0" relativeHeight="251886592" behindDoc="0" locked="0" layoutInCell="1" allowOverlap="1">
                <wp:simplePos x="0" y="0"/>
                <wp:positionH relativeFrom="column">
                  <wp:posOffset>209550</wp:posOffset>
                </wp:positionH>
                <wp:positionV relativeFrom="paragraph">
                  <wp:posOffset>34826</wp:posOffset>
                </wp:positionV>
                <wp:extent cx="57150" cy="666750"/>
                <wp:effectExtent l="0" t="0" r="0" b="0"/>
                <wp:wrapSquare wrapText="bothSides"/>
                <wp:docPr id="311883" name="Group 311883"/>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7345" name="Shape 17345"/>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47" name="Shape 17347"/>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49" name="Shape 17349"/>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51" name="Shape 17351"/>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7353" name="Shape 17353"/>
                        <wps:cNvSpPr/>
                        <wps:spPr>
                          <a:xfrm>
                            <a:off x="0" y="6096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1883" style="width:4.5pt;height:52.5pt;position:absolute;mso-position-horizontal-relative:text;mso-position-horizontal:absolute;margin-left:16.5pt;mso-position-vertical-relative:text;margin-top:2.74219pt;" coordsize="571,6667">
                <v:shape id="Shape 17345" style="position:absolute;width:571;height:571;left:0;top:0;"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10" on="false" color="#000000" opacity="0"/>
                  <v:fill on="true" color="#333333"/>
                </v:shape>
                <v:shape id="Shape 17347" style="position:absolute;width:571;height:571;left:0;top:1524;" coordsize="57150,57150" path="m28575,0c32364,0,36009,595,39510,1885c43011,3373,46101,5457,48781,8136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136c11049,5457,14139,3373,17640,1885c21141,595,24786,0,28575,0x">
                  <v:stroke weight="0pt" endcap="flat" joinstyle="miter" miterlimit="10" on="false" color="#000000" opacity="0"/>
                  <v:fill on="true" color="#333333"/>
                </v:shape>
                <v:shape id="Shape 17349" style="position:absolute;width:571;height:571;left:0;top:3048;"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10" on="false" color="#000000" opacity="0"/>
                  <v:fill on="true" color="#333333"/>
                </v:shape>
                <v:shape id="Shape 17351" style="position:absolute;width:571;height:571;left:0;top:4572;" coordsize="57150,57150" path="m28575,0c32364,0,36009,595,39510,1885c43011,3373,46101,5457,48781,8136c51460,10815,53525,13990,54975,17363c56425,20836,57150,24507,57150,28575c57150,32246,56425,35818,54975,39390c53525,42863,51460,45938,48781,48617c46101,51197,43011,53280,39510,54769c36009,56257,32364,56952,28575,57150c24786,56952,21141,56257,17640,54769c14139,53280,11049,51197,8369,48617c5690,45938,3625,42863,2175,39390c725,35818,0,32246,0,28575c0,24507,725,20836,2175,17363c3625,13990,5690,10815,8369,8136c11049,5457,14139,3373,17640,1885c21141,595,24786,0,28575,0x">
                  <v:stroke weight="0pt" endcap="flat" joinstyle="miter" miterlimit="10" on="false" color="#000000" opacity="0"/>
                  <v:fill on="true" color="#333333"/>
                </v:shape>
                <v:shape id="Shape 17353" style="position:absolute;width:571;height:571;left:0;top:6096;" coordsize="57150,57150" path="m28575,0c32364,0,36009,595,39510,1885c43011,3373,46101,5457,48781,8136c51460,10716,53525,13791,54975,17363c56425,20836,57150,24507,57150,28575c57150,32246,56425,35818,54975,39390c53525,42863,51460,45839,48781,48617c46101,51197,43011,53280,39510,54769c36009,56059,32364,56952,28575,57150c24786,56952,21141,56059,17640,54769c14139,53280,11049,51197,8369,48617c5690,45839,3625,42863,2175,39390c725,35818,0,32246,0,28575c0,24507,725,20836,2175,17363c3625,13791,5690,10716,8369,8136c11049,5457,14139,3373,17640,1885c21141,595,24786,0,28575,0x">
                  <v:stroke weight="0pt" endcap="flat" joinstyle="miter" miterlimit="10" on="false" color="#000000" opacity="0"/>
                  <v:fill on="true" color="#333333"/>
                </v:shape>
                <w10:wrap type="square"/>
              </v:group>
            </w:pict>
          </mc:Fallback>
        </mc:AlternateContent>
      </w:r>
      <w:r>
        <w:t>жажда; полиурия; похудание; кожный зуд; склонность к инфекции.</w:t>
      </w:r>
    </w:p>
    <w:p w:rsidR="008E3F15" w:rsidRDefault="005F449A">
      <w:pPr>
        <w:ind w:left="2" w:right="15"/>
      </w:pPr>
      <w:r>
        <w:t>Перечисленные симптомы при СД 2-го типа выражены умеренно, проявляются мягче, чем при СД 1-го типа, а нередко вообще отсутствуют; диагноз часто устанавливается случайно при исследовании гликеми</w:t>
      </w:r>
      <w:r>
        <w:t>и.</w:t>
      </w:r>
    </w:p>
    <w:p w:rsidR="008E3F15" w:rsidRDefault="005F449A">
      <w:pPr>
        <w:ind w:left="2" w:right="15"/>
      </w:pPr>
      <w:r>
        <w:t>В большинстве случаев заболевание проявляется после 40 лет у пациентов с повышенной массой тела и осложненным семейным анамнезом СД. Так, по данным отечественного регистра NATION, распространенность СД 2-го типа у лиц в возрасте ≥45 лет с ожирением сост</w:t>
      </w:r>
      <w:r>
        <w:t>авила 15%, а при добавлении к этим факторам отягощенной наследственности — 21%.</w:t>
      </w:r>
    </w:p>
    <w:p w:rsidR="008E3F15" w:rsidRDefault="005F449A">
      <w:pPr>
        <w:spacing w:after="31"/>
        <w:ind w:left="2" w:right="15"/>
      </w:pPr>
      <w:r>
        <w:t>В последние годы отмечено значительное «омоложение» СД 2-го типа.</w:t>
      </w:r>
    </w:p>
    <w:p w:rsidR="008E3F15" w:rsidRDefault="005F449A">
      <w:pPr>
        <w:ind w:left="2" w:right="15"/>
      </w:pPr>
      <w:r>
        <w:t>Важное значение имеет оценка факторов риска и наличия ССЗ [особенно СК (часто атипичной), транзиторных ишемиче</w:t>
      </w:r>
      <w:r>
        <w:t>ских атак], которые являются основной причиной смерти пациентов с СД 2-го типа.</w:t>
      </w:r>
    </w:p>
    <w:p w:rsidR="008E3F15" w:rsidRDefault="005F449A">
      <w:pPr>
        <w:ind w:left="2" w:right="15"/>
      </w:pPr>
      <w:r>
        <w:rPr>
          <w:b/>
        </w:rPr>
        <w:t xml:space="preserve">Осложнения. </w:t>
      </w:r>
      <w:r>
        <w:t>У пациентов с неадекватно контролируемым СД 2-го типа может развиться кетоацидоз (в тяжелых случаях с комой), обычно вследствие выраженного стресса, острого заболев</w:t>
      </w:r>
      <w:r>
        <w:t>ания или приема лекарств (глюкокортикоиды, антипсихотики и др.). Нельзя исключить связь приема иНГЛТ-2, особенно больше 1 года и у пациентов старше 60 лет, с повышением риска эугликемического кетоацидоза (Liu J. et al., 2020; Donnan J. et al., 2019).</w:t>
      </w:r>
    </w:p>
    <w:p w:rsidR="008E3F15" w:rsidRDefault="005F449A">
      <w:pPr>
        <w:spacing w:after="344"/>
        <w:ind w:left="2" w:right="15"/>
      </w:pPr>
      <w:r>
        <w:t>Неред</w:t>
      </w:r>
      <w:r>
        <w:t>ко развиваются гиперосмолярные состояния, осложняя послеоперационный период или реанимационные мероприятия. Повышение частоты гиперосмолярного синдрома отмечено на фоне COVID-19 у пациентов с СД 2-го типа. Гиперосмолярность ухудшает прогноз через риск коаг</w:t>
      </w:r>
      <w:r>
        <w:t>уляционных осложнений, значимо влияя на увеличение смертности.</w:t>
      </w:r>
    </w:p>
    <w:p w:rsidR="008E3F15" w:rsidRDefault="005F449A">
      <w:pPr>
        <w:pStyle w:val="Heading1"/>
        <w:ind w:left="2"/>
      </w:pPr>
      <w:r>
        <w:t>Часть II. Коморбидные болезни</w:t>
      </w:r>
    </w:p>
    <w:p w:rsidR="008E3F15" w:rsidRDefault="005F449A">
      <w:pPr>
        <w:ind w:left="2" w:right="15"/>
      </w:pPr>
      <w:r>
        <w:t>Лактацидоз — полиэтиологическое состояние, которое провоцирует любая гипоксия, при этом лактацидотическая кома — очень редкое осложнение СД 2-го типа.</w:t>
      </w:r>
    </w:p>
    <w:p w:rsidR="008E3F15" w:rsidRDefault="005F449A">
      <w:pPr>
        <w:ind w:left="2" w:right="15"/>
      </w:pPr>
      <w:r>
        <w:t>Большая част</w:t>
      </w:r>
      <w:r>
        <w:t>ь пациентов имеет поздние осложнения СД уже на момент манифестации заболевания и установления диагноза. В то же время ранняя диагностика бессимптомной формы коронарного атеросклероза не влияет существенно на смертность, частоту сердечных событий и госпитал</w:t>
      </w:r>
      <w:r>
        <w:t>изаций (DIAD; DYNAMIT).</w:t>
      </w:r>
    </w:p>
    <w:p w:rsidR="008E3F15" w:rsidRDefault="005F449A">
      <w:pPr>
        <w:spacing w:line="259" w:lineRule="auto"/>
        <w:ind w:right="0"/>
      </w:pPr>
      <w:r>
        <w:rPr>
          <w:i/>
        </w:rPr>
        <w:t>Острые:</w:t>
      </w:r>
    </w:p>
    <w:p w:rsidR="008E3F15" w:rsidRDefault="005F449A">
      <w:pPr>
        <w:spacing w:after="179"/>
        <w:ind w:left="340" w:right="4451"/>
      </w:pPr>
      <w:r>
        <w:rPr>
          <w:rFonts w:ascii="Calibri" w:eastAsia="Calibri" w:hAnsi="Calibri" w:cs="Calibri"/>
          <w:noProof/>
          <w:color w:val="000000"/>
          <w:sz w:val="22"/>
        </w:rPr>
        <mc:AlternateContent>
          <mc:Choice Requires="wpg">
            <w:drawing>
              <wp:anchor distT="0" distB="0" distL="114300" distR="114300" simplePos="0" relativeHeight="251887616" behindDoc="0" locked="0" layoutInCell="1" allowOverlap="1">
                <wp:simplePos x="0" y="0"/>
                <wp:positionH relativeFrom="column">
                  <wp:posOffset>209550</wp:posOffset>
                </wp:positionH>
                <wp:positionV relativeFrom="paragraph">
                  <wp:posOffset>187226</wp:posOffset>
                </wp:positionV>
                <wp:extent cx="57150" cy="361950"/>
                <wp:effectExtent l="0" t="0" r="0" b="0"/>
                <wp:wrapSquare wrapText="bothSides"/>
                <wp:docPr id="313729" name="Group 313729"/>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7405" name="Shape 17405"/>
                        <wps:cNvSpPr/>
                        <wps:spPr>
                          <a:xfrm>
                            <a:off x="0" y="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791"/>
                                  <a:pt x="54975" y="17363"/>
                                </a:cubicBezTo>
                                <a:cubicBezTo>
                                  <a:pt x="56425" y="20836"/>
                                  <a:pt x="57150" y="24507"/>
                                  <a:pt x="57150" y="28575"/>
                                </a:cubicBezTo>
                                <a:cubicBezTo>
                                  <a:pt x="57150" y="32246"/>
                                  <a:pt x="56425" y="35818"/>
                                  <a:pt x="54975" y="39390"/>
                                </a:cubicBezTo>
                                <a:cubicBezTo>
                                  <a:pt x="53525" y="42863"/>
                                  <a:pt x="51460" y="45839"/>
                                  <a:pt x="48781" y="48617"/>
                                </a:cubicBezTo>
                                <a:cubicBezTo>
                                  <a:pt x="46101" y="51197"/>
                                  <a:pt x="43011" y="53280"/>
                                  <a:pt x="39510" y="54570"/>
                                </a:cubicBezTo>
                                <a:cubicBezTo>
                                  <a:pt x="36009" y="56059"/>
                                  <a:pt x="32364" y="56952"/>
                                  <a:pt x="28575" y="57150"/>
                                </a:cubicBezTo>
                                <a:cubicBezTo>
                                  <a:pt x="24786" y="56952"/>
                                  <a:pt x="21141" y="56059"/>
                                  <a:pt x="17640" y="54570"/>
                                </a:cubicBezTo>
                                <a:cubicBezTo>
                                  <a:pt x="14139" y="53280"/>
                                  <a:pt x="11049" y="51197"/>
                                  <a:pt x="8369" y="48617"/>
                                </a:cubicBezTo>
                                <a:cubicBezTo>
                                  <a:pt x="5690" y="45839"/>
                                  <a:pt x="3625" y="42863"/>
                                  <a:pt x="2175" y="39390"/>
                                </a:cubicBezTo>
                                <a:cubicBezTo>
                                  <a:pt x="725" y="35818"/>
                                  <a:pt x="0" y="32246"/>
                                  <a:pt x="0" y="28575"/>
                                </a:cubicBezTo>
                                <a:cubicBezTo>
                                  <a:pt x="0" y="24507"/>
                                  <a:pt x="725" y="20836"/>
                                  <a:pt x="2175" y="17363"/>
                                </a:cubicBezTo>
                                <a:cubicBezTo>
                                  <a:pt x="3625" y="13791"/>
                                  <a:pt x="5690" y="10716"/>
                                  <a:pt x="8369" y="8136"/>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07" name="Shape 17407"/>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815"/>
                                  <a:pt x="53525" y="13990"/>
                                  <a:pt x="54975" y="17363"/>
                                </a:cubicBezTo>
                                <a:cubicBezTo>
                                  <a:pt x="56425" y="20836"/>
                                  <a:pt x="57150" y="24507"/>
                                  <a:pt x="57150" y="28575"/>
                                </a:cubicBezTo>
                                <a:cubicBezTo>
                                  <a:pt x="57150" y="32246"/>
                                  <a:pt x="56425" y="35818"/>
                                  <a:pt x="54975" y="39390"/>
                                </a:cubicBezTo>
                                <a:cubicBezTo>
                                  <a:pt x="53525" y="42863"/>
                                  <a:pt x="51460" y="45938"/>
                                  <a:pt x="48781" y="48617"/>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617"/>
                                </a:cubicBezTo>
                                <a:cubicBezTo>
                                  <a:pt x="5690" y="45938"/>
                                  <a:pt x="3625" y="42863"/>
                                  <a:pt x="2175" y="39390"/>
                                </a:cubicBezTo>
                                <a:cubicBezTo>
                                  <a:pt x="725" y="35818"/>
                                  <a:pt x="0" y="32246"/>
                                  <a:pt x="0" y="28575"/>
                                </a:cubicBezTo>
                                <a:cubicBezTo>
                                  <a:pt x="0" y="24507"/>
                                  <a:pt x="725" y="20836"/>
                                  <a:pt x="2175" y="17363"/>
                                </a:cubicBezTo>
                                <a:cubicBezTo>
                                  <a:pt x="3625" y="13990"/>
                                  <a:pt x="5690" y="10815"/>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09" name="Shape 17409"/>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572"/>
                                  <a:pt x="46101" y="5655"/>
                                  <a:pt x="48781" y="8136"/>
                                </a:cubicBezTo>
                                <a:cubicBezTo>
                                  <a:pt x="51460" y="10716"/>
                                  <a:pt x="53525" y="13692"/>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570"/>
                                </a:cubicBezTo>
                                <a:cubicBezTo>
                                  <a:pt x="36009" y="56059"/>
                                  <a:pt x="32364" y="56952"/>
                                  <a:pt x="28575" y="57150"/>
                                </a:cubicBezTo>
                                <a:cubicBezTo>
                                  <a:pt x="24786" y="56952"/>
                                  <a:pt x="21141" y="56059"/>
                                  <a:pt x="17640" y="54570"/>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692"/>
                                  <a:pt x="5690" y="10716"/>
                                  <a:pt x="8369" y="8136"/>
                                </a:cubicBezTo>
                                <a:cubicBezTo>
                                  <a:pt x="11049" y="5655"/>
                                  <a:pt x="14139" y="3572"/>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729" style="width:4.5pt;height:28.5pt;position:absolute;mso-position-horizontal-relative:text;mso-position-horizontal:absolute;margin-left:16.5pt;mso-position-vertical-relative:text;margin-top:14.7422pt;" coordsize="571,3619">
                <v:shape id="Shape 17405" style="position:absolute;width:571;height:571;left:0;top:0;" coordsize="57150,57150" path="m28575,0c32364,0,36009,695,39510,2084c43011,3572,46101,5655,48781,8136c51460,10716,53525,13791,54975,17363c56425,20836,57150,24507,57150,28575c57150,32246,56425,35818,54975,39390c53525,42863,51460,45839,48781,48617c46101,51197,43011,53280,39510,54570c36009,56059,32364,56952,28575,57150c24786,56952,21141,56059,17640,54570c14139,53280,11049,51197,8369,48617c5690,45839,3625,42863,2175,39390c725,35818,0,32246,0,28575c0,24507,725,20836,2175,17363c3625,13791,5690,10716,8369,8136c11049,5655,14139,3572,17640,2084c21141,695,24786,0,28575,0x">
                  <v:stroke weight="0pt" endcap="flat" joinstyle="miter" miterlimit="4" on="false" color="#000000" opacity="0"/>
                  <v:fill on="true" color="#333333"/>
                </v:shape>
                <v:shape id="Shape 17407" style="position:absolute;width:571;height:571;left:0;top:1524;" coordsize="57150,57150" path="m28575,0c32364,0,36009,695,39510,2084c43011,3373,46101,5358,48781,8136c51460,10815,53525,13990,54975,17363c56425,20836,57150,24507,57150,28575c57150,32246,56425,35818,54975,39390c53525,42863,51460,45938,48781,48617c46101,51197,43011,53280,39510,54570c36009,56257,32364,56952,28575,57150c24786,56952,21141,56257,17640,54570c14139,53280,11049,51197,8369,48617c5690,45938,3625,42863,2175,39390c725,35818,0,32246,0,28575c0,24507,725,20836,2175,17363c3625,13990,5690,10815,8369,8136c11049,5358,14139,3373,17640,2084c21141,695,24786,0,28575,0x">
                  <v:stroke weight="0pt" endcap="flat" joinstyle="miter" miterlimit="4" on="false" color="#000000" opacity="0"/>
                  <v:fill on="true" color="#333333"/>
                </v:shape>
                <v:shape id="Shape 17409" style="position:absolute;width:571;height:571;left:0;top:3048;" coordsize="57150,57150" path="m28575,0c32364,0,36009,695,39510,2084c43011,3572,46101,5655,48781,8136c51460,10716,53525,13692,54975,17363c56425,20836,57150,24507,57150,28575c57150,32246,56425,35818,54975,39291c53525,42664,51460,45839,48781,48617c46101,51197,43011,53280,39510,54570c36009,56059,32364,56952,28575,57150c24786,56952,21141,56059,17640,54570c14139,53280,11049,51197,8369,48617c5690,45839,3625,42664,2175,39291c725,35818,0,32246,0,28575c0,24507,725,20836,2175,17363c3625,13692,5690,10716,8369,8136c11049,5655,14139,3572,17640,2084c21141,695,24786,0,28575,0x">
                  <v:stroke weight="0pt" endcap="flat" joinstyle="miter" miterlimit="4" on="false" color="#000000" opacity="0"/>
                  <v:fill on="true" color="#333333"/>
                </v:shape>
                <w10:wrap type="square"/>
              </v:group>
            </w:pict>
          </mc:Fallback>
        </mc:AlternateContent>
      </w:r>
      <w:r>
        <w:t>кетоацидоз, кетоацидотическая кома; лактацидоз, лактацидотическая кома; гиперосмолярность, гиперосмолярная кома; гипогликемия, гипогликемическая кома.</w:t>
      </w:r>
    </w:p>
    <w:p w:rsidR="008E3F15" w:rsidRDefault="005F449A">
      <w:pPr>
        <w:spacing w:after="133" w:line="259" w:lineRule="auto"/>
        <w:ind w:right="0"/>
      </w:pPr>
      <w:r>
        <w:rPr>
          <w:i/>
        </w:rPr>
        <w:t>Хронические:</w:t>
      </w:r>
    </w:p>
    <w:p w:rsidR="008E3F15" w:rsidRDefault="005F449A">
      <w:pPr>
        <w:ind w:left="340" w:right="5163"/>
      </w:pPr>
      <w:r>
        <w:rPr>
          <w:rFonts w:ascii="Calibri" w:eastAsia="Calibri" w:hAnsi="Calibri" w:cs="Calibri"/>
          <w:noProof/>
          <w:color w:val="000000"/>
          <w:sz w:val="22"/>
        </w:rPr>
        <mc:AlternateContent>
          <mc:Choice Requires="wpg">
            <w:drawing>
              <wp:anchor distT="0" distB="0" distL="114300" distR="114300" simplePos="0" relativeHeight="251888640" behindDoc="0" locked="0" layoutInCell="1" allowOverlap="1">
                <wp:simplePos x="0" y="0"/>
                <wp:positionH relativeFrom="column">
                  <wp:posOffset>209550</wp:posOffset>
                </wp:positionH>
                <wp:positionV relativeFrom="paragraph">
                  <wp:posOffset>34826</wp:posOffset>
                </wp:positionV>
                <wp:extent cx="57150" cy="971550"/>
                <wp:effectExtent l="0" t="0" r="0" b="0"/>
                <wp:wrapSquare wrapText="bothSides"/>
                <wp:docPr id="313730" name="Group 313730"/>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17412" name="Shape 17412"/>
                        <wps:cNvSpPr/>
                        <wps:spPr>
                          <a:xfrm>
                            <a:off x="0" y="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692"/>
                                  <a:pt x="54975" y="17363"/>
                                </a:cubicBezTo>
                                <a:cubicBezTo>
                                  <a:pt x="56425" y="20836"/>
                                  <a:pt x="57150" y="24507"/>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507"/>
                                  <a:pt x="725" y="20836"/>
                                  <a:pt x="2175" y="17363"/>
                                </a:cubicBezTo>
                                <a:cubicBezTo>
                                  <a:pt x="3625" y="13692"/>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14" name="Shape 17414"/>
                        <wps:cNvSpPr/>
                        <wps:spPr>
                          <a:xfrm>
                            <a:off x="0" y="1524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16" name="Shape 17416"/>
                        <wps:cNvSpPr/>
                        <wps:spPr>
                          <a:xfrm>
                            <a:off x="0" y="3048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092"/>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092"/>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18" name="Shape 17418"/>
                        <wps:cNvSpPr/>
                        <wps:spPr>
                          <a:xfrm>
                            <a:off x="0" y="457200"/>
                            <a:ext cx="57150" cy="57150"/>
                          </a:xfrm>
                          <a:custGeom>
                            <a:avLst/>
                            <a:gdLst/>
                            <a:ahLst/>
                            <a:cxnLst/>
                            <a:rect l="0" t="0" r="0" b="0"/>
                            <a:pathLst>
                              <a:path w="57150" h="57150">
                                <a:moveTo>
                                  <a:pt x="28575" y="0"/>
                                </a:moveTo>
                                <a:cubicBezTo>
                                  <a:pt x="32364" y="0"/>
                                  <a:pt x="36009" y="695"/>
                                  <a:pt x="39510" y="2084"/>
                                </a:cubicBezTo>
                                <a:cubicBezTo>
                                  <a:pt x="43011" y="3373"/>
                                  <a:pt x="46101" y="5358"/>
                                  <a:pt x="48781" y="8136"/>
                                </a:cubicBezTo>
                                <a:cubicBezTo>
                                  <a:pt x="51460" y="10716"/>
                                  <a:pt x="53525" y="13791"/>
                                  <a:pt x="54975" y="17363"/>
                                </a:cubicBezTo>
                                <a:cubicBezTo>
                                  <a:pt x="56425" y="20836"/>
                                  <a:pt x="57150" y="24507"/>
                                  <a:pt x="57150" y="28575"/>
                                </a:cubicBezTo>
                                <a:cubicBezTo>
                                  <a:pt x="57150" y="32246"/>
                                  <a:pt x="56425" y="35719"/>
                                  <a:pt x="54975" y="39092"/>
                                </a:cubicBezTo>
                                <a:cubicBezTo>
                                  <a:pt x="53525" y="42664"/>
                                  <a:pt x="51460" y="45839"/>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839"/>
                                  <a:pt x="3625" y="42664"/>
                                  <a:pt x="2175" y="39092"/>
                                </a:cubicBezTo>
                                <a:cubicBezTo>
                                  <a:pt x="725" y="35719"/>
                                  <a:pt x="0" y="32246"/>
                                  <a:pt x="0" y="28575"/>
                                </a:cubicBezTo>
                                <a:cubicBezTo>
                                  <a:pt x="0" y="24507"/>
                                  <a:pt x="725" y="20836"/>
                                  <a:pt x="2175" y="17363"/>
                                </a:cubicBezTo>
                                <a:cubicBezTo>
                                  <a:pt x="3625" y="13791"/>
                                  <a:pt x="5690" y="10716"/>
                                  <a:pt x="8369" y="8136"/>
                                </a:cubicBezTo>
                                <a:cubicBezTo>
                                  <a:pt x="11049" y="5358"/>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20" name="Shape 17420"/>
                        <wps:cNvSpPr/>
                        <wps:spPr>
                          <a:xfrm>
                            <a:off x="0" y="609600"/>
                            <a:ext cx="57150" cy="57150"/>
                          </a:xfrm>
                          <a:custGeom>
                            <a:avLst/>
                            <a:gdLst/>
                            <a:ahLst/>
                            <a:cxnLst/>
                            <a:rect l="0" t="0" r="0" b="0"/>
                            <a:pathLst>
                              <a:path w="57150" h="57150">
                                <a:moveTo>
                                  <a:pt x="28575" y="0"/>
                                </a:moveTo>
                                <a:cubicBezTo>
                                  <a:pt x="32364" y="0"/>
                                  <a:pt x="36009" y="695"/>
                                  <a:pt x="39510" y="2084"/>
                                </a:cubicBezTo>
                                <a:cubicBezTo>
                                  <a:pt x="43011" y="3373"/>
                                  <a:pt x="46101" y="5457"/>
                                  <a:pt x="48781" y="8136"/>
                                </a:cubicBezTo>
                                <a:cubicBezTo>
                                  <a:pt x="51460" y="10716"/>
                                  <a:pt x="53525" y="13791"/>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791"/>
                                  <a:pt x="5690" y="10716"/>
                                  <a:pt x="8369" y="8136"/>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22" name="Shape 17422"/>
                        <wps:cNvSpPr/>
                        <wps:spPr>
                          <a:xfrm>
                            <a:off x="0" y="7620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818"/>
                                  <a:pt x="54975" y="39291"/>
                                </a:cubicBezTo>
                                <a:cubicBezTo>
                                  <a:pt x="53525" y="42863"/>
                                  <a:pt x="51460" y="45938"/>
                                  <a:pt x="48781" y="48617"/>
                                </a:cubicBezTo>
                                <a:cubicBezTo>
                                  <a:pt x="46101" y="51296"/>
                                  <a:pt x="43011" y="53380"/>
                                  <a:pt x="39510" y="54769"/>
                                </a:cubicBezTo>
                                <a:cubicBezTo>
                                  <a:pt x="36009" y="56257"/>
                                  <a:pt x="32364" y="56952"/>
                                  <a:pt x="28575" y="57150"/>
                                </a:cubicBezTo>
                                <a:cubicBezTo>
                                  <a:pt x="24786" y="56952"/>
                                  <a:pt x="21141" y="56257"/>
                                  <a:pt x="17640" y="54769"/>
                                </a:cubicBezTo>
                                <a:cubicBezTo>
                                  <a:pt x="14139" y="53380"/>
                                  <a:pt x="11049" y="51296"/>
                                  <a:pt x="8369" y="48617"/>
                                </a:cubicBezTo>
                                <a:cubicBezTo>
                                  <a:pt x="5690" y="45938"/>
                                  <a:pt x="3625" y="42863"/>
                                  <a:pt x="2175" y="39291"/>
                                </a:cubicBezTo>
                                <a:cubicBezTo>
                                  <a:pt x="725" y="35818"/>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24" name="Shape 17424"/>
                        <wps:cNvSpPr/>
                        <wps:spPr>
                          <a:xfrm>
                            <a:off x="0" y="914400"/>
                            <a:ext cx="57150" cy="57150"/>
                          </a:xfrm>
                          <a:custGeom>
                            <a:avLst/>
                            <a:gdLst/>
                            <a:ahLst/>
                            <a:cxnLst/>
                            <a:rect l="0" t="0" r="0" b="0"/>
                            <a:pathLst>
                              <a:path w="57150" h="57150">
                                <a:moveTo>
                                  <a:pt x="28575" y="0"/>
                                </a:moveTo>
                                <a:cubicBezTo>
                                  <a:pt x="32364" y="0"/>
                                  <a:pt x="36009" y="695"/>
                                  <a:pt x="39510" y="2084"/>
                                </a:cubicBezTo>
                                <a:cubicBezTo>
                                  <a:pt x="43011" y="3373"/>
                                  <a:pt x="46101" y="5457"/>
                                  <a:pt x="48781" y="8334"/>
                                </a:cubicBezTo>
                                <a:cubicBezTo>
                                  <a:pt x="51460" y="10815"/>
                                  <a:pt x="53525" y="13990"/>
                                  <a:pt x="54975" y="17562"/>
                                </a:cubicBezTo>
                                <a:cubicBezTo>
                                  <a:pt x="56425" y="20935"/>
                                  <a:pt x="57150" y="24705"/>
                                  <a:pt x="57150" y="28575"/>
                                </a:cubicBezTo>
                                <a:cubicBezTo>
                                  <a:pt x="57150" y="32246"/>
                                  <a:pt x="56425" y="35719"/>
                                  <a:pt x="54975" y="39092"/>
                                </a:cubicBezTo>
                                <a:cubicBezTo>
                                  <a:pt x="53525" y="42664"/>
                                  <a:pt x="51460" y="45839"/>
                                  <a:pt x="48781" y="48518"/>
                                </a:cubicBezTo>
                                <a:cubicBezTo>
                                  <a:pt x="46101" y="51197"/>
                                  <a:pt x="43011" y="53280"/>
                                  <a:pt x="39510" y="54570"/>
                                </a:cubicBezTo>
                                <a:cubicBezTo>
                                  <a:pt x="36009" y="56257"/>
                                  <a:pt x="32364" y="56952"/>
                                  <a:pt x="28575" y="57150"/>
                                </a:cubicBezTo>
                                <a:cubicBezTo>
                                  <a:pt x="24786" y="56952"/>
                                  <a:pt x="21141" y="56257"/>
                                  <a:pt x="17640" y="54570"/>
                                </a:cubicBezTo>
                                <a:cubicBezTo>
                                  <a:pt x="14139" y="53280"/>
                                  <a:pt x="11049" y="51197"/>
                                  <a:pt x="8369" y="48518"/>
                                </a:cubicBezTo>
                                <a:cubicBezTo>
                                  <a:pt x="5690" y="45839"/>
                                  <a:pt x="3625" y="42664"/>
                                  <a:pt x="2175" y="39092"/>
                                </a:cubicBezTo>
                                <a:cubicBezTo>
                                  <a:pt x="725" y="35719"/>
                                  <a:pt x="0" y="32246"/>
                                  <a:pt x="0" y="28575"/>
                                </a:cubicBezTo>
                                <a:cubicBezTo>
                                  <a:pt x="0" y="24705"/>
                                  <a:pt x="725" y="20935"/>
                                  <a:pt x="2175" y="17562"/>
                                </a:cubicBezTo>
                                <a:cubicBezTo>
                                  <a:pt x="3625" y="13990"/>
                                  <a:pt x="5690" y="10815"/>
                                  <a:pt x="8369" y="8334"/>
                                </a:cubicBezTo>
                                <a:cubicBezTo>
                                  <a:pt x="11049" y="5457"/>
                                  <a:pt x="14139" y="3373"/>
                                  <a:pt x="17640" y="2084"/>
                                </a:cubicBezTo>
                                <a:cubicBezTo>
                                  <a:pt x="21141" y="6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730" style="width:4.5pt;height:76.5pt;position:absolute;mso-position-horizontal-relative:text;mso-position-horizontal:absolute;margin-left:16.5pt;mso-position-vertical-relative:text;margin-top:2.74219pt;" coordsize="571,9715">
                <v:shape id="Shape 17412" style="position:absolute;width:571;height:571;left:0;top:0;" coordsize="57150,57150" path="m28575,0c32364,0,36009,695,39510,2084c43011,3373,46101,5457,48781,8136c51460,10716,53525,13692,54975,17363c56425,20836,57150,24507,57150,28575c57150,32246,56425,35818,54975,39291c53525,42664,51460,45839,48781,48617c46101,51197,43011,53280,39510,54769c36009,56257,32364,56952,28575,57150c24786,56952,21141,56257,17640,54769c14139,53280,11049,51197,8369,48617c5690,45839,3625,42664,2175,39291c725,35818,0,32246,0,28575c0,24507,725,20836,2175,17363c3625,13692,5690,10716,8369,8136c11049,5457,14139,3373,17640,2084c21141,695,24786,0,28575,0x">
                  <v:stroke weight="0pt" endcap="flat" joinstyle="miter" miterlimit="4" on="false" color="#000000" opacity="0"/>
                  <v:fill on="true" color="#333333"/>
                </v:shape>
                <v:shape id="Shape 17414" style="position:absolute;width:571;height:571;left:0;top:1524;" coordsize="57150,57150" path="m28575,0c32364,0,36009,695,39510,2084c43011,3373,46101,5358,48781,8136c51460,10716,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716,8369,8136c11049,5358,14139,3373,17640,2084c21141,695,24786,0,28575,0x">
                  <v:stroke weight="0pt" endcap="flat" joinstyle="miter" miterlimit="4" on="false" color="#000000" opacity="0"/>
                  <v:fill on="true" color="#333333"/>
                </v:shape>
                <v:shape id="Shape 17416" style="position:absolute;width:571;height:571;left:0;top:3048;" coordsize="57150,57150" path="m28575,0c32364,0,36009,695,39510,2084c43011,3373,46101,5457,48781,8136c51460,10716,53525,13791,54975,17363c56425,20935,57150,24705,57150,28575c57150,32147,56425,35719,54975,39092c53525,42664,51460,45839,48781,48617c46101,51197,43011,53280,39510,54769c36009,56257,32364,56952,28575,57150c24786,56952,21141,56257,17640,54769c14139,53280,11049,51197,8369,48617c5690,45839,3625,42664,2175,39092c725,35719,0,32147,0,28575c0,24705,725,20935,2175,17363c3625,13791,5690,10716,8369,8136c11049,5457,14139,3373,17640,2084c21141,695,24786,0,28575,0x">
                  <v:stroke weight="0pt" endcap="flat" joinstyle="miter" miterlimit="4" on="false" color="#000000" opacity="0"/>
                  <v:fill on="true" color="#333333"/>
                </v:shape>
                <v:shape id="Shape 17418" style="position:absolute;width:571;height:571;left:0;top:4572;" coordsize="57150,57150" path="m28575,0c32364,0,36009,695,39510,2084c43011,3373,46101,5358,48781,8136c51460,10716,53525,13791,54975,17363c56425,20836,57150,24507,57150,28575c57150,32246,56425,35719,54975,39092c53525,42664,51460,45839,48781,48617c46101,51296,43011,53380,39510,54769c36009,56257,32364,56952,28575,57150c24786,56952,21141,56257,17640,54769c14139,53380,11049,51296,8369,48617c5690,45839,3625,42664,2175,39092c725,35719,0,32246,0,28575c0,24507,725,20836,2175,17363c3625,13791,5690,10716,8369,8136c11049,5358,14139,3373,17640,2084c21141,695,24786,0,28575,0x">
                  <v:stroke weight="0pt" endcap="flat" joinstyle="miter" miterlimit="4" on="false" color="#000000" opacity="0"/>
                  <v:fill on="true" color="#333333"/>
                </v:shape>
                <v:shape id="Shape 17420" style="position:absolute;width:571;height:571;left:0;top:6096;" coordsize="57150,57150" path="m28575,0c32364,0,36009,695,39510,2084c43011,3373,46101,5457,48781,8136c51460,10716,53525,13791,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791,5690,10716,8369,8136c11049,5457,14139,3373,17640,2084c21141,695,24786,0,28575,0x">
                  <v:stroke weight="0pt" endcap="flat" joinstyle="miter" miterlimit="4" on="false" color="#000000" opacity="0"/>
                  <v:fill on="true" color="#333333"/>
                </v:shape>
                <v:shape id="Shape 17422" style="position:absolute;width:571;height:571;left:0;top:7620;" coordsize="57150,57150" path="m28575,0c32364,0,36009,695,39510,2084c43011,3373,46101,5457,48781,8334c51460,10815,53525,13990,54975,17562c56425,20935,57150,24705,57150,28575c57150,32246,56425,35818,54975,39291c53525,42863,51460,45938,48781,48617c46101,51296,43011,53380,39510,54769c36009,56257,32364,56952,28575,57150c24786,56952,21141,56257,17640,54769c14139,53380,11049,51296,8369,48617c5690,45938,3625,42863,2175,39291c725,35818,0,32246,0,28575c0,24705,725,20935,2175,17562c3625,13990,5690,10815,8369,8334c11049,5457,14139,3373,17640,2084c21141,695,24786,0,28575,0x">
                  <v:stroke weight="0pt" endcap="flat" joinstyle="miter" miterlimit="4" on="false" color="#000000" opacity="0"/>
                  <v:fill on="true" color="#333333"/>
                </v:shape>
                <v:shape id="Shape 17424" style="position:absolute;width:571;height:571;left:0;top:9144;" coordsize="57150,57150" path="m28575,0c32364,0,36009,695,39510,2084c43011,3373,46101,5457,48781,8334c51460,10815,53525,13990,54975,17562c56425,20935,57150,24705,57150,28575c57150,32246,56425,35719,54975,39092c53525,42664,51460,45839,48781,48518c46101,51197,43011,53280,39510,54570c36009,56257,32364,56952,28575,57150c24786,56952,21141,56257,17640,54570c14139,53280,11049,51197,8369,48518c5690,45839,3625,42664,2175,39092c725,35719,0,32246,0,28575c0,24705,725,20935,2175,17562c3625,13990,5690,10815,8369,8334c11049,5457,14139,3373,17640,2084c21141,695,24786,0,28575,0x">
                  <v:stroke weight="0pt" endcap="flat" joinstyle="miter" miterlimit="4" on="false" color="#000000" opacity="0"/>
                  <v:fill on="true" color="#333333"/>
                </v:shape>
                <w10:wrap type="square"/>
              </v:group>
            </w:pict>
          </mc:Fallback>
        </mc:AlternateContent>
      </w:r>
      <w:r>
        <w:t>диабетическая ретинопатия; диабетическая невропатия;</w:t>
      </w:r>
    </w:p>
    <w:p w:rsidR="008E3F15" w:rsidRDefault="005F449A">
      <w:pPr>
        <w:spacing w:after="179"/>
        <w:ind w:left="340" w:right="5031"/>
      </w:pPr>
      <w:r>
        <w:t>диабетическая болезнь почек (нефропатия); ишемическая болезнь сердца; инсульт, транзиторная ишемическая атака; болезнь периферических артерий; синдром диабетической стопы.</w:t>
      </w:r>
    </w:p>
    <w:p w:rsidR="008E3F15" w:rsidRDefault="005F449A">
      <w:pPr>
        <w:spacing w:after="359"/>
        <w:ind w:left="2" w:right="15"/>
      </w:pPr>
      <w:r>
        <w:rPr>
          <w:b/>
        </w:rPr>
        <w:t>Прогноз.</w:t>
      </w:r>
      <w:r>
        <w:t xml:space="preserve"> С целью оценки риска осложнений диабета и выбора оптимальной профилактическ</w:t>
      </w:r>
      <w:r>
        <w:t>ой и лечебной программы целесообразно использовать прогностические инструменты. Риск атеросклеротических ССЗ рекомендуют оценивать с помощью шкал SCORE2-Diabetes, PCE и DIAL2. Валидизированная шкала RECODe позволяет прогнозировать микрососудистые и сердечн</w:t>
      </w:r>
      <w:r>
        <w:t>о-сосудистые осложнения, смертность за 10 лет.</w:t>
      </w:r>
    </w:p>
    <w:p w:rsidR="008E3F15" w:rsidRDefault="005F449A">
      <w:pPr>
        <w:pStyle w:val="Heading1"/>
        <w:ind w:left="2"/>
      </w:pPr>
      <w:r>
        <w:t>Часть II. Коморбидные болезни</w:t>
      </w:r>
    </w:p>
    <w:p w:rsidR="008E3F15" w:rsidRDefault="005F449A">
      <w:pPr>
        <w:spacing w:after="31"/>
        <w:ind w:left="2" w:right="15"/>
      </w:pPr>
      <w:r>
        <w:t>Лечение</w:t>
      </w:r>
    </w:p>
    <w:p w:rsidR="008E3F15" w:rsidRDefault="005F449A">
      <w:pPr>
        <w:spacing w:after="165"/>
        <w:ind w:left="2" w:right="15"/>
      </w:pPr>
      <w:r>
        <w:t>Лечение СД включает следующие направления.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89664" behindDoc="0" locked="0" layoutInCell="1" allowOverlap="1">
                <wp:simplePos x="0" y="0"/>
                <wp:positionH relativeFrom="column">
                  <wp:posOffset>209550</wp:posOffset>
                </wp:positionH>
                <wp:positionV relativeFrom="paragraph">
                  <wp:posOffset>34826</wp:posOffset>
                </wp:positionV>
                <wp:extent cx="57150" cy="514350"/>
                <wp:effectExtent l="0" t="0" r="0" b="0"/>
                <wp:wrapSquare wrapText="bothSides"/>
                <wp:docPr id="313731" name="Group 313731"/>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7435" name="Shape 17435"/>
                        <wps:cNvSpPr/>
                        <wps:spPr>
                          <a:xfrm>
                            <a:off x="0" y="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264"/>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264"/>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37" name="Shape 17437"/>
                        <wps:cNvSpPr/>
                        <wps:spPr>
                          <a:xfrm>
                            <a:off x="0" y="1524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39" name="Shape 17439"/>
                        <wps:cNvSpPr/>
                        <wps:spPr>
                          <a:xfrm>
                            <a:off x="0" y="3048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815"/>
                                  <a:pt x="53525" y="13990"/>
                                  <a:pt x="54975" y="17363"/>
                                </a:cubicBezTo>
                                <a:cubicBezTo>
                                  <a:pt x="56425" y="20935"/>
                                  <a:pt x="57150" y="24705"/>
                                  <a:pt x="57150" y="28575"/>
                                </a:cubicBezTo>
                                <a:cubicBezTo>
                                  <a:pt x="57150" y="32246"/>
                                  <a:pt x="56425" y="35818"/>
                                  <a:pt x="54975" y="39291"/>
                                </a:cubicBezTo>
                                <a:cubicBezTo>
                                  <a:pt x="53525" y="42664"/>
                                  <a:pt x="51460" y="45839"/>
                                  <a:pt x="48781" y="48617"/>
                                </a:cubicBezTo>
                                <a:cubicBezTo>
                                  <a:pt x="46101" y="51197"/>
                                  <a:pt x="43011" y="53280"/>
                                  <a:pt x="39510" y="54769"/>
                                </a:cubicBezTo>
                                <a:cubicBezTo>
                                  <a:pt x="36009" y="56257"/>
                                  <a:pt x="32364" y="56952"/>
                                  <a:pt x="28575" y="57150"/>
                                </a:cubicBezTo>
                                <a:cubicBezTo>
                                  <a:pt x="24786" y="56952"/>
                                  <a:pt x="21141" y="56257"/>
                                  <a:pt x="17640" y="54769"/>
                                </a:cubicBezTo>
                                <a:cubicBezTo>
                                  <a:pt x="14139" y="53280"/>
                                  <a:pt x="11049" y="51197"/>
                                  <a:pt x="8369" y="48617"/>
                                </a:cubicBezTo>
                                <a:cubicBezTo>
                                  <a:pt x="5690" y="45839"/>
                                  <a:pt x="3625" y="42664"/>
                                  <a:pt x="2175" y="39291"/>
                                </a:cubicBezTo>
                                <a:cubicBezTo>
                                  <a:pt x="725" y="35818"/>
                                  <a:pt x="0" y="32246"/>
                                  <a:pt x="0" y="28575"/>
                                </a:cubicBezTo>
                                <a:cubicBezTo>
                                  <a:pt x="0" y="24705"/>
                                  <a:pt x="725" y="20935"/>
                                  <a:pt x="2175" y="17363"/>
                                </a:cubicBezTo>
                                <a:cubicBezTo>
                                  <a:pt x="3625" y="13990"/>
                                  <a:pt x="5690" y="10815"/>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41" name="Shape 17441"/>
                        <wps:cNvSpPr/>
                        <wps:spPr>
                          <a:xfrm>
                            <a:off x="0" y="457200"/>
                            <a:ext cx="57150" cy="57150"/>
                          </a:xfrm>
                          <a:custGeom>
                            <a:avLst/>
                            <a:gdLst/>
                            <a:ahLst/>
                            <a:cxnLst/>
                            <a:rect l="0" t="0" r="0" b="0"/>
                            <a:pathLst>
                              <a:path w="57150" h="57150">
                                <a:moveTo>
                                  <a:pt x="28575" y="0"/>
                                </a:moveTo>
                                <a:cubicBezTo>
                                  <a:pt x="32364" y="0"/>
                                  <a:pt x="36009" y="595"/>
                                  <a:pt x="39510" y="1885"/>
                                </a:cubicBezTo>
                                <a:cubicBezTo>
                                  <a:pt x="43011" y="3373"/>
                                  <a:pt x="46101" y="5457"/>
                                  <a:pt x="48781" y="8136"/>
                                </a:cubicBezTo>
                                <a:cubicBezTo>
                                  <a:pt x="51460" y="10716"/>
                                  <a:pt x="53525" y="13791"/>
                                  <a:pt x="54975" y="17363"/>
                                </a:cubicBezTo>
                                <a:cubicBezTo>
                                  <a:pt x="56425" y="20935"/>
                                  <a:pt x="57150" y="24705"/>
                                  <a:pt x="57150" y="28575"/>
                                </a:cubicBezTo>
                                <a:cubicBezTo>
                                  <a:pt x="57150" y="32147"/>
                                  <a:pt x="56425" y="35719"/>
                                  <a:pt x="54975" y="39291"/>
                                </a:cubicBezTo>
                                <a:cubicBezTo>
                                  <a:pt x="53525" y="42664"/>
                                  <a:pt x="51460" y="45839"/>
                                  <a:pt x="48781" y="48617"/>
                                </a:cubicBezTo>
                                <a:cubicBezTo>
                                  <a:pt x="46101" y="51197"/>
                                  <a:pt x="43011" y="53280"/>
                                  <a:pt x="39510" y="54769"/>
                                </a:cubicBezTo>
                                <a:cubicBezTo>
                                  <a:pt x="36009" y="56059"/>
                                  <a:pt x="32364" y="56952"/>
                                  <a:pt x="28575" y="57150"/>
                                </a:cubicBezTo>
                                <a:cubicBezTo>
                                  <a:pt x="24786" y="56952"/>
                                  <a:pt x="21141" y="56059"/>
                                  <a:pt x="17640" y="54769"/>
                                </a:cubicBezTo>
                                <a:cubicBezTo>
                                  <a:pt x="14139" y="53280"/>
                                  <a:pt x="11049" y="51197"/>
                                  <a:pt x="8369" y="48617"/>
                                </a:cubicBezTo>
                                <a:cubicBezTo>
                                  <a:pt x="5690" y="45839"/>
                                  <a:pt x="3625" y="42664"/>
                                  <a:pt x="2175" y="39291"/>
                                </a:cubicBezTo>
                                <a:cubicBezTo>
                                  <a:pt x="725" y="35719"/>
                                  <a:pt x="0" y="32147"/>
                                  <a:pt x="0" y="28575"/>
                                </a:cubicBezTo>
                                <a:cubicBezTo>
                                  <a:pt x="0" y="24705"/>
                                  <a:pt x="725" y="20935"/>
                                  <a:pt x="2175" y="17363"/>
                                </a:cubicBezTo>
                                <a:cubicBezTo>
                                  <a:pt x="3625" y="13791"/>
                                  <a:pt x="5690" y="10716"/>
                                  <a:pt x="8369" y="8136"/>
                                </a:cubicBezTo>
                                <a:cubicBezTo>
                                  <a:pt x="11049" y="5457"/>
                                  <a:pt x="14139" y="3373"/>
                                  <a:pt x="17640" y="1885"/>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731" style="width:4.5pt;height:40.5pt;position:absolute;mso-position-horizontal-relative:text;mso-position-horizontal:absolute;margin-left:16.5pt;mso-position-vertical-relative:text;margin-top:2.74219pt;" coordsize="571,5143">
                <v:shape id="Shape 17435" style="position:absolute;width:571;height:571;left:0;top:0;" coordsize="57150,57150" path="m28575,0c32364,0,36009,595,39510,1885c43011,3373,46101,5457,48781,8136c51460,10716,53525,13791,54975,17264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264c3625,13791,5690,10716,8369,8136c11049,5457,14139,3373,17640,1885c21141,595,24786,0,28575,0x">
                  <v:stroke weight="0pt" endcap="flat" joinstyle="miter" miterlimit="4" on="false" color="#000000" opacity="0"/>
                  <v:fill on="true" color="#333333"/>
                </v:shape>
                <v:shape id="Shape 17437" style="position:absolute;width:571;height:571;left:0;top:1524;"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4" on="false" color="#000000" opacity="0"/>
                  <v:fill on="true" color="#333333"/>
                </v:shape>
                <v:shape id="Shape 17439" style="position:absolute;width:571;height:571;left:0;top:3048;" coordsize="57150,57150" path="m28575,0c32364,0,36009,595,39510,1885c43011,3373,46101,5457,48781,8136c51460,10815,53525,13990,54975,17363c56425,20935,57150,24705,57150,28575c57150,32246,56425,35818,54975,39291c53525,42664,51460,45839,48781,48617c46101,51197,43011,53280,39510,54769c36009,56257,32364,56952,28575,57150c24786,56952,21141,56257,17640,54769c14139,53280,11049,51197,8369,48617c5690,45839,3625,42664,2175,39291c725,35818,0,32246,0,28575c0,24705,725,20935,2175,17363c3625,13990,5690,10815,8369,8136c11049,5457,14139,3373,17640,1885c21141,595,24786,0,28575,0x">
                  <v:stroke weight="0pt" endcap="flat" joinstyle="miter" miterlimit="4" on="false" color="#000000" opacity="0"/>
                  <v:fill on="true" color="#333333"/>
                </v:shape>
                <v:shape id="Shape 17441" style="position:absolute;width:571;height:571;left:0;top:4572;" coordsize="57150,57150" path="m28575,0c32364,0,36009,595,39510,1885c43011,3373,46101,5457,48781,8136c51460,10716,53525,13791,54975,17363c56425,20935,57150,24705,57150,28575c57150,32147,56425,35719,54975,39291c53525,42664,51460,45839,48781,48617c46101,51197,43011,53280,39510,54769c36009,56059,32364,56952,28575,57150c24786,56952,21141,56059,17640,54769c14139,53280,11049,51197,8369,48617c5690,45839,3625,42664,2175,39291c725,35719,0,32147,0,28575c0,24705,725,20935,2175,17363c3625,13791,5690,10716,8369,8136c11049,5457,14139,3373,17640,1885c21141,595,24786,0,28575,0x">
                  <v:stroke weight="0pt" endcap="flat" joinstyle="miter" miterlimit="4" on="false" color="#000000" opacity="0"/>
                  <v:fill on="true" color="#333333"/>
                </v:shape>
                <w10:wrap type="square"/>
              </v:group>
            </w:pict>
          </mc:Fallback>
        </mc:AlternateContent>
      </w:r>
      <w:r>
        <w:t>Изменение образа жизни (диета, физические нагрузки).</w:t>
      </w:r>
    </w:p>
    <w:p w:rsidR="008E3F15" w:rsidRDefault="005F449A">
      <w:pPr>
        <w:spacing w:after="31"/>
        <w:ind w:left="340" w:right="15"/>
      </w:pPr>
      <w:r>
        <w:t>Контроль факторов риска (гипертензия, дислипидемия, ХБП).</w:t>
      </w:r>
    </w:p>
    <w:p w:rsidR="008E3F15" w:rsidRDefault="005F449A">
      <w:pPr>
        <w:spacing w:after="179"/>
        <w:ind w:left="340" w:right="15"/>
      </w:pPr>
      <w:r>
        <w:t>Антигипергликеми</w:t>
      </w:r>
      <w:r>
        <w:t>ческие неинсулиновые (пероральные и инъекционные) препараты. Инсулинотерапия.</w:t>
      </w:r>
    </w:p>
    <w:p w:rsidR="008E3F15" w:rsidRDefault="005F449A">
      <w:pPr>
        <w:ind w:left="2" w:right="15"/>
      </w:pPr>
      <w:r>
        <w:t>Основными целями лечения СД являются нормализация/достижение приемлемых индивидуализированных показателей углеводного обмена, снижение АД и контроль атеросклеротического процесса</w:t>
      </w:r>
      <w:r>
        <w:t xml:space="preserve"> (</w:t>
      </w:r>
      <w:r>
        <w:rPr>
          <w:b/>
        </w:rPr>
        <w:t>табл. 16.4</w:t>
      </w:r>
      <w:r>
        <w:t>).</w:t>
      </w:r>
    </w:p>
    <w:p w:rsidR="008E3F15" w:rsidRDefault="005F449A">
      <w:pPr>
        <w:spacing w:after="31"/>
        <w:ind w:left="2" w:right="15"/>
      </w:pPr>
      <w:r>
        <w:rPr>
          <w:b/>
        </w:rPr>
        <w:t xml:space="preserve">Таблица 16.4. </w:t>
      </w:r>
      <w:r>
        <w:t>Цели лечения сахарного диабета (EASD/ADA; ESC; ADA)</w:t>
      </w:r>
    </w:p>
    <w:tbl>
      <w:tblPr>
        <w:tblStyle w:val="TableGrid"/>
        <w:tblW w:w="8820" w:type="dxa"/>
        <w:tblInd w:w="30" w:type="dxa"/>
        <w:tblCellMar>
          <w:top w:w="80" w:type="dxa"/>
          <w:left w:w="45" w:type="dxa"/>
          <w:bottom w:w="0" w:type="dxa"/>
          <w:right w:w="45" w:type="dxa"/>
        </w:tblCellMar>
        <w:tblLook w:val="04A0" w:firstRow="1" w:lastRow="0" w:firstColumn="1" w:lastColumn="0" w:noHBand="0" w:noVBand="1"/>
      </w:tblPr>
      <w:tblGrid>
        <w:gridCol w:w="6645"/>
        <w:gridCol w:w="2175"/>
      </w:tblGrid>
      <w:tr w:rsidR="008E3F15">
        <w:trPr>
          <w:trHeight w:val="330"/>
        </w:trPr>
        <w:tc>
          <w:tcPr>
            <w:tcW w:w="664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Показатель</w:t>
            </w:r>
          </w:p>
        </w:tc>
        <w:tc>
          <w:tcPr>
            <w:tcW w:w="217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Целевой уровень</w:t>
            </w:r>
          </w:p>
        </w:tc>
      </w:tr>
      <w:tr w:rsidR="008E3F15">
        <w:trPr>
          <w:trHeight w:val="855"/>
        </w:trPr>
        <w:tc>
          <w:tcPr>
            <w:tcW w:w="66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HbA</w:t>
            </w:r>
            <w:r>
              <w:rPr>
                <w:sz w:val="31"/>
                <w:vertAlign w:val="subscript"/>
              </w:rPr>
              <w:t>1</w:t>
            </w:r>
            <w:r>
              <w:rPr>
                <w:sz w:val="20"/>
              </w:rPr>
              <w:t>c</w:t>
            </w:r>
          </w:p>
          <w:p w:rsidR="008E3F15" w:rsidRDefault="005F449A">
            <w:pPr>
              <w:spacing w:after="0" w:line="259" w:lineRule="auto"/>
              <w:ind w:left="0" w:right="0" w:firstLine="0"/>
            </w:pPr>
            <w:r>
              <w:t>Глюкоза капиллярной крови натощак</w:t>
            </w:r>
          </w:p>
          <w:p w:rsidR="008E3F15" w:rsidRDefault="005F449A">
            <w:pPr>
              <w:spacing w:after="0" w:line="259" w:lineRule="auto"/>
              <w:ind w:left="0" w:right="0" w:firstLine="0"/>
              <w:jc w:val="both"/>
            </w:pPr>
            <w:r>
              <w:t>Глюкоза капиллярной крови через 1–2 ч после начала еды</w:t>
            </w:r>
          </w:p>
        </w:tc>
        <w:tc>
          <w:tcPr>
            <w:tcW w:w="217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&lt;7,0%</w:t>
            </w:r>
          </w:p>
          <w:p w:rsidR="008E3F15" w:rsidRDefault="005F449A">
            <w:pPr>
              <w:spacing w:after="0" w:line="259" w:lineRule="auto"/>
              <w:ind w:left="0" w:right="0" w:firstLine="0"/>
            </w:pPr>
            <w:r>
              <w:t>4,4–7,2 ммоль/л</w:t>
            </w:r>
          </w:p>
          <w:p w:rsidR="008E3F15" w:rsidRDefault="005F449A">
            <w:pPr>
              <w:spacing w:after="0" w:line="259" w:lineRule="auto"/>
              <w:ind w:left="0" w:right="0" w:firstLine="0"/>
            </w:pPr>
            <w:r>
              <w:t>&lt;10 ммоль/л</w:t>
            </w:r>
          </w:p>
        </w:tc>
      </w:tr>
      <w:tr w:rsidR="008E3F15">
        <w:trPr>
          <w:trHeight w:val="810"/>
        </w:trPr>
        <w:tc>
          <w:tcPr>
            <w:tcW w:w="66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АД</w:t>
            </w:r>
          </w:p>
          <w:p w:rsidR="008E3F15" w:rsidRDefault="005F449A">
            <w:pPr>
              <w:spacing w:after="0" w:line="259" w:lineRule="auto"/>
              <w:ind w:left="0" w:right="0" w:firstLine="0"/>
            </w:pPr>
            <w:r>
              <w:t>ХС ЛНП</w:t>
            </w:r>
          </w:p>
          <w:p w:rsidR="008E3F15" w:rsidRDefault="005F449A">
            <w:pPr>
              <w:spacing w:after="0" w:line="259" w:lineRule="auto"/>
              <w:ind w:left="0" w:right="0" w:firstLine="0"/>
            </w:pPr>
            <w:r>
              <w:t>Триглицериды</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&lt;130/80 мм рт.ст.</w:t>
            </w:r>
          </w:p>
          <w:p w:rsidR="008E3F15" w:rsidRDefault="005F449A">
            <w:pPr>
              <w:spacing w:after="0" w:line="259" w:lineRule="auto"/>
              <w:ind w:left="0" w:right="0" w:firstLine="0"/>
              <w:jc w:val="both"/>
            </w:pPr>
            <w:r>
              <w:t>&lt;1,4*–1,8 ммоль/л</w:t>
            </w:r>
          </w:p>
          <w:p w:rsidR="008E3F15" w:rsidRDefault="005F449A">
            <w:pPr>
              <w:spacing w:after="0" w:line="259" w:lineRule="auto"/>
              <w:ind w:left="0" w:right="0" w:firstLine="0"/>
            </w:pPr>
            <w:r>
              <w:t>&lt;1,7 ммоль/л</w:t>
            </w:r>
          </w:p>
        </w:tc>
      </w:tr>
    </w:tbl>
    <w:p w:rsidR="008E3F15" w:rsidRDefault="005F449A">
      <w:pPr>
        <w:ind w:left="2" w:right="15"/>
      </w:pPr>
      <w:r>
        <w:rPr>
          <w:b/>
        </w:rPr>
        <w:t>Примечание.</w:t>
      </w:r>
      <w:r>
        <w:t xml:space="preserve"> * — при наличии атеросклеротической болезни + снижение ≥50% от исходного.</w:t>
      </w:r>
    </w:p>
    <w:p w:rsidR="008E3F15" w:rsidRDefault="005F449A">
      <w:pPr>
        <w:ind w:left="2" w:right="15"/>
      </w:pPr>
      <w:r>
        <w:t>Уменьшение массы тела у пациентов с ожирением улучшает контроль гликемии, а бариатрическая хирургия при выраженном ожирении также может снизить риск ССЗ (Yan G. et al., 2019).</w:t>
      </w:r>
    </w:p>
    <w:p w:rsidR="008E3F15" w:rsidRDefault="005F449A">
      <w:pPr>
        <w:spacing w:after="213"/>
        <w:ind w:left="2" w:right="15"/>
      </w:pPr>
      <w:r>
        <w:t>При достижении индивидуализированных гликемических целей следует (ADA; EASD, ACC</w:t>
      </w:r>
      <w:r>
        <w:t>/AHA):</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890688" behindDoc="0" locked="0" layoutInCell="1" allowOverlap="1">
                <wp:simplePos x="0" y="0"/>
                <wp:positionH relativeFrom="column">
                  <wp:posOffset>209550</wp:posOffset>
                </wp:positionH>
                <wp:positionV relativeFrom="paragraph">
                  <wp:posOffset>33523</wp:posOffset>
                </wp:positionV>
                <wp:extent cx="57150" cy="733425"/>
                <wp:effectExtent l="0" t="0" r="0" b="0"/>
                <wp:wrapSquare wrapText="bothSides"/>
                <wp:docPr id="313732" name="Group 313732"/>
                <wp:cNvGraphicFramePr/>
                <a:graphic xmlns:a="http://schemas.openxmlformats.org/drawingml/2006/main">
                  <a:graphicData uri="http://schemas.microsoft.com/office/word/2010/wordprocessingGroup">
                    <wpg:wgp>
                      <wpg:cNvGrpSpPr/>
                      <wpg:grpSpPr>
                        <a:xfrm>
                          <a:off x="0" y="0"/>
                          <a:ext cx="57150" cy="733425"/>
                          <a:chOff x="0" y="0"/>
                          <a:chExt cx="57150" cy="733425"/>
                        </a:xfrm>
                      </wpg:grpSpPr>
                      <wps:wsp>
                        <wps:cNvPr id="17473" name="Shape 17473"/>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555"/>
                                  <a:pt x="32364" y="57150"/>
                                  <a:pt x="28575" y="57150"/>
                                </a:cubicBezTo>
                                <a:cubicBezTo>
                                  <a:pt x="24786" y="57150"/>
                                  <a:pt x="21141" y="56555"/>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78" name="Shape 17478"/>
                        <wps:cNvSpPr/>
                        <wps:spPr>
                          <a:xfrm>
                            <a:off x="0" y="3429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483" name="Shape 17483"/>
                        <wps:cNvSpPr/>
                        <wps:spPr>
                          <a:xfrm>
                            <a:off x="0" y="676275"/>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264"/>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264"/>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3732" style="width:4.5pt;height:57.75pt;position:absolute;mso-position-horizontal-relative:text;mso-position-horizontal:absolute;margin-left:16.5pt;mso-position-vertical-relative:text;margin-top:2.63959pt;" coordsize="571,7334">
                <v:shape id="Shape 17473" style="position:absolute;width:571;height:571;left:0;top:0;" coordsize="57150,57150" path="m28575,0c32364,0,36009,794,39510,2183c43011,3572,46101,5556,48781,8334c51460,10914,53525,14089,54975,17661c56425,21034,57150,24805,57150,28575c57150,32345,56425,35917,54975,39291c53525,42863,51460,45839,48781,48816c46101,51395,43011,53578,39510,54769c36009,56555,32364,57150,28575,57150c24786,57150,21141,56555,17640,54769c14139,53578,11049,51395,8369,48816c5690,45839,3625,42863,2175,39291c725,35917,0,32345,0,28575c0,24805,725,21034,2175,17661c3625,14089,5690,10914,8369,8334c11049,5556,14139,3572,17640,2183c21141,794,24786,0,28575,0x">
                  <v:stroke weight="0pt" endcap="flat" joinstyle="miter" miterlimit="4" on="false" color="#000000" opacity="0"/>
                  <v:fill on="true" color="#333333"/>
                </v:shape>
                <v:shape id="Shape 17478" style="position:absolute;width:571;height:571;left:0;top:3429;" coordsize="57150,57150" path="m28575,0c32364,0,36009,595,39510,1984c43011,3572,46101,5556,48781,8334c51460,10914,53525,14089,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4089,5690,10914,8369,8334c11049,5556,14139,3572,17640,1984c21141,595,24786,0,28575,0x">
                  <v:stroke weight="0pt" endcap="flat" joinstyle="miter" miterlimit="4" on="false" color="#000000" opacity="0"/>
                  <v:fill on="true" color="#333333"/>
                </v:shape>
                <v:shape id="Shape 17483" style="position:absolute;width:571;height:571;left:0;top:6762;" coordsize="57150,57150" path="m28575,0c32364,0,36009,794,39510,2183c43011,3572,46101,5358,48781,8334c51460,10716,53525,13891,54975,17264c56425,20836,57150,24606,57150,28575c57150,32345,56425,35917,54975,39291c53525,42863,51460,45839,48781,48816c46101,51197,43011,53380,39510,54769c36009,56356,32364,57150,28575,57150c24786,57150,21141,56356,17640,54769c14139,53380,11049,51197,8369,48816c5690,45839,3625,42863,2175,39291c725,35917,0,32345,0,28575c0,24606,725,20836,2175,17264c3625,13891,5690,10716,8369,8334c11049,5358,14139,3572,17640,2183c21141,794,24786,0,28575,0x">
                  <v:stroke weight="0pt" endcap="flat" joinstyle="miter" miterlimit="4" on="false" color="#000000" opacity="0"/>
                  <v:fill on="true" color="#333333"/>
                </v:shape>
                <w10:wrap type="square"/>
              </v:group>
            </w:pict>
          </mc:Fallback>
        </mc:AlternateContent>
      </w:r>
      <w:r>
        <w:t>опираться на HbA</w:t>
      </w:r>
      <w:r>
        <w:rPr>
          <w:sz w:val="31"/>
          <w:vertAlign w:val="subscript"/>
        </w:rPr>
        <w:t>1</w:t>
      </w:r>
      <w:r>
        <w:rPr>
          <w:sz w:val="20"/>
        </w:rPr>
        <w:t>c</w:t>
      </w:r>
      <w:r>
        <w:t>, который является основным интегральным (за 3 предшествующих месяца) показателем гликемического контроля;</w:t>
      </w:r>
    </w:p>
    <w:p w:rsidR="008E3F15" w:rsidRDefault="005F449A">
      <w:pPr>
        <w:ind w:left="330" w:right="203" w:firstLine="180"/>
      </w:pPr>
      <w:r>
        <w:t>стремиться к достижению уровня HbA</w:t>
      </w:r>
      <w:r>
        <w:rPr>
          <w:sz w:val="31"/>
          <w:vertAlign w:val="subscript"/>
        </w:rPr>
        <w:t>1</w:t>
      </w:r>
      <w:r>
        <w:rPr>
          <w:sz w:val="20"/>
        </w:rPr>
        <w:t>c</w:t>
      </w:r>
      <w:r>
        <w:t xml:space="preserve"> &lt;7% для снижения риска микрососудистых осложнений (ретинопатии, нефропатии, невропатии</w:t>
      </w:r>
      <w:r>
        <w:t>); добиваться уровня HbA</w:t>
      </w:r>
      <w:r>
        <w:rPr>
          <w:sz w:val="31"/>
          <w:vertAlign w:val="subscript"/>
        </w:rPr>
        <w:t>1</w:t>
      </w:r>
      <w:r>
        <w:rPr>
          <w:sz w:val="20"/>
        </w:rPr>
        <w:t>c</w:t>
      </w:r>
      <w:r>
        <w:t xml:space="preserve"> ~6,5%, если не повышается риск гипогликемии и других осложнений лечения, особенно при малой длительности СД, отсутствии значимых ССЗ, большой ожидаемой продолжительности жизни; </w:t>
      </w:r>
      <w:r>
        <w:rPr>
          <w:rFonts w:ascii="Calibri" w:eastAsia="Calibri" w:hAnsi="Calibri" w:cs="Calibri"/>
          <w:noProof/>
          <w:color w:val="000000"/>
          <w:sz w:val="22"/>
        </w:rPr>
        <mc:AlternateContent>
          <mc:Choice Requires="wpg">
            <w:drawing>
              <wp:inline distT="0" distB="0" distL="0" distR="0">
                <wp:extent cx="57150" cy="57150"/>
                <wp:effectExtent l="0" t="0" r="0" b="0"/>
                <wp:docPr id="313733" name="Group 31373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7489" name="Shape 17489"/>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3733" style="width:4.5pt;height:4.5pt;mso-position-horizontal-relative:char;mso-position-vertical-relative:line" coordsize="571,571">
                <v:shape id="Shape 17489" style="position:absolute;width:571;height:571;left:0;top:0;" coordsize="57150,57150" path="m28575,0c32364,0,36009,595,39510,1984c43011,3572,46101,5556,48781,8334c51460,10914,53525,14089,54975,17463c56425,20836,57150,24606,57150,28575c57150,32345,56425,35917,54975,39489c53525,42863,51460,46038,48781,48816c46101,51395,43011,53578,39510,54967c36009,56356,32364,57150,28575,57150c24786,57150,21141,56356,17640,54967c14139,53578,11049,51395,8369,48816c5690,46038,3625,42863,2175,39489c725,35917,0,32345,0,28575c0,24606,725,20836,2175,17463c3625,14089,5690,10914,8369,8334c11049,5556,14139,3572,17640,1984c21141,595,24786,0,28575,0x">
                  <v:stroke weight="0pt" endcap="flat" joinstyle="miter" miterlimit="4" on="false" color="#000000" opacity="0"/>
                  <v:fill on="true" color="#333333"/>
                </v:shape>
              </v:group>
            </w:pict>
          </mc:Fallback>
        </mc:AlternateContent>
      </w:r>
      <w:r>
        <w:t xml:space="preserve"> ограничить целевой уровень HbA</w:t>
      </w:r>
      <w:r>
        <w:rPr>
          <w:sz w:val="31"/>
          <w:vertAlign w:val="subscript"/>
        </w:rPr>
        <w:t>1</w:t>
      </w:r>
      <w:r>
        <w:rPr>
          <w:sz w:val="20"/>
        </w:rPr>
        <w:t>c</w:t>
      </w:r>
      <w:r>
        <w:t xml:space="preserve"> &lt;8% у пациентов с</w:t>
      </w:r>
      <w:r>
        <w:t xml:space="preserve"> анамнезом тяжелой гипогликемии, сниженной ожидаемой продолжительностью жизни, выраженными микро- и макрососудистыми осложнениями, тяжелой сопутствующей патологией, а также при длительном течении СД с трудностью достижения целевой гликемии, несмотря на инт</w:t>
      </w:r>
      <w:r>
        <w:t>енсивную антигипергликемическую терапию, включая инсулин;</w:t>
      </w:r>
    </w:p>
    <w:p w:rsidR="008E3F15" w:rsidRDefault="005F449A">
      <w:pPr>
        <w:tabs>
          <w:tab w:val="center" w:pos="1453"/>
          <w:tab w:val="center" w:pos="3251"/>
          <w:tab w:val="center" w:pos="4634"/>
          <w:tab w:val="center" w:pos="6165"/>
          <w:tab w:val="center" w:pos="6778"/>
          <w:tab w:val="center" w:pos="9021"/>
        </w:tabs>
        <w:spacing w:after="0" w:line="259" w:lineRule="auto"/>
        <w:ind w:left="0" w:right="0" w:firstLine="0"/>
      </w:pPr>
      <w:r>
        <w:rPr>
          <w:rFonts w:ascii="Calibri" w:eastAsia="Calibri" w:hAnsi="Calibri" w:cs="Calibri"/>
          <w:color w:val="000000"/>
          <w:sz w:val="22"/>
        </w:rPr>
        <w:tab/>
      </w:r>
      <w:r>
        <w:t>р</w:t>
      </w:r>
      <w:r>
        <w:tab/>
        <w:t>у</w:t>
      </w:r>
      <w:r>
        <w:tab/>
        <w:t>р</w:t>
      </w:r>
      <w:r>
        <w:tab/>
        <w:t>у</w:t>
      </w:r>
      <w:r>
        <w:tab/>
        <w:t>р</w:t>
      </w:r>
      <w:r>
        <w:tab/>
        <w:t>у</w:t>
      </w:r>
    </w:p>
    <w:p w:rsidR="008E3F15" w:rsidRDefault="005F449A">
      <w:pPr>
        <w:ind w:left="610" w:right="452"/>
      </w:pPr>
      <w:r>
        <w:t>проводить оценку HbA</w:t>
      </w:r>
      <w:r>
        <w:rPr>
          <w:sz w:val="31"/>
          <w:vertAlign w:val="subscript"/>
        </w:rPr>
        <w:t>1</w:t>
      </w:r>
      <w:r>
        <w:rPr>
          <w:sz w:val="20"/>
        </w:rPr>
        <w:t>c</w:t>
      </w:r>
      <w:r>
        <w:t xml:space="preserve"> два раза в год у пациентов со стабильным контролем СД и целевыми показателями гликемии, при смене лечения или недостигнутом целевом уровне гликемии — раз в три ме</w:t>
      </w:r>
      <w:r>
        <w:t>сяца;</w:t>
      </w:r>
    </w:p>
    <w:p w:rsidR="008E3F15" w:rsidRDefault="005F449A">
      <w:pPr>
        <w:ind w:left="340" w:right="484"/>
      </w:pPr>
      <w:r>
        <w:rPr>
          <w:rFonts w:ascii="Calibri" w:eastAsia="Calibri" w:hAnsi="Calibri" w:cs="Calibri"/>
          <w:noProof/>
          <w:color w:val="000000"/>
          <w:sz w:val="22"/>
        </w:rPr>
        <mc:AlternateContent>
          <mc:Choice Requires="wpg">
            <w:drawing>
              <wp:anchor distT="0" distB="0" distL="114300" distR="114300" simplePos="0" relativeHeight="251891712" behindDoc="0" locked="0" layoutInCell="1" allowOverlap="1">
                <wp:simplePos x="0" y="0"/>
                <wp:positionH relativeFrom="column">
                  <wp:posOffset>209550</wp:posOffset>
                </wp:positionH>
                <wp:positionV relativeFrom="paragraph">
                  <wp:posOffset>34727</wp:posOffset>
                </wp:positionV>
                <wp:extent cx="57150" cy="695325"/>
                <wp:effectExtent l="0" t="0" r="0" b="0"/>
                <wp:wrapSquare wrapText="bothSides"/>
                <wp:docPr id="314869" name="Group 314869"/>
                <wp:cNvGraphicFramePr/>
                <a:graphic xmlns:a="http://schemas.openxmlformats.org/drawingml/2006/main">
                  <a:graphicData uri="http://schemas.microsoft.com/office/word/2010/wordprocessingGroup">
                    <wpg:wgp>
                      <wpg:cNvGrpSpPr/>
                      <wpg:grpSpPr>
                        <a:xfrm>
                          <a:off x="0" y="0"/>
                          <a:ext cx="57150" cy="695325"/>
                          <a:chOff x="0" y="0"/>
                          <a:chExt cx="57150" cy="695325"/>
                        </a:xfrm>
                      </wpg:grpSpPr>
                      <wps:wsp>
                        <wps:cNvPr id="17558" name="Shape 17558"/>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264"/>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563" name="Shape 17563"/>
                        <wps:cNvSpPr/>
                        <wps:spPr>
                          <a:xfrm>
                            <a:off x="0" y="3333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7566" name="Shape 17566"/>
                        <wps:cNvSpPr/>
                        <wps:spPr>
                          <a:xfrm>
                            <a:off x="0" y="6381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6038"/>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4869" style="width:4.5pt;height:54.75pt;position:absolute;mso-position-horizontal-relative:text;mso-position-horizontal:absolute;margin-left:16.5pt;mso-position-vertical-relative:text;margin-top:2.73438pt;" coordsize="571,6953">
                <v:shape id="Shape 17558" style="position:absolute;width:571;height:571;left:0;top:0;" coordsize="57150,57150" path="m28575,0c32364,0,36009,595,39510,1984c43011,3572,46101,5556,48781,8334c51460,10716,53525,13891,54975,17264c56425,20836,57150,24606,57150,28575c57150,32345,56425,35917,54975,39291c53525,42863,51460,45839,48781,48816c46101,51197,43011,53380,39510,54769c36009,56158,32364,57150,28575,57150c24786,57150,21141,56158,17640,54769c14139,53380,11049,51197,8369,48816c5690,45839,3625,42863,2175,39291c725,35917,0,32345,0,28575c0,24606,725,20836,2175,17264c3625,13891,5690,10716,8369,8334c11049,5556,14139,3572,17640,1984c21141,595,24786,0,28575,0x">
                  <v:stroke weight="0pt" endcap="flat" joinstyle="miter" miterlimit="4" on="false" color="#000000" opacity="0"/>
                  <v:fill on="true" color="#333333"/>
                </v:shape>
                <v:shape id="Shape 17563" style="position:absolute;width:571;height:571;left:0;top:3333;" coordsize="57150,57150" path="m28575,0c32364,0,36009,794,39510,2183c43011,3572,46101,5556,48781,8334c51460,10716,53525,13891,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3891,5690,10716,8369,8334c11049,5556,14139,3572,17640,2183c21141,794,24786,0,28575,0x">
                  <v:stroke weight="0pt" endcap="flat" joinstyle="miter" miterlimit="4" on="false" color="#000000" opacity="0"/>
                  <v:fill on="true" color="#333333"/>
                </v:shape>
                <v:shape id="Shape 17566" style="position:absolute;width:571;height:571;left:0;top:6381;" coordsize="57150,57150" path="m28575,0c32364,0,36009,794,39510,2183c43011,3572,46101,5556,48781,8334c51460,10716,53525,13891,54975,17463c56425,21034,57150,24805,57150,28575c57150,32345,56425,35917,54975,39291c53525,42863,51460,46038,48781,48816c46101,51197,43011,53380,39510,54769c36009,56356,32364,57150,28575,57150c24786,57150,21141,56356,17640,54769c14139,53380,11049,51197,8369,48816c5690,46038,3625,42863,2175,39291c725,35917,0,32345,0,28575c0,24805,725,21034,2175,17463c3625,13891,5690,10716,8369,8334c11049,5556,14139,3572,17640,2183c21141,794,24786,0,28575,0x">
                  <v:stroke weight="0pt" endcap="flat" joinstyle="miter" miterlimit="4" on="false" color="#000000" opacity="0"/>
                  <v:fill on="true" color="#333333"/>
                </v:shape>
                <w10:wrap type="square"/>
              </v:group>
            </w:pict>
          </mc:Fallback>
        </mc:AlternateContent>
      </w:r>
      <w:r>
        <w:t>ориентироваться на постпрандиальную гликемию, если не удается достичь целевого уровня HbA</w:t>
      </w:r>
      <w:r>
        <w:rPr>
          <w:sz w:val="31"/>
          <w:vertAlign w:val="subscript"/>
        </w:rPr>
        <w:t>1</w:t>
      </w:r>
      <w:r>
        <w:rPr>
          <w:sz w:val="20"/>
        </w:rPr>
        <w:t>c</w:t>
      </w:r>
      <w:r>
        <w:t>, несмотря на нормальные показатели гликемии натощак; учитывать, что риск хронических осложнений СД в основном зависит от уровня достигнутой гликемии, а не от</w:t>
      </w:r>
      <w:r>
        <w:t xml:space="preserve"> способа лечения;</w:t>
      </w:r>
    </w:p>
    <w:p w:rsidR="008E3F15" w:rsidRDefault="005F449A">
      <w:pPr>
        <w:ind w:left="340" w:right="640"/>
      </w:pPr>
      <w:r>
        <w:t>знать, что интенсивный контроль гликемии по сравнению с обычным контролем не снижает общей и сердечно-сосудистой смертности, уменьшает риск</w:t>
      </w:r>
    </w:p>
    <w:p w:rsidR="008E3F15" w:rsidRDefault="005F449A">
      <w:pPr>
        <w:ind w:left="610" w:right="15"/>
      </w:pPr>
      <w:r>
        <w:t>микрососудистых осложнений и увеличивает частоту гипогликемии (Cochrane Reviews; Boussageon R. еt al., 2011).</w:t>
      </w:r>
    </w:p>
    <w:p w:rsidR="008E3F15" w:rsidRDefault="005F449A">
      <w:pPr>
        <w:ind w:left="2" w:right="15"/>
      </w:pPr>
      <w:r>
        <w:rPr>
          <w:b/>
        </w:rPr>
        <w:t xml:space="preserve">Контроль гликемии. </w:t>
      </w:r>
      <w:r>
        <w:t>Для оценки эффективности контроля гликемии важно использовать два основных подхода: амбулаторный самоконтроль гликемии (или инт</w:t>
      </w:r>
      <w:r>
        <w:t>ерстициальной глюкозы с помощью систем непрерывного мониторирования) и оценку HbA</w:t>
      </w:r>
      <w:r>
        <w:rPr>
          <w:sz w:val="31"/>
          <w:vertAlign w:val="subscript"/>
        </w:rPr>
        <w:t>1</w:t>
      </w:r>
      <w:r>
        <w:rPr>
          <w:sz w:val="20"/>
        </w:rPr>
        <w:t>c</w:t>
      </w:r>
      <w:r>
        <w:t>.</w:t>
      </w:r>
    </w:p>
    <w:p w:rsidR="008E3F15" w:rsidRDefault="005F449A">
      <w:pPr>
        <w:ind w:left="2" w:right="15"/>
      </w:pPr>
      <w:r>
        <w:rPr>
          <w:i/>
        </w:rPr>
        <w:t>Амбулаторный самоконтроль гликемии</w:t>
      </w:r>
      <w:r>
        <w:t>, который осуществляется с помощью портативных глюкометров, рекомендуют проводить ежедневно не менее трех раз в день пациентам с частым в</w:t>
      </w:r>
      <w:r>
        <w:t xml:space="preserve">ведением инсулина или использующих инсулиновую помпу (ADA). Пациентам на неинсулиновой терапии подбирают индивидуальный режим самотестирования. Например, при стабильном течении заболевания может быть достаточным самоконтроль гликемии 2– 3 дня в неделю (до </w:t>
      </w:r>
      <w:r>
        <w:t>и через 2 ч после еды) (RACGP). Более частый мониторинг гликемии (до 8 раз в сутки) рекомендуется пациентам с эпизодами гипогликемии и при титрации инсулинотерапии (AACE/ACE).</w:t>
      </w:r>
    </w:p>
    <w:p w:rsidR="008E3F15" w:rsidRDefault="005F449A">
      <w:pPr>
        <w:ind w:left="2" w:right="325"/>
      </w:pPr>
      <w:r>
        <w:t xml:space="preserve">На фоне терапии современными антигипергликемическими неинсулиновыми препаратами </w:t>
      </w:r>
      <w:r>
        <w:t>с низким риском гипогликемий (сравнимым с плацебо) и низкой вариабельности глюкозы крови в течение суток и изо дня в день частоту самоконтроля можно снизить до 1 раза в неделю.</w:t>
      </w:r>
    </w:p>
    <w:p w:rsidR="008E3F15" w:rsidRDefault="005F449A">
      <w:pPr>
        <w:ind w:left="2" w:right="15"/>
      </w:pPr>
      <w:r>
        <w:t xml:space="preserve">По данным метаанализов крупных исследований, самоконтроль гликемии у пациентов </w:t>
      </w:r>
      <w:r>
        <w:t>с СД 2го типа, принимавших пероральные препараты, может снизить уровень HbA</w:t>
      </w:r>
      <w:r>
        <w:rPr>
          <w:sz w:val="31"/>
          <w:vertAlign w:val="subscript"/>
        </w:rPr>
        <w:t>1</w:t>
      </w:r>
      <w:r>
        <w:rPr>
          <w:sz w:val="20"/>
        </w:rPr>
        <w:t>c</w:t>
      </w:r>
      <w:r>
        <w:t xml:space="preserve"> на 0,25–0,3%, однако не влияет на качесто жизни, риск осложнений и смертность (Cochrane Reviw; Farmer A. et al., 2012; Zhu H. et al., 2016).</w:t>
      </w:r>
    </w:p>
    <w:p w:rsidR="008E3F15" w:rsidRDefault="005F449A">
      <w:pPr>
        <w:ind w:left="2" w:right="715"/>
      </w:pPr>
      <w:r>
        <w:t>Перед проведением теста рекомендуют вымыть руки с мылом и высушить, затем использовать первую каплю (Hortensius J. еt al., 2011). В современных глюкометрах достаточно микрокапли крови. Если мытье рук невозможно и руки не загрязнены или не было контакта с п</w:t>
      </w:r>
      <w:r>
        <w:t>родуктами, содержащими сахар, то рекомендуют использовать вторую каплю крови. Внешнее давление может дать ненадежные результаты.</w:t>
      </w:r>
    </w:p>
    <w:p w:rsidR="008E3F15" w:rsidRDefault="005F449A">
      <w:pPr>
        <w:ind w:left="2" w:right="423"/>
      </w:pPr>
      <w:r>
        <w:t>При невозможности оценки HbA</w:t>
      </w:r>
      <w:r>
        <w:rPr>
          <w:sz w:val="31"/>
          <w:vertAlign w:val="subscript"/>
        </w:rPr>
        <w:t>1</w:t>
      </w:r>
      <w:r>
        <w:rPr>
          <w:sz w:val="20"/>
        </w:rPr>
        <w:t>c</w:t>
      </w:r>
      <w:r>
        <w:t xml:space="preserve"> можно ориентироваться на средний уровень глюкозы в плазме, который автоматически высчитывают сов</w:t>
      </w:r>
      <w:r>
        <w:t>ременные глюкометры (</w:t>
      </w:r>
      <w:r>
        <w:rPr>
          <w:b/>
        </w:rPr>
        <w:t>табл. 16.5</w:t>
      </w:r>
      <w:r>
        <w:t>).</w:t>
      </w:r>
    </w:p>
    <w:p w:rsidR="008E3F15" w:rsidRDefault="005F449A">
      <w:pPr>
        <w:spacing w:after="31"/>
        <w:ind w:left="2" w:right="15"/>
      </w:pPr>
      <w:r>
        <w:rPr>
          <w:b/>
        </w:rPr>
        <w:t xml:space="preserve">Таблица 16.5. </w:t>
      </w:r>
      <w:r>
        <w:t>Соответствие гликированного гемоглобина и глюкозы в плазме (ADA)</w:t>
      </w:r>
    </w:p>
    <w:tbl>
      <w:tblPr>
        <w:tblStyle w:val="TableGrid"/>
        <w:tblW w:w="7395" w:type="dxa"/>
        <w:tblInd w:w="30" w:type="dxa"/>
        <w:tblCellMar>
          <w:top w:w="58" w:type="dxa"/>
          <w:left w:w="45" w:type="dxa"/>
          <w:bottom w:w="0" w:type="dxa"/>
          <w:right w:w="53" w:type="dxa"/>
        </w:tblCellMar>
        <w:tblLook w:val="04A0" w:firstRow="1" w:lastRow="0" w:firstColumn="1" w:lastColumn="0" w:noHBand="0" w:noVBand="1"/>
      </w:tblPr>
      <w:tblGrid>
        <w:gridCol w:w="1140"/>
        <w:gridCol w:w="6255"/>
      </w:tblGrid>
      <w:tr w:rsidR="008E3F15">
        <w:trPr>
          <w:trHeight w:val="420"/>
        </w:trPr>
        <w:tc>
          <w:tcPr>
            <w:tcW w:w="7395" w:type="dxa"/>
            <w:gridSpan w:val="2"/>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HbA</w:t>
            </w:r>
            <w:r>
              <w:rPr>
                <w:b/>
                <w:sz w:val="31"/>
                <w:bdr w:val="single" w:sz="12" w:space="0" w:color="000000"/>
                <w:vertAlign w:val="subscript"/>
              </w:rPr>
              <w:t>1</w:t>
            </w:r>
            <w:r>
              <w:rPr>
                <w:b/>
                <w:sz w:val="20"/>
                <w:bdr w:val="single" w:sz="12" w:space="0" w:color="000000"/>
              </w:rPr>
              <w:t>c</w:t>
            </w:r>
            <w:r>
              <w:rPr>
                <w:b/>
                <w:bdr w:val="single" w:sz="12" w:space="0" w:color="000000"/>
              </w:rPr>
              <w:t>, % Средняя концентрация глюкозы в плазме, ммоль/л</w:t>
            </w:r>
          </w:p>
        </w:tc>
      </w:tr>
      <w:tr w:rsidR="008E3F15">
        <w:trPr>
          <w:trHeight w:val="308"/>
        </w:trPr>
        <w:tc>
          <w:tcPr>
            <w:tcW w:w="11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w:t>
            </w:r>
          </w:p>
        </w:tc>
        <w:tc>
          <w:tcPr>
            <w:tcW w:w="625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5,4 (4,2–6,7)</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7,0 (5,5–8,5)</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8,6 (6,8–10,3)</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10,2 (8,1–12,1)</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9</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11,8 (9,4–13,9)</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13,4 (10,7–15,7)</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11</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14,9 (12,0–17,5)</w:t>
            </w:r>
          </w:p>
        </w:tc>
      </w:tr>
      <w:tr w:rsidR="008E3F15">
        <w:trPr>
          <w:trHeight w:val="330"/>
        </w:trPr>
        <w:tc>
          <w:tcPr>
            <w:tcW w:w="1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c>
          <w:tcPr>
            <w:tcW w:w="6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16,5 (13,3–19,3)</w:t>
            </w:r>
          </w:p>
        </w:tc>
      </w:tr>
    </w:tbl>
    <w:p w:rsidR="008E3F15" w:rsidRDefault="005F449A">
      <w:pPr>
        <w:pStyle w:val="Heading1"/>
        <w:ind w:left="2"/>
      </w:pPr>
      <w:r>
        <w:t>Часть II. Коморбидные болезни</w:t>
      </w:r>
    </w:p>
    <w:p w:rsidR="008E3F15" w:rsidRDefault="005F449A">
      <w:pPr>
        <w:ind w:left="2" w:right="15"/>
      </w:pPr>
      <w:r>
        <w:rPr>
          <w:i/>
        </w:rPr>
        <w:t>Непрерывный мониторинг гликемии</w:t>
      </w:r>
      <w:r>
        <w:t xml:space="preserve"> может быть полезен некоторым пациентам с СД 2-го типа на интенсивной инсулинотерапии, имеющим частые или малосимптомные гипогликемии. Предлагается использовать индивидуальные многодневные гликемические профили для персонализированного контроля гликемии.</w:t>
      </w:r>
    </w:p>
    <w:p w:rsidR="008E3F15" w:rsidRDefault="005F449A">
      <w:pPr>
        <w:ind w:left="2" w:right="15"/>
      </w:pPr>
      <w:r>
        <w:t>В</w:t>
      </w:r>
      <w:r>
        <w:t>ариабельность гликемии (как и АД, холестерина) ассоциируется с неблагоприятным течением СД, однако пока нет исследований, доказывающих, что снижение вариабельности гликемии улучшает прогноз.</w:t>
      </w:r>
    </w:p>
    <w:p w:rsidR="008E3F15" w:rsidRDefault="005F449A">
      <w:pPr>
        <w:ind w:left="2" w:right="15"/>
      </w:pPr>
      <w:r>
        <w:t>Мониторная система Freestyle Libre 3 через внутрикожный датчик еж</w:t>
      </w:r>
      <w:r>
        <w:t>еминутно измеряет уровень гликемии в течение 14 сут, а приложение для мобильных устройств позволяет</w:t>
      </w:r>
    </w:p>
    <w:p w:rsidR="008E3F15" w:rsidRDefault="008E3F15">
      <w:pPr>
        <w:sectPr w:rsidR="008E3F15">
          <w:headerReference w:type="even" r:id="rId149"/>
          <w:headerReference w:type="default" r:id="rId150"/>
          <w:footerReference w:type="even" r:id="rId151"/>
          <w:footerReference w:type="default" r:id="rId152"/>
          <w:headerReference w:type="first" r:id="rId153"/>
          <w:footerReference w:type="first" r:id="rId154"/>
          <w:pgSz w:w="11899" w:h="16838"/>
          <w:pgMar w:top="350" w:right="667" w:bottom="533" w:left="690" w:header="334" w:footer="290" w:gutter="0"/>
          <w:cols w:space="720"/>
        </w:sectPr>
      </w:pPr>
    </w:p>
    <w:p w:rsidR="008E3F15" w:rsidRDefault="005F449A">
      <w:pPr>
        <w:spacing w:after="31"/>
        <w:ind w:left="2" w:right="15"/>
      </w:pPr>
      <w:r>
        <w:t>сканировать датчик, накапливать и в</w:t>
      </w:r>
      <w:r>
        <w:t>ыводить данные об уровне глюкозы за последние 8 ч.</w:t>
      </w:r>
    </w:p>
    <w:p w:rsidR="008E3F15" w:rsidRDefault="005F449A">
      <w:pPr>
        <w:ind w:left="2" w:right="181"/>
      </w:pPr>
      <w:r>
        <w:t>Монитор Dexcom D7 автоматически посылает данные в мобильные приложения каждые 1– 5 мин в течение 10 сут с оповещением об аномально низком или высоком уровне гликемии. Важным индикатором эффективного контро</w:t>
      </w:r>
      <w:r>
        <w:t>ля является время гликемии в диапазоне 3,9– 10 ммоль/л, составляющее ≥70%, что примерно соответствует HbA</w:t>
      </w:r>
      <w:r>
        <w:rPr>
          <w:sz w:val="31"/>
          <w:vertAlign w:val="subscript"/>
        </w:rPr>
        <w:t>1</w:t>
      </w:r>
      <w:r>
        <w:rPr>
          <w:sz w:val="20"/>
        </w:rPr>
        <w:t>c</w:t>
      </w:r>
      <w:r>
        <w:t xml:space="preserve"> 7%.</w:t>
      </w:r>
    </w:p>
    <w:p w:rsidR="008E3F15" w:rsidRDefault="005F449A">
      <w:pPr>
        <w:ind w:left="2" w:right="15"/>
      </w:pPr>
      <w:r>
        <w:t xml:space="preserve">Переход с интермиттирующего на постоянное мониторирование у пациентов с СД 1-го типа позволил увеличить время гликемии в оптимальном диапазоне, </w:t>
      </w:r>
      <w:r>
        <w:t>снизить уровень HbA</w:t>
      </w:r>
      <w:r>
        <w:rPr>
          <w:sz w:val="31"/>
          <w:vertAlign w:val="subscript"/>
        </w:rPr>
        <w:t>1</w:t>
      </w:r>
      <w:r>
        <w:rPr>
          <w:sz w:val="20"/>
        </w:rPr>
        <w:t>c</w:t>
      </w:r>
      <w:r>
        <w:t>, время гипогликемии и эпизоды выраженной гипогликемии (ALERTT1).</w:t>
      </w:r>
    </w:p>
    <w:p w:rsidR="008E3F15" w:rsidRDefault="005F449A">
      <w:pPr>
        <w:ind w:left="2" w:right="15"/>
      </w:pPr>
      <w:r>
        <w:t>Кроме контроля гликемии, пациентам с СД 2-го типа проводится периодический лабораторный и клинический контроль системных проявлений болезни (</w:t>
      </w:r>
      <w:r>
        <w:rPr>
          <w:b/>
        </w:rPr>
        <w:t>табл. 16.6</w:t>
      </w:r>
      <w:r>
        <w:t>).</w:t>
      </w:r>
    </w:p>
    <w:p w:rsidR="008E3F15" w:rsidRDefault="005F449A">
      <w:pPr>
        <w:spacing w:after="31"/>
        <w:ind w:left="2" w:right="15"/>
      </w:pPr>
      <w:r>
        <w:rPr>
          <w:b/>
        </w:rPr>
        <w:t xml:space="preserve">Таблица 16.6. </w:t>
      </w:r>
      <w:r>
        <w:t>М</w:t>
      </w:r>
      <w:r>
        <w:t>ониторинг больных сахарным диабетом 2-го типа без осложнений (РАЭ; ADA)</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4995"/>
        <w:gridCol w:w="5490"/>
      </w:tblGrid>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Показатель</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Частота обследования</w:t>
            </w:r>
          </w:p>
        </w:tc>
      </w:tr>
      <w:tr w:rsidR="008E3F15">
        <w:trPr>
          <w:trHeight w:val="570"/>
        </w:trPr>
        <w:tc>
          <w:tcPr>
            <w:tcW w:w="49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Самоконтроль гликемии</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В дебюте заболевания и при декомпенсации — ежедневно</w:t>
            </w:r>
          </w:p>
        </w:tc>
      </w:tr>
      <w:tr w:rsidR="008E3F15">
        <w:trPr>
          <w:trHeight w:val="39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HbA</w:t>
            </w:r>
            <w:r>
              <w:rPr>
                <w:sz w:val="31"/>
                <w:vertAlign w:val="subscript"/>
              </w:rPr>
              <w:t>1</w:t>
            </w:r>
            <w:r>
              <w:rPr>
                <w:sz w:val="20"/>
              </w:rPr>
              <w:t>c</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Каждые 3 мес</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Липидограмма</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810"/>
        </w:trPr>
        <w:tc>
          <w:tcPr>
            <w:tcW w:w="49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Креатинин, рСКФ, калий</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1–2-я стадия ХБП — 1 раз в год</w:t>
            </w:r>
          </w:p>
          <w:p w:rsidR="008E3F15" w:rsidRDefault="005F449A">
            <w:pPr>
              <w:spacing w:after="0" w:line="259" w:lineRule="auto"/>
              <w:ind w:left="2" w:right="0" w:firstLine="0"/>
            </w:pPr>
            <w:r>
              <w:t>3-я стадия ХБП — через 3–6 мес</w:t>
            </w:r>
          </w:p>
          <w:p w:rsidR="008E3F15" w:rsidRDefault="005F449A">
            <w:pPr>
              <w:spacing w:after="0" w:line="259" w:lineRule="auto"/>
              <w:ind w:left="2" w:right="0" w:firstLine="0"/>
            </w:pPr>
            <w:r>
              <w:t>4–5-я стадия ХБП — через 3 мес</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Общий анализ крови</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Общий анализ мочи</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Экскреция альбумина с мочой</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Контроль АД</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При каждом посещении врача</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ЭКГ</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57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Стресс-тест при наличии &gt;2 факторов риска</w:t>
            </w:r>
          </w:p>
        </w:tc>
        <w:tc>
          <w:tcPr>
            <w:tcW w:w="54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Ежегодно</w:t>
            </w:r>
          </w:p>
        </w:tc>
      </w:tr>
      <w:tr w:rsidR="008E3F15">
        <w:trPr>
          <w:trHeight w:val="570"/>
        </w:trPr>
        <w:tc>
          <w:tcPr>
            <w:tcW w:w="49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Консультация нефролога</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4–5-я стадия ХБП, быстрое снижение функции почек на 3-й стадии ХБП</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Консультация кардиолога</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Осмотр ног</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При каждом посещении врача</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Осмотр мест инъекции инсулина</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Каждые 6 мес</w:t>
            </w:r>
          </w:p>
        </w:tc>
      </w:tr>
      <w:tr w:rsidR="008E3F15">
        <w:trPr>
          <w:trHeight w:val="570"/>
        </w:trPr>
        <w:tc>
          <w:tcPr>
            <w:tcW w:w="49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Консультация офтальмолога</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 чаще при прогрессировании ретинопатии</w:t>
            </w:r>
          </w:p>
        </w:tc>
      </w:tr>
      <w:tr w:rsidR="008E3F15">
        <w:trPr>
          <w:trHeight w:val="57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Консультация невролога (пульс, рефлексы, чувствительность)</w:t>
            </w:r>
          </w:p>
        </w:tc>
        <w:tc>
          <w:tcPr>
            <w:tcW w:w="54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Ежегодно</w:t>
            </w:r>
          </w:p>
        </w:tc>
      </w:tr>
      <w:tr w:rsidR="008E3F15">
        <w:trPr>
          <w:trHeight w:val="330"/>
        </w:trPr>
        <w:tc>
          <w:tcPr>
            <w:tcW w:w="49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Рентгенография грудной клетки</w:t>
            </w:r>
          </w:p>
        </w:tc>
        <w:tc>
          <w:tcPr>
            <w:tcW w:w="54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Ежегодно</w:t>
            </w:r>
          </w:p>
        </w:tc>
      </w:tr>
    </w:tbl>
    <w:p w:rsidR="008E3F15" w:rsidRDefault="005F449A">
      <w:pPr>
        <w:ind w:left="2" w:right="15"/>
      </w:pPr>
      <w:r>
        <w:t>При неполном выполнении рекомендаций пациентом и недостаточном контроле гликемии показан скрининг психических расстройств, включая депрессию, тревогу, стресс, нарушения пищевого поведения, деменцию.</w:t>
      </w:r>
    </w:p>
    <w:p w:rsidR="008E3F15" w:rsidRDefault="005F449A">
      <w:pPr>
        <w:ind w:left="2" w:right="15"/>
      </w:pPr>
      <w:r>
        <w:rPr>
          <w:i/>
        </w:rPr>
        <w:t xml:space="preserve">Гипогликемия. </w:t>
      </w:r>
      <w:r>
        <w:t xml:space="preserve">В процессе достижения нормогликемии крайне </w:t>
      </w:r>
      <w:r>
        <w:t>важно не превысить дозу антигипергликемических препаратов, чтобы не допустить гипогликемий, которые могут увеличить риск сердечно-сосудистых событий через симпатикотонию, активацию тромбоцитов и фибринолитический баланс, эндотелиальную дисфункцию, гипокали</w:t>
      </w:r>
      <w:r>
        <w:t xml:space="preserve">емию, удлинение интервала </w:t>
      </w:r>
      <w:r>
        <w:rPr>
          <w:i/>
        </w:rPr>
        <w:t>Q–T</w:t>
      </w:r>
      <w:r>
        <w:t xml:space="preserve"> (Руяткина Л.А. и соавт., 2013; King R. et al., 2016).</w:t>
      </w:r>
    </w:p>
    <w:p w:rsidR="008E3F15" w:rsidRDefault="005F449A">
      <w:pPr>
        <w:ind w:left="2" w:right="15"/>
      </w:pPr>
      <w:r>
        <w:t>Для стратификации гипогликемии, влияющей на сердечно-сосудистые события, широко используются критерии, разработанные американскими профессиональными организациями</w:t>
      </w:r>
    </w:p>
    <w:p w:rsidR="008E3F15" w:rsidRDefault="005F449A">
      <w:pPr>
        <w:ind w:left="2" w:right="15"/>
      </w:pPr>
      <w:r>
        <w:t>(</w:t>
      </w:r>
      <w:r>
        <w:rPr>
          <w:b/>
        </w:rPr>
        <w:t>табл. 16</w:t>
      </w:r>
      <w:r>
        <w:rPr>
          <w:b/>
        </w:rPr>
        <w:t>.7</w:t>
      </w:r>
      <w:r>
        <w:t>). Уровень глюкозы &lt;3,9 ммоль/л обычно вызывает компенсаторный нейроэндокринный ответ у лиц без СД, однако у пациентов с СД нарушена работа контррегуляторных систем. Ниже порога 3,0 ммоль/л обычно возникают</w:t>
      </w:r>
    </w:p>
    <w:p w:rsidR="008E3F15" w:rsidRDefault="005F449A">
      <w:pPr>
        <w:spacing w:after="31"/>
        <w:ind w:left="2" w:right="225"/>
      </w:pPr>
      <w:r>
        <w:t>нейрогликопенические симптомы (могут быть стерт</w:t>
      </w:r>
      <w:r>
        <w:t xml:space="preserve">ыми при длительном стаже СД), а на 3-м уровне возможно развитие потери сознания, судорог, комы и даже смерти. </w:t>
      </w:r>
      <w:r>
        <w:rPr>
          <w:b/>
        </w:rPr>
        <w:t xml:space="preserve">Таблица 16.7. </w:t>
      </w:r>
      <w:r>
        <w:t>Классификация гипогликемии (AACE/AADE/ADA/ES/JDRFI/PES)</w:t>
      </w:r>
    </w:p>
    <w:tbl>
      <w:tblPr>
        <w:tblStyle w:val="TableGrid"/>
        <w:tblW w:w="10485" w:type="dxa"/>
        <w:tblInd w:w="30" w:type="dxa"/>
        <w:tblCellMar>
          <w:top w:w="58" w:type="dxa"/>
          <w:left w:w="42" w:type="dxa"/>
          <w:bottom w:w="0" w:type="dxa"/>
          <w:right w:w="115" w:type="dxa"/>
        </w:tblCellMar>
        <w:tblLook w:val="04A0" w:firstRow="1" w:lastRow="0" w:firstColumn="1" w:lastColumn="0" w:noHBand="0" w:noVBand="1"/>
      </w:tblPr>
      <w:tblGrid>
        <w:gridCol w:w="2460"/>
        <w:gridCol w:w="8025"/>
      </w:tblGrid>
      <w:tr w:rsidR="008E3F15">
        <w:trPr>
          <w:trHeight w:val="570"/>
        </w:trPr>
        <w:tc>
          <w:tcPr>
            <w:tcW w:w="24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Степени гипогликемии</w:t>
            </w:r>
          </w:p>
        </w:tc>
        <w:tc>
          <w:tcPr>
            <w:tcW w:w="80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Критерии, описание</w:t>
            </w:r>
          </w:p>
        </w:tc>
      </w:tr>
      <w:tr w:rsidR="008E3F15">
        <w:trPr>
          <w:trHeight w:val="308"/>
        </w:trPr>
        <w:tc>
          <w:tcPr>
            <w:tcW w:w="246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1-й уровень</w:t>
            </w:r>
          </w:p>
        </w:tc>
        <w:tc>
          <w:tcPr>
            <w:tcW w:w="80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3,0–3,8 ммоль/л</w:t>
            </w:r>
          </w:p>
        </w:tc>
      </w:tr>
      <w:tr w:rsidR="008E3F15">
        <w:trPr>
          <w:trHeight w:val="473"/>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548"/>
        </w:trPr>
        <w:tc>
          <w:tcPr>
            <w:tcW w:w="246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2-й уровень</w:t>
            </w:r>
          </w:p>
        </w:tc>
        <w:tc>
          <w:tcPr>
            <w:tcW w:w="80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&lt;3,0 ммоль/л, симптомы (тремор, раздражительность, голод, тахикардия, спутанность сознания)</w:t>
            </w:r>
          </w:p>
        </w:tc>
      </w:tr>
      <w:tr w:rsidR="008E3F15">
        <w:trPr>
          <w:trHeight w:val="570"/>
        </w:trPr>
        <w:tc>
          <w:tcPr>
            <w:tcW w:w="24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3-й уровень</w:t>
            </w:r>
          </w:p>
        </w:tc>
        <w:tc>
          <w:tcPr>
            <w:tcW w:w="80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Тяжелое нарушение психического и физического состояния, требующее помощи</w:t>
            </w:r>
          </w:p>
        </w:tc>
      </w:tr>
    </w:tbl>
    <w:p w:rsidR="008E3F15" w:rsidRDefault="005F449A">
      <w:pPr>
        <w:ind w:left="2" w:right="749"/>
      </w:pPr>
      <w:r>
        <w:t>При малосимптомных и/или частых гипогликемических состояниях у пациентов на инсулинотерапии может быть полезен непрерывный мониторинг гликемии (ADA). Важно понимать, что HbA</w:t>
      </w:r>
      <w:r>
        <w:rPr>
          <w:sz w:val="31"/>
          <w:vertAlign w:val="subscript"/>
        </w:rPr>
        <w:t>1</w:t>
      </w:r>
      <w:r>
        <w:rPr>
          <w:sz w:val="20"/>
        </w:rPr>
        <w:t>c</w:t>
      </w:r>
      <w:r>
        <w:t xml:space="preserve"> не оценивает вариабельность гликемии или гипогликемию.</w:t>
      </w:r>
    </w:p>
    <w:p w:rsidR="008E3F15" w:rsidRDefault="005F449A">
      <w:pPr>
        <w:ind w:left="2" w:right="15"/>
      </w:pPr>
      <w:r>
        <w:t>Пациентов с СД необходимо</w:t>
      </w:r>
      <w:r>
        <w:t xml:space="preserve"> обучать симптоматике гипогликемий, которые подразделяют на легкие (пациенты сами могут их купировать приемом легкоусвояемых углеводов: 2–4 куска сахара в растворенном виде, либо стакан сладкого сока или лимонада) и тяжелые (с нарушением сознания, когда па</w:t>
      </w:r>
      <w:r>
        <w:t>циенты нуждаются в срочной посторонней помощи). Неспособность оценить гипогликемию или хотя бы один эпизод выраженной гипогликемии требует пересмотра режима лечения, включая замену дозозависимых</w:t>
      </w:r>
    </w:p>
    <w:p w:rsidR="008E3F15" w:rsidRDefault="005F449A">
      <w:pPr>
        <w:spacing w:after="344"/>
        <w:ind w:left="2" w:right="15"/>
      </w:pPr>
      <w:r>
        <w:t>антигипергликемических препаратов с высоким риском гипогликем</w:t>
      </w:r>
      <w:r>
        <w:t>ий (инсулинотерапию, ПСМ, глиниды). У пациентов на инсулинотерапии изменение схемы лечения: использование комбинаций инсулина с метформином, иНГЛТ-2, инкретиновыми препаратами с целью снижения дозы инсулина; замена генно-инженерных препаратов инсулина на а</w:t>
      </w:r>
      <w:r>
        <w:t>налоговые.</w:t>
      </w:r>
    </w:p>
    <w:p w:rsidR="008E3F15" w:rsidRDefault="005F449A">
      <w:pPr>
        <w:pStyle w:val="Heading1"/>
        <w:ind w:left="2"/>
      </w:pPr>
      <w:r>
        <w:t>Часть II. Коморбидные болезни</w:t>
      </w:r>
    </w:p>
    <w:p w:rsidR="008E3F15" w:rsidRDefault="005F449A">
      <w:pPr>
        <w:ind w:left="2" w:right="15"/>
      </w:pPr>
      <w:r>
        <w:t>При наличии макрососудистых событий в анамнезе целесообразно пересмотреть целевые показатели углеводного обмена с их возможным повышением.</w:t>
      </w:r>
    </w:p>
    <w:p w:rsidR="008E3F15" w:rsidRDefault="005F449A">
      <w:pPr>
        <w:ind w:left="2" w:right="254"/>
      </w:pPr>
      <w:r>
        <w:rPr>
          <w:b/>
        </w:rPr>
        <w:t xml:space="preserve">Изменение образа жизни. </w:t>
      </w:r>
      <w:r>
        <w:rPr>
          <w:i/>
        </w:rPr>
        <w:t>Диета</w:t>
      </w:r>
      <w:r>
        <w:t>, снижающая риски ССЗ и ХБП, включает свежие ов</w:t>
      </w:r>
      <w:r>
        <w:t>ощи и фрукты, бобовые, несоленые орехи, жирную морскую рыбу, оливковое масло, цельнозерновые продукты, алкогольные напитки (ACC/AHA, ADA, ESC).</w:t>
      </w:r>
    </w:p>
    <w:p w:rsidR="008E3F15" w:rsidRDefault="005F449A">
      <w:pPr>
        <w:ind w:left="2" w:right="15"/>
      </w:pPr>
      <w:r>
        <w:t>Целесообразно вместо насыщенных жиров использовать моно- и полиненасыщенные, минимизировать употребление трансжи</w:t>
      </w:r>
      <w:r>
        <w:t>ров (маргарины для выпечки, кулинарный жир, кондитерские изделия, чипсы), уменьшить потребление обработанного мяса.</w:t>
      </w:r>
    </w:p>
    <w:p w:rsidR="008E3F15" w:rsidRDefault="005F449A">
      <w:pPr>
        <w:ind w:left="2" w:right="501"/>
      </w:pPr>
      <w:r>
        <w:t xml:space="preserve">Употребление продуктов, содержащих углеводы, с низким гликемическим индексом (≤55: молочные, овощи, бобовые, цельнозерновые) по сравнению с </w:t>
      </w:r>
      <w:r>
        <w:t>продуктами с высоким индексом (≥70: сахар, мед, сладкие кондитерские изделия и напитки, варенье, изделия из муки высшего сорта) может снизить гликемию, уровень ХС ЛНП, массу тела, риск ССЗ (PURE; Chiavaroli L. et al., 2021).</w:t>
      </w:r>
    </w:p>
    <w:p w:rsidR="008E3F15" w:rsidRDefault="005F449A">
      <w:pPr>
        <w:ind w:left="2" w:right="501"/>
      </w:pPr>
      <w:r>
        <w:t>«Диабетические» конфеты, вафли,</w:t>
      </w:r>
      <w:r>
        <w:t xml:space="preserve"> печенье, содержащие фруктозу, следует исключить вследствие ее отягощающего влияния на развитие и прогрессирование жировой болезни печени. Предпочтительнее углеводы в овощах, фруктах, бобовых, молочных и цельнозерновых продуктах.</w:t>
      </w:r>
    </w:p>
    <w:p w:rsidR="008E3F15" w:rsidRDefault="005F449A">
      <w:pPr>
        <w:ind w:left="2" w:right="15"/>
      </w:pPr>
      <w:r>
        <w:t>Ограничение углеводов може</w:t>
      </w:r>
      <w:r>
        <w:t>т быть нежелательным у беременных и лактирующих женщин, детей, при наличии ХБП, приеме иНГЛТ-2 (эугликемический кетоацидоз).</w:t>
      </w:r>
    </w:p>
    <w:p w:rsidR="008E3F15" w:rsidRDefault="005F449A">
      <w:pPr>
        <w:ind w:left="2" w:right="208"/>
      </w:pPr>
      <w:r>
        <w:t>У пациентов на инсулинах короткого/ультракороткого действия используется расчет дозы по системе хлебных единиц (1 хлебная единица =</w:t>
      </w:r>
      <w:r>
        <w:t xml:space="preserve"> 12 г углеводов = 1 кусок хлеба = 1 стакан молока = 2 ст. ложки каши = 1 маленькое яблоко и т.д.).</w:t>
      </w:r>
    </w:p>
    <w:p w:rsidR="008E3F15" w:rsidRDefault="005F449A">
      <w:pPr>
        <w:ind w:left="2" w:right="15"/>
      </w:pPr>
      <w:r>
        <w:t>У пациентов с нормальной массой тела ограничение калорий нецелесообразно. При избыточной массе тела показана низкокалорийная диета ≤1800 ккал/сут с ограничен</w:t>
      </w:r>
      <w:r>
        <w:t>ием углеводов и жиров.</w:t>
      </w:r>
    </w:p>
    <w:p w:rsidR="008E3F15" w:rsidRDefault="005F449A">
      <w:pPr>
        <w:ind w:left="2" w:right="833"/>
      </w:pPr>
      <w:r>
        <w:rPr>
          <w:i/>
        </w:rPr>
        <w:t>Физические нагрузки</w:t>
      </w:r>
      <w:r>
        <w:t xml:space="preserve"> улучшают компенсацию углеводного обмена, помогают снизить и поддержать оптимальную массу тела.</w:t>
      </w:r>
    </w:p>
    <w:p w:rsidR="008E3F15" w:rsidRDefault="005F449A">
      <w:pPr>
        <w:ind w:left="2" w:right="15"/>
      </w:pPr>
      <w:r>
        <w:t>Рекомендуются регулярные нагрузки умеренной интенсивности (50–70% от максимальной ЧСС) не менее 50 мин 3 раза в неделю</w:t>
      </w:r>
      <w:r>
        <w:t xml:space="preserve"> или интенсивные нагрузки (бег со скоростью ~10 км/ч) не менее 25 мин 3 раза в неделю, не допуская отсутствия нагрузок более 2 дней подряд. При невозможности выполнения динамических нагрузок используются статические. Интенсивные физические и длительные наг</w:t>
      </w:r>
      <w:r>
        <w:t>рузки могут вызвать острое или отсроченное гипогликемическое состояние, поэтому следует оптимизировать прием антигипергликемических средств перед нагрузками.</w:t>
      </w:r>
    </w:p>
    <w:p w:rsidR="008E3F15" w:rsidRDefault="005F449A">
      <w:pPr>
        <w:ind w:left="2" w:right="853"/>
      </w:pPr>
      <w:r>
        <w:t>При гликемии &gt;13 ммоль/л физические нагрузки могут быть небезопасными, так как провоцируют развити</w:t>
      </w:r>
      <w:r>
        <w:t>е кетоза и кетоацидоза, особенно при СД 1-го типа, а при уровне &lt;5,0 ммоль/л у пациентов, принимающих инсулин или секретагоги, требуется дополнительный прием углеводов.</w:t>
      </w:r>
    </w:p>
    <w:p w:rsidR="008E3F15" w:rsidRDefault="005F449A">
      <w:pPr>
        <w:ind w:left="2" w:right="562"/>
      </w:pPr>
      <w:r>
        <w:rPr>
          <w:b/>
        </w:rPr>
        <w:t>Неинсулиновые антигипергликемические препараты.</w:t>
      </w:r>
      <w:r>
        <w:t xml:space="preserve"> Неинсулиновые (пероральные и инъекционн</w:t>
      </w:r>
      <w:r>
        <w:t xml:space="preserve">ые) антигипергликемические препараты являются основными в лечении пациентов с СД 2-го типа. Классификация антигипергликемических средств представлена в </w:t>
      </w:r>
      <w:r>
        <w:rPr>
          <w:b/>
        </w:rPr>
        <w:t>табл. 16.8</w:t>
      </w:r>
      <w:r>
        <w:t>.</w:t>
      </w:r>
    </w:p>
    <w:p w:rsidR="008E3F15" w:rsidRDefault="005F449A">
      <w:pPr>
        <w:spacing w:after="31"/>
        <w:ind w:left="2" w:right="15"/>
      </w:pPr>
      <w:r>
        <w:rPr>
          <w:b/>
        </w:rPr>
        <w:t xml:space="preserve">Таблица 16.8. </w:t>
      </w:r>
      <w:r>
        <w:t>Характеристика антигипергликемических препаратов</w:t>
      </w:r>
    </w:p>
    <w:tbl>
      <w:tblPr>
        <w:tblStyle w:val="TableGrid"/>
        <w:tblW w:w="9795" w:type="dxa"/>
        <w:tblInd w:w="30" w:type="dxa"/>
        <w:tblCellMar>
          <w:top w:w="80" w:type="dxa"/>
          <w:left w:w="45" w:type="dxa"/>
          <w:bottom w:w="15" w:type="dxa"/>
          <w:right w:w="43" w:type="dxa"/>
        </w:tblCellMar>
        <w:tblLook w:val="04A0" w:firstRow="1" w:lastRow="0" w:firstColumn="1" w:lastColumn="0" w:noHBand="0" w:noVBand="1"/>
      </w:tblPr>
      <w:tblGrid>
        <w:gridCol w:w="4095"/>
        <w:gridCol w:w="1320"/>
        <w:gridCol w:w="2205"/>
        <w:gridCol w:w="2175"/>
      </w:tblGrid>
      <w:tr w:rsidR="008E3F15">
        <w:trPr>
          <w:trHeight w:val="390"/>
        </w:trPr>
        <w:tc>
          <w:tcPr>
            <w:tcW w:w="409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Препараты</w:t>
            </w:r>
          </w:p>
        </w:tc>
        <w:tc>
          <w:tcPr>
            <w:tcW w:w="3525" w:type="dxa"/>
            <w:gridSpan w:val="2"/>
            <w:tcBorders>
              <w:top w:val="single" w:sz="6" w:space="0" w:color="000000"/>
              <w:left w:val="nil"/>
              <w:bottom w:val="single" w:sz="6" w:space="0" w:color="000000"/>
              <w:right w:val="nil"/>
            </w:tcBorders>
          </w:tcPr>
          <w:p w:rsidR="008E3F15" w:rsidRDefault="005F449A">
            <w:pPr>
              <w:spacing w:after="0" w:line="259" w:lineRule="auto"/>
              <w:ind w:left="1" w:right="0" w:firstLine="0"/>
              <w:jc w:val="both"/>
            </w:pPr>
            <w:r>
              <w:rPr>
                <w:b/>
                <w:bdr w:val="single" w:sz="12" w:space="0" w:color="000000"/>
              </w:rPr>
              <w:t>↓ HbA</w:t>
            </w:r>
            <w:r>
              <w:rPr>
                <w:b/>
                <w:sz w:val="31"/>
                <w:bdr w:val="single" w:sz="12" w:space="0" w:color="000000"/>
                <w:vertAlign w:val="subscript"/>
              </w:rPr>
              <w:t>1</w:t>
            </w:r>
            <w:r>
              <w:rPr>
                <w:b/>
                <w:sz w:val="20"/>
                <w:bdr w:val="single" w:sz="12" w:space="0" w:color="000000"/>
              </w:rPr>
              <w:t>c</w:t>
            </w:r>
            <w:r>
              <w:rPr>
                <w:b/>
                <w:bdr w:val="single" w:sz="12" w:space="0" w:color="000000"/>
              </w:rPr>
              <w:t xml:space="preserve">, % </w:t>
            </w:r>
            <w:r>
              <w:rPr>
                <w:b/>
                <w:bdr w:val="single" w:sz="12" w:space="0" w:color="000000"/>
              </w:rPr>
              <w:t>Суточная доза, мг</w:t>
            </w:r>
          </w:p>
        </w:tc>
        <w:tc>
          <w:tcPr>
            <w:tcW w:w="21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rPr>
                <w:b/>
              </w:rPr>
              <w:t>Частота приема</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Метформин**</w:t>
            </w:r>
          </w:p>
        </w:tc>
        <w:tc>
          <w:tcPr>
            <w:tcW w:w="1320" w:type="dxa"/>
            <w:vMerge w:val="restart"/>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1,0–2,0</w:t>
            </w:r>
          </w:p>
        </w:tc>
        <w:tc>
          <w:tcPr>
            <w:tcW w:w="220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500–3000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1–3</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Метформин продленный**</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500–2000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1–2</w:t>
            </w:r>
          </w:p>
        </w:tc>
      </w:tr>
      <w:tr w:rsidR="008E3F15">
        <w:trPr>
          <w:trHeight w:val="330"/>
        </w:trPr>
        <w:tc>
          <w:tcPr>
            <w:tcW w:w="979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ПСМ**</w:t>
            </w:r>
          </w:p>
        </w:tc>
      </w:tr>
      <w:tr w:rsidR="008E3F15">
        <w:trPr>
          <w:trHeight w:val="330"/>
        </w:trPr>
        <w:tc>
          <w:tcPr>
            <w:tcW w:w="4095"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Глибенкламид микронизированный</w:t>
            </w:r>
          </w:p>
        </w:tc>
        <w:tc>
          <w:tcPr>
            <w:tcW w:w="13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1,0–2,0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1,75–10,5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1–2</w:t>
            </w:r>
          </w:p>
        </w:tc>
      </w:tr>
      <w:tr w:rsidR="008E3F15">
        <w:trPr>
          <w:trHeight w:val="330"/>
        </w:trPr>
        <w:tc>
          <w:tcPr>
            <w:tcW w:w="40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Гликлазид продленный</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30–120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Гликвидон</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30–120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3</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Глимепирид</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1–8</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Глипизид</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5–20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1–2</w:t>
            </w:r>
          </w:p>
        </w:tc>
      </w:tr>
      <w:tr w:rsidR="008E3F15">
        <w:trPr>
          <w:trHeight w:val="330"/>
        </w:trPr>
        <w:tc>
          <w:tcPr>
            <w:tcW w:w="979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Ингибиторы дипептидил-пептидазы 4-го типа (иДПП-4) (глиптины)</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Вилдаглиптин</w:t>
            </w:r>
          </w:p>
        </w:tc>
        <w:tc>
          <w:tcPr>
            <w:tcW w:w="13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0,5–0,8</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100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2</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Ситаглиптин</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100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Линаглиптин</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Саксаглиптин</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Алоглиптин</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25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979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Агонисты рецепторов глюкагоноподобного пептида-1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Лираглутид</w:t>
            </w:r>
          </w:p>
        </w:tc>
        <w:tc>
          <w:tcPr>
            <w:tcW w:w="13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0,5–1,5</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 xml:space="preserve">1,2–1,8 </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 п/к</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Эксенатид*</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0,005</w:t>
            </w:r>
          </w:p>
        </w:tc>
        <w:tc>
          <w:tcPr>
            <w:tcW w:w="217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2 п/к</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Эксенатид продленный</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2</w:t>
            </w:r>
          </w:p>
        </w:tc>
        <w:tc>
          <w:tcPr>
            <w:tcW w:w="2175"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dr w:val="single" w:sz="12" w:space="0" w:color="000000"/>
              </w:rPr>
              <w:t>1 раз в неделю п/к</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Ликсисенатид</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0,01–0,02</w:t>
            </w:r>
          </w:p>
        </w:tc>
        <w:tc>
          <w:tcPr>
            <w:tcW w:w="217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1 п/к</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Дулаглутид</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0,75–1,5</w:t>
            </w:r>
          </w:p>
        </w:tc>
        <w:tc>
          <w:tcPr>
            <w:tcW w:w="2175"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dr w:val="single" w:sz="12" w:space="0" w:color="000000"/>
              </w:rPr>
              <w:t>1 раз в неделю п/к</w:t>
            </w:r>
          </w:p>
          <w:p w:rsidR="008E3F15" w:rsidRDefault="005F449A">
            <w:pPr>
              <w:spacing w:after="0" w:line="259" w:lineRule="auto"/>
              <w:ind w:left="2" w:right="0" w:firstLine="0"/>
              <w:jc w:val="both"/>
            </w:pPr>
            <w:r>
              <w:rPr>
                <w:bdr w:val="single" w:sz="12" w:space="0" w:color="000000"/>
              </w:rPr>
              <w:t>1 раз в неделю п/к</w:t>
            </w:r>
          </w:p>
        </w:tc>
      </w:tr>
      <w:tr w:rsidR="008E3F15">
        <w:trPr>
          <w:trHeight w:val="330"/>
        </w:trPr>
        <w:tc>
          <w:tcPr>
            <w:tcW w:w="409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Семаглутид</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0,5–2,0</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7–14 (25–50)</w:t>
            </w:r>
          </w:p>
        </w:tc>
        <w:tc>
          <w:tcPr>
            <w:tcW w:w="217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 xml:space="preserve">1 </w:t>
            </w:r>
          </w:p>
        </w:tc>
      </w:tr>
      <w:tr w:rsidR="008E3F15">
        <w:trPr>
          <w:trHeight w:val="330"/>
        </w:trPr>
        <w:tc>
          <w:tcPr>
            <w:tcW w:w="979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иНГЛТ-2 (глифлозины)</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Канаглифлозин</w:t>
            </w:r>
          </w:p>
        </w:tc>
        <w:tc>
          <w:tcPr>
            <w:tcW w:w="13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0,5–1,0</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100–300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Дапаглифлозин</w:t>
            </w:r>
          </w:p>
        </w:tc>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5–10</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Эмпаглифлозин</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10–25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9795" w:type="dxa"/>
            <w:gridSpan w:val="4"/>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Другие препараты</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Репаглинид**</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0,5–1,5</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0,5–16</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3–4</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Пиоглитазон</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0,5–1,4</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15–45</w:t>
            </w:r>
          </w:p>
        </w:tc>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w:t>
            </w:r>
          </w:p>
        </w:tc>
      </w:tr>
      <w:tr w:rsidR="008E3F15">
        <w:trPr>
          <w:trHeight w:val="330"/>
        </w:trPr>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Акарбоза*</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0,5–0,8</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150–300</w:t>
            </w:r>
          </w:p>
        </w:tc>
        <w:tc>
          <w:tcPr>
            <w:tcW w:w="217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3</w:t>
            </w:r>
          </w:p>
        </w:tc>
      </w:tr>
      <w:tr w:rsidR="008E3F15">
        <w:trPr>
          <w:trHeight w:val="390"/>
        </w:trPr>
        <w:tc>
          <w:tcPr>
            <w:tcW w:w="40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Тирзепатид</w:t>
            </w:r>
            <w:r>
              <w:rPr>
                <w:rFonts w:ascii="Times New Roman" w:eastAsia="Times New Roman" w:hAnsi="Times New Roman" w:cs="Times New Roman"/>
                <w:sz w:val="31"/>
                <w:vertAlign w:val="superscript"/>
              </w:rPr>
              <w:t>℘</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2,0–2,3</w:t>
            </w:r>
          </w:p>
        </w:tc>
        <w:tc>
          <w:tcPr>
            <w:tcW w:w="220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t>5–15</w:t>
            </w:r>
          </w:p>
        </w:tc>
        <w:tc>
          <w:tcPr>
            <w:tcW w:w="2175"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jc w:val="both"/>
            </w:pPr>
            <w:r>
              <w:rPr>
                <w:bdr w:val="single" w:sz="12" w:space="0" w:color="000000"/>
              </w:rPr>
              <w:t>1 раз в неделю п/к</w:t>
            </w:r>
          </w:p>
        </w:tc>
      </w:tr>
    </w:tbl>
    <w:p w:rsidR="008E3F15" w:rsidRDefault="005F449A">
      <w:pPr>
        <w:spacing w:after="345"/>
        <w:ind w:left="2" w:right="15"/>
      </w:pPr>
      <w:r>
        <w:rPr>
          <w:b/>
        </w:rPr>
        <w:t>Примечание.</w:t>
      </w:r>
      <w:r>
        <w:t xml:space="preserve"> * — до еды, ** — во время еды.</w:t>
      </w:r>
    </w:p>
    <w:p w:rsidR="008E3F15" w:rsidRDefault="005F449A">
      <w:pPr>
        <w:pStyle w:val="Heading1"/>
        <w:ind w:left="2"/>
      </w:pPr>
      <w:r>
        <w:t>Часть II. Коморбидные болезни</w:t>
      </w:r>
    </w:p>
    <w:p w:rsidR="008E3F15" w:rsidRDefault="005F449A">
      <w:pPr>
        <w:ind w:left="2" w:right="135"/>
      </w:pPr>
      <w:r>
        <w:t>Антигипергликемические препараты стимулируют выработку инсулина (ПСМ, глиниды, иДПП-4, арГПП-1), уменьшают секрецию глюкогона, который контролирует 75% продукции глюкозы печенью (метформин, иДПП-4, арГПП-1), повышают чувствите</w:t>
      </w:r>
      <w:r>
        <w:t>льность тканей к инсулину (глитазоны, метформин), снижают всасывание глюкозы в кишечнике (ингибиторы а-гликозидазы), уменьшают реабсорбцию глюкозы в почках (иНГЛТ-2) (</w:t>
      </w:r>
      <w:r>
        <w:rPr>
          <w:b/>
        </w:rPr>
        <w:t>рис. 16.3</w:t>
      </w:r>
      <w:r>
        <w:t>).</w:t>
      </w:r>
    </w:p>
    <w:p w:rsidR="008E3F15" w:rsidRDefault="005F449A">
      <w:pPr>
        <w:spacing w:after="65" w:line="259" w:lineRule="auto"/>
        <w:ind w:left="0" w:right="0" w:firstLine="0"/>
      </w:pPr>
      <w:r>
        <w:rPr>
          <w:noProof/>
        </w:rPr>
        <w:drawing>
          <wp:inline distT="0" distB="0" distL="0" distR="0">
            <wp:extent cx="5057775" cy="3457575"/>
            <wp:effectExtent l="0" t="0" r="0" b="0"/>
            <wp:docPr id="18265" name="Picture 18265"/>
            <wp:cNvGraphicFramePr/>
            <a:graphic xmlns:a="http://schemas.openxmlformats.org/drawingml/2006/main">
              <a:graphicData uri="http://schemas.openxmlformats.org/drawingml/2006/picture">
                <pic:pic xmlns:pic="http://schemas.openxmlformats.org/drawingml/2006/picture">
                  <pic:nvPicPr>
                    <pic:cNvPr id="18265" name="Picture 18265"/>
                    <pic:cNvPicPr/>
                  </pic:nvPicPr>
                  <pic:blipFill>
                    <a:blip r:embed="rId155"/>
                    <a:stretch>
                      <a:fillRect/>
                    </a:stretch>
                  </pic:blipFill>
                  <pic:spPr>
                    <a:xfrm>
                      <a:off x="0" y="0"/>
                      <a:ext cx="5057775" cy="3457575"/>
                    </a:xfrm>
                    <a:prstGeom prst="rect">
                      <a:avLst/>
                    </a:prstGeom>
                  </pic:spPr>
                </pic:pic>
              </a:graphicData>
            </a:graphic>
          </wp:inline>
        </w:drawing>
      </w:r>
    </w:p>
    <w:p w:rsidR="008E3F15" w:rsidRDefault="005F449A">
      <w:pPr>
        <w:spacing w:after="31"/>
        <w:ind w:left="2" w:right="15"/>
      </w:pPr>
      <w:r>
        <w:rPr>
          <w:b/>
        </w:rPr>
        <w:t xml:space="preserve">Рис. 16.3. </w:t>
      </w:r>
      <w:r>
        <w:t>Механизм действия антигипергликемических препаратов</w:t>
      </w:r>
    </w:p>
    <w:p w:rsidR="008E3F15" w:rsidRDefault="005F449A">
      <w:pPr>
        <w:ind w:left="2" w:right="15"/>
      </w:pPr>
      <w:r>
        <w:t>Антигипергликемический эффект дозы препарата обычно оценивают на 3–5-й день приема. Скорость титрации препарата во многом зависит от дозозависимого или глюкозозависимого механизма действия конкретного сахароснижающего препарата, что определяет риск гипогли</w:t>
      </w:r>
      <w:r>
        <w:t>кемических состояний.</w:t>
      </w:r>
    </w:p>
    <w:p w:rsidR="008E3F15" w:rsidRDefault="005F449A">
      <w:pPr>
        <w:ind w:left="2" w:right="164"/>
      </w:pPr>
      <w:r>
        <w:t>Базовым неинсулиновым препаратом остается метформин с учетом его многоплановых эффектов, сочетаемости со всеми группами противодиабетических препаратов (включая инсулин), малого числа ограничений, низкого риска гипогликемий, высокой э</w:t>
      </w:r>
      <w:r>
        <w:t>ффективности и низкой стоимости. Метформин, если не противопоказан и если он переносится, является предпочтительным исходным фармакологическим препаратом для лечения СД 2-го типа (ADA). При длительном лечении метформином требуется периодически оценивать во</w:t>
      </w:r>
      <w:r>
        <w:t>зможность дефицита витамина В</w:t>
      </w:r>
      <w:r>
        <w:rPr>
          <w:sz w:val="31"/>
          <w:vertAlign w:val="subscript"/>
        </w:rPr>
        <w:t>12</w:t>
      </w:r>
      <w:r>
        <w:t>.</w:t>
      </w:r>
    </w:p>
    <w:p w:rsidR="008E3F15" w:rsidRDefault="005F449A">
      <w:pPr>
        <w:ind w:left="2" w:right="280"/>
      </w:pPr>
      <w:r>
        <w:t>У пациентов с атеросклеротическими заболеваниями (коронарные синдромы, цереброваскулярные болезни, болезни периферических артерий) или высоким риском их появления рекомендуют иНГЛТ-2 или арГПП-1, которые снижают сердечно-со</w:t>
      </w:r>
      <w:r>
        <w:t>судистые риски (ESC, ADA). Кроме того, иНГЛТ-2 могут быть полезны для лечения СН и ХБП. Вместе с тем следует учитывать двукратное повышение риска кетоацидоза при приеме иНГЛТ-2, особенно при формах диабета, склонного к кетозу (Alkabbani W. et al., 2021; Da</w:t>
      </w:r>
      <w:r>
        <w:t>wwas G. et al., 2022).</w:t>
      </w:r>
    </w:p>
    <w:p w:rsidR="008E3F15" w:rsidRDefault="005F449A">
      <w:pPr>
        <w:ind w:left="2" w:right="15"/>
      </w:pPr>
      <w:r>
        <w:t>Ряд препаратов ар-ГПП-1 используются для лечения ожирения даже без диабета. Оральный семаглутид в дозе 25 и 50 мг лучше снижает гликемию и массу тела, чем в дозе 14 мг, без значимого повышения побочных эффектов (PIONEER PLUS; OASIS 1</w:t>
      </w:r>
      <w:r>
        <w:t>).</w:t>
      </w:r>
    </w:p>
    <w:p w:rsidR="008E3F15" w:rsidRDefault="005F449A">
      <w:pPr>
        <w:ind w:left="2" w:right="15"/>
      </w:pPr>
      <w:r>
        <w:t>Для уменьшения гастроинтестинальных симптомов (тошнота, рвота, диарея), нередких при употреблении арГПП-1, рекомендуют снизить дозу и оптимизировать диету.</w:t>
      </w:r>
    </w:p>
    <w:p w:rsidR="008E3F15" w:rsidRDefault="005F449A">
      <w:pPr>
        <w:ind w:left="2" w:right="15"/>
      </w:pPr>
      <w:r>
        <w:t>Дозозависимый механизм отражает повышение сахароснижающего эффекта при увеличении дозы, а при пер</w:t>
      </w:r>
      <w:r>
        <w:t>едозировке (большая доза, отсутствие самоконтроля, недостаточный прием углеводов, избыточная физическая нагрузка) повышается риск гипогликемий.</w:t>
      </w:r>
    </w:p>
    <w:p w:rsidR="008E3F15" w:rsidRDefault="005F449A">
      <w:pPr>
        <w:ind w:left="2" w:right="435"/>
      </w:pPr>
      <w:r>
        <w:t>Так действуют все прямые стимуляторы секреции инсулина (препараты сульфомочевины и глиниды) и инсулины.</w:t>
      </w:r>
    </w:p>
    <w:p w:rsidR="008E3F15" w:rsidRDefault="005F449A">
      <w:pPr>
        <w:ind w:left="2" w:right="15"/>
      </w:pPr>
      <w:r>
        <w:t>Дозозави</w:t>
      </w:r>
      <w:r>
        <w:t>симый эффект дают препараты с низким риском гипогликемии, корригирующие инсулинорезистентность (метформин, пиоглитазон) или снижающие всасывание углеводов (ингибиторы α-гликозидазы). Препараты с дозозависимым действием имеют целую линейку дозировок.</w:t>
      </w:r>
    </w:p>
    <w:p w:rsidR="008E3F15" w:rsidRDefault="005F449A">
      <w:pPr>
        <w:ind w:left="2" w:right="173"/>
      </w:pPr>
      <w:r>
        <w:t>Глюкоз</w:t>
      </w:r>
      <w:r>
        <w:t>озависимый механизм проявляется снижением уровня сахара в крови без риска гипогликемий и свойственен препаратам с инкретиновым механизмом действия (иДПП-4 и арГПП-1), которые корригируют секрецию инсулина и глюкогона, а также иНГЛТ-2, выводящим через почки</w:t>
      </w:r>
      <w:r>
        <w:t xml:space="preserve"> избыточную глюкозу. Препараты этих групп оказывают свои эффекты с помощью одной либо всего двух доз в таблетках (как правило, 1 раз в сутки) или подкожных инъекций (1–2 раза в сутки или еженедельно). Эффект препаратов с глюкозозависимым действием можно оц</w:t>
      </w:r>
      <w:r>
        <w:t>енить первоначально на 3–5-й день, однако далее он постепенно разворачивается, что нужно отслеживать с помощью самоконтроля, а через 2–3 мес по уровню HbA</w:t>
      </w:r>
      <w:r>
        <w:rPr>
          <w:sz w:val="31"/>
          <w:vertAlign w:val="subscript"/>
        </w:rPr>
        <w:t>1</w:t>
      </w:r>
      <w:r>
        <w:rPr>
          <w:sz w:val="20"/>
        </w:rPr>
        <w:t>c</w:t>
      </w:r>
      <w:r>
        <w:t>.</w:t>
      </w:r>
    </w:p>
    <w:p w:rsidR="008E3F15" w:rsidRDefault="005F449A">
      <w:pPr>
        <w:ind w:left="2" w:right="15"/>
      </w:pPr>
      <w:r>
        <w:t>Если не удается добиться оптимального контроля гликемии с помощью пероральных препаратов, предпочт</w:t>
      </w:r>
      <w:r>
        <w:t>ительнее добавить арГПП-1, нежели инсулин.</w:t>
      </w:r>
    </w:p>
    <w:p w:rsidR="008E3F15" w:rsidRDefault="005F449A">
      <w:pPr>
        <w:ind w:left="2" w:right="15"/>
      </w:pPr>
      <w:r>
        <w:t xml:space="preserve">Режим и эффективность лекарственных препаратов целесообразно оценивать через регулярные интервалы (каждые 3–6 мес) и корригировать лечение при неоптимальном эффекте или появлении дополнительных факторов, влияющих </w:t>
      </w:r>
      <w:r>
        <w:t xml:space="preserve">на выбор препаратов. </w:t>
      </w:r>
      <w:r>
        <w:rPr>
          <w:b/>
        </w:rPr>
        <w:t xml:space="preserve">Инсулинотерапия. </w:t>
      </w:r>
      <w:r>
        <w:t>Необходимость в назначении инсулина может быть временной (при интеркуррентных заболеваниях, оперативных вмешательствах или неотложных состояниях) или постоянной (</w:t>
      </w:r>
      <w:r>
        <w:rPr>
          <w:b/>
        </w:rPr>
        <w:t>табл. 16.9</w:t>
      </w:r>
      <w:r>
        <w:t>). В последнем случае происходит гибель основн</w:t>
      </w:r>
      <w:r>
        <w:t>ой части β-клеток поджелудочной железы (например, вследствие глюкозотоксичности на фоне хронической гипергликемии и липотоксичности вследствие гипертриглицеридемии), поэтому необходима пожизненная инсулинотерапия под контролем эндокринолога.</w:t>
      </w:r>
    </w:p>
    <w:p w:rsidR="008E3F15" w:rsidRDefault="005F449A">
      <w:pPr>
        <w:spacing w:after="31"/>
        <w:ind w:left="2" w:right="15"/>
      </w:pPr>
      <w:r>
        <w:rPr>
          <w:b/>
        </w:rPr>
        <w:t xml:space="preserve">Таблица 16.9. </w:t>
      </w:r>
      <w:r>
        <w:t>Характеристика препаратов инсулина (Sugumar V. et al., 2022)</w:t>
      </w:r>
    </w:p>
    <w:tbl>
      <w:tblPr>
        <w:tblStyle w:val="TableGrid"/>
        <w:tblW w:w="10485" w:type="dxa"/>
        <w:tblInd w:w="30" w:type="dxa"/>
        <w:tblCellMar>
          <w:top w:w="80" w:type="dxa"/>
          <w:left w:w="45" w:type="dxa"/>
          <w:bottom w:w="0" w:type="dxa"/>
          <w:right w:w="115" w:type="dxa"/>
        </w:tblCellMar>
        <w:tblLook w:val="04A0" w:firstRow="1" w:lastRow="0" w:firstColumn="1" w:lastColumn="0" w:noHBand="0" w:noVBand="1"/>
      </w:tblPr>
      <w:tblGrid>
        <w:gridCol w:w="2175"/>
        <w:gridCol w:w="3480"/>
        <w:gridCol w:w="1380"/>
        <w:gridCol w:w="1395"/>
        <w:gridCol w:w="2055"/>
      </w:tblGrid>
      <w:tr w:rsidR="008E3F15">
        <w:trPr>
          <w:trHeight w:val="81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Инсулин</w:t>
            </w:r>
          </w:p>
        </w:tc>
        <w:tc>
          <w:tcPr>
            <w:tcW w:w="34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Препарат</w:t>
            </w:r>
          </w:p>
        </w:tc>
        <w:tc>
          <w:tcPr>
            <w:tcW w:w="13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Начало действия</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Пик</w:t>
            </w:r>
          </w:p>
          <w:p w:rsidR="008E3F15" w:rsidRDefault="005F449A">
            <w:pPr>
              <w:spacing w:after="0" w:line="259" w:lineRule="auto"/>
              <w:ind w:left="2" w:right="0" w:firstLine="0"/>
            </w:pPr>
            <w:r>
              <w:rPr>
                <w:b/>
              </w:rPr>
              <w:t>действия, ч</w:t>
            </w:r>
          </w:p>
        </w:tc>
        <w:tc>
          <w:tcPr>
            <w:tcW w:w="20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Длительность действия, ч</w:t>
            </w:r>
          </w:p>
        </w:tc>
      </w:tr>
      <w:tr w:rsidR="008E3F15">
        <w:trPr>
          <w:trHeight w:val="570"/>
        </w:trPr>
        <w:tc>
          <w:tcPr>
            <w:tcW w:w="217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Ультракороткий</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аспарт быстродействующий</w:t>
            </w:r>
          </w:p>
        </w:tc>
        <w:tc>
          <w:tcPr>
            <w:tcW w:w="13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1–10 мин</w:t>
            </w:r>
          </w:p>
        </w:tc>
        <w:tc>
          <w:tcPr>
            <w:tcW w:w="13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0,75–1,5</w:t>
            </w:r>
          </w:p>
        </w:tc>
        <w:tc>
          <w:tcPr>
            <w:tcW w:w="20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3–5</w:t>
            </w:r>
          </w:p>
        </w:tc>
      </w:tr>
      <w:tr w:rsidR="008E3F15">
        <w:trPr>
          <w:trHeight w:val="81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аспарт</w:t>
            </w:r>
          </w:p>
          <w:p w:rsidR="008E3F15" w:rsidRDefault="005F449A">
            <w:pPr>
              <w:spacing w:after="0" w:line="259" w:lineRule="auto"/>
              <w:ind w:left="3" w:right="0" w:firstLine="0"/>
            </w:pPr>
            <w:r>
              <w:t>Инсулин лизпро</w:t>
            </w:r>
          </w:p>
          <w:p w:rsidR="008E3F15" w:rsidRDefault="005F449A">
            <w:pPr>
              <w:spacing w:after="0" w:line="259" w:lineRule="auto"/>
              <w:ind w:left="3" w:right="0" w:firstLine="0"/>
            </w:pPr>
            <w:r>
              <w:t>Инсулин глулизин</w:t>
            </w:r>
          </w:p>
        </w:tc>
        <w:tc>
          <w:tcPr>
            <w:tcW w:w="13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5–20 мин</w:t>
            </w:r>
          </w:p>
        </w:tc>
        <w:tc>
          <w:tcPr>
            <w:tcW w:w="13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0,5–1</w:t>
            </w:r>
          </w:p>
        </w:tc>
        <w:tc>
          <w:tcPr>
            <w:tcW w:w="20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4–5</w:t>
            </w:r>
          </w:p>
        </w:tc>
      </w:tr>
      <w:tr w:rsidR="008E3F15">
        <w:trPr>
          <w:trHeight w:val="81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Короткий</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растворимый [человеческий генноинженерный] (NPH)</w:t>
            </w:r>
          </w:p>
        </w:tc>
        <w:tc>
          <w:tcPr>
            <w:tcW w:w="13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30 мин</w:t>
            </w:r>
          </w:p>
        </w:tc>
        <w:tc>
          <w:tcPr>
            <w:tcW w:w="13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1</w:t>
            </w:r>
          </w:p>
        </w:tc>
        <w:tc>
          <w:tcPr>
            <w:tcW w:w="20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5–8</w:t>
            </w:r>
          </w:p>
        </w:tc>
      </w:tr>
      <w:tr w:rsidR="008E3F15">
        <w:trPr>
          <w:trHeight w:val="81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Средней длительности</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Инсулин-изофан [человеческий генноинженерный]</w:t>
            </w:r>
          </w:p>
        </w:tc>
        <w:tc>
          <w:tcPr>
            <w:tcW w:w="13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2 ч</w:t>
            </w:r>
          </w:p>
        </w:tc>
        <w:tc>
          <w:tcPr>
            <w:tcW w:w="13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t>6–10</w:t>
            </w:r>
          </w:p>
        </w:tc>
        <w:tc>
          <w:tcPr>
            <w:tcW w:w="20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12–16</w:t>
            </w:r>
          </w:p>
        </w:tc>
      </w:tr>
      <w:tr w:rsidR="008E3F15">
        <w:trPr>
          <w:trHeight w:val="330"/>
        </w:trPr>
        <w:tc>
          <w:tcPr>
            <w:tcW w:w="217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Длительный</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детемир</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1,5</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Нет</w:t>
            </w:r>
          </w:p>
        </w:tc>
        <w:tc>
          <w:tcPr>
            <w:tcW w:w="20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24</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гларгин</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1–2 ч</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Нет</w:t>
            </w:r>
          </w:p>
        </w:tc>
        <w:tc>
          <w:tcPr>
            <w:tcW w:w="20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24–36</w:t>
            </w:r>
          </w:p>
        </w:tc>
      </w:tr>
      <w:tr w:rsidR="008E3F15">
        <w:trPr>
          <w:trHeight w:val="330"/>
        </w:trPr>
        <w:tc>
          <w:tcPr>
            <w:tcW w:w="217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Сверхдлительный</w:t>
            </w: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деглудек</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 ч</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Нет</w:t>
            </w:r>
          </w:p>
        </w:tc>
        <w:tc>
          <w:tcPr>
            <w:tcW w:w="20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42 ч — 4 сут</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34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Инсулин икодек</w:t>
            </w:r>
          </w:p>
        </w:tc>
        <w:tc>
          <w:tcPr>
            <w:tcW w:w="13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w:t>
            </w:r>
          </w:p>
        </w:tc>
        <w:tc>
          <w:tcPr>
            <w:tcW w:w="13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16 ч</w:t>
            </w:r>
          </w:p>
        </w:tc>
        <w:tc>
          <w:tcPr>
            <w:tcW w:w="20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&gt;7 сут</w:t>
            </w:r>
          </w:p>
        </w:tc>
      </w:tr>
    </w:tbl>
    <w:p w:rsidR="008E3F15" w:rsidRDefault="005F449A">
      <w:pPr>
        <w:pStyle w:val="Heading1"/>
        <w:ind w:left="2"/>
      </w:pPr>
      <w:r>
        <w:t>Часть II. Коморбидные болезни</w:t>
      </w:r>
    </w:p>
    <w:p w:rsidR="008E3F15" w:rsidRDefault="005F449A">
      <w:pPr>
        <w:ind w:left="2" w:right="15"/>
      </w:pPr>
      <w:r>
        <w:t>В последние годы шире используются модифицированные человеческие инсулины-аналоги, реже вызывающие гипогликемию. Например, инсулины ультракороткого действия (инсулин аспарт, инсулин глулизин, инсулин лизпро) могут назначаться непосредственно перед едой (за</w:t>
      </w:r>
      <w:r>
        <w:t xml:space="preserve"> 5–15 мин) и даже сразу после еды, что позволяет точнее рассчитать дозу прандиального (после еды) инсулина на количество съеденных хлебных единиц. Действие пролонгированных аналогов инсулина I поколения (инсулина гларгина и в большей степени — инсулина дет</w:t>
      </w:r>
      <w:r>
        <w:t>емира) характеризуется меньшей вариабельностью действия, кроме того, инсулин детемир не дает прибавку массы тела. Введение инсулина гларгина U300 с более стабильной фармакокинетикой ассоциируется с более редкой ночной гипогликемией по сравнению с инсулином</w:t>
      </w:r>
      <w:r>
        <w:t xml:space="preserve"> гларгином U100 (Yale J. et al., 2020).</w:t>
      </w:r>
    </w:p>
    <w:p w:rsidR="008E3F15" w:rsidRDefault="005F449A">
      <w:pPr>
        <w:ind w:left="2" w:right="15"/>
      </w:pPr>
      <w:r>
        <w:t>Более безопасны инсулины сверхдлительного действия (инсулин деглудек, инсулин икодек), которые имеют малую вариабельность всасывания в подкожной клетчатке и, соответственно, меньший риск гипогликемий. Риск гипогликем</w:t>
      </w:r>
      <w:r>
        <w:t>ии у инсулина деглудека ниже по сравнению с инсулином гларгином (SWITCH 1–2; CONCLUDE; CONFIRM). Также инсулины этой группы за счет длительности действия можно вводить в гибком режиме, например для инсулина деглудека ±8 ч от привычного времени введения (пр</w:t>
      </w:r>
      <w:r>
        <w:t>и условии достигнутого контроля гликемии на обычном режиме введения препарата). В рандомизированных исследованиях ONWARDS у пациентов с длительным СД 2-го типа инсулин икодек</w:t>
      </w:r>
      <w:r>
        <w:rPr>
          <w:rFonts w:ascii="Times New Roman" w:eastAsia="Times New Roman" w:hAnsi="Times New Roman" w:cs="Times New Roman"/>
          <w:sz w:val="31"/>
          <w:vertAlign w:val="superscript"/>
        </w:rPr>
        <w:t>℘</w:t>
      </w:r>
      <w:r>
        <w:t>, вводимый еженедельно, показал лучший контроль гликемии по уровню HbA1c по сравн</w:t>
      </w:r>
      <w:r>
        <w:t>ению с ежедневно вводимыми инсулинами гларгин U100 и деглудек.</w:t>
      </w:r>
    </w:p>
    <w:p w:rsidR="008E3F15" w:rsidRDefault="005F449A">
      <w:pPr>
        <w:spacing w:after="171"/>
        <w:ind w:left="2" w:right="15"/>
      </w:pPr>
      <w:r>
        <w:t>Инсулин не имеет максимальной дозы, более эффективно снижает HbA</w:t>
      </w:r>
      <w:r>
        <w:rPr>
          <w:sz w:val="31"/>
          <w:vertAlign w:val="subscript"/>
        </w:rPr>
        <w:t>1</w:t>
      </w:r>
      <w:r>
        <w:rPr>
          <w:sz w:val="20"/>
        </w:rPr>
        <w:t>c</w:t>
      </w:r>
      <w:r>
        <w:t>, чем неинсулиновые препараты, и показан у пациентов с СД 2-го типа в следующих случаях (EADSG):</w:t>
      </w:r>
    </w:p>
    <w:p w:rsidR="008E3F15" w:rsidRDefault="005F449A">
      <w:pPr>
        <w:ind w:left="340" w:right="6190"/>
      </w:pPr>
      <w:r>
        <w:rPr>
          <w:rFonts w:ascii="Calibri" w:eastAsia="Calibri" w:hAnsi="Calibri" w:cs="Calibri"/>
          <w:noProof/>
          <w:color w:val="000000"/>
          <w:sz w:val="22"/>
        </w:rPr>
        <mc:AlternateContent>
          <mc:Choice Requires="wpg">
            <w:drawing>
              <wp:anchor distT="0" distB="0" distL="114300" distR="114300" simplePos="0" relativeHeight="251892736"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18536" name="Group 318536"/>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8469" name="Shape 18469"/>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471" name="Shape 1847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473" name="Shape 1847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475" name="Shape 18475"/>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8536" style="width:4.5pt;height:40.5pt;position:absolute;mso-position-horizontal-relative:text;mso-position-horizontal:absolute;margin-left:16.5pt;mso-position-vertical-relative:text;margin-top:2.73438pt;" coordsize="571,5143">
                <v:shape id="Shape 18469" style="position:absolute;width:571;height:571;left:0;top:0;" coordsize="57150,57150" path="m28575,0c32364,0,36009,794,39510,2183c43011,3572,46101,5556,48781,8334c51460,10716,53525,13891,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3891,5690,10716,8369,8334c11049,5556,14139,3572,17640,2183c21141,794,24786,0,28575,0x">
                  <v:stroke weight="0pt" endcap="flat" joinstyle="miter" miterlimit="4" on="false" color="#000000" opacity="0"/>
                  <v:fill on="true" color="#333333"/>
                </v:shape>
                <v:shape id="Shape 18471" style="position:absolute;width:571;height:571;left:0;top:1524;"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716,8369,8334c11049,5358,14139,3572,17640,2183c21141,794,24786,0,28575,0x">
                  <v:stroke weight="0pt" endcap="flat" joinstyle="miter" miterlimit="4" on="false" color="#000000" opacity="0"/>
                  <v:fill on="true" color="#333333"/>
                </v:shape>
                <v:shape id="Shape 18473" style="position:absolute;width:571;height:571;left:0;top:3048;" coordsize="57150,57150" path="m28575,0c32364,0,36009,794,39510,2183c43011,3572,46101,5556,48781,8334c51460,10716,53525,13891,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3891,5690,10716,8369,8334c11049,5556,14139,3572,17640,2183c21141,794,24786,0,28575,0x">
                  <v:stroke weight="0pt" endcap="flat" joinstyle="miter" miterlimit="4" on="false" color="#000000" opacity="0"/>
                  <v:fill on="true" color="#333333"/>
                </v:shape>
                <v:shape id="Shape 18475" style="position:absolute;width:571;height:571;left:0;top:4572;"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716,8369,8334c11049,5358,14139,3572,17640,2183c21141,794,24786,0,28575,0x">
                  <v:stroke weight="0pt" endcap="flat" joinstyle="miter" miterlimit="4" on="false" color="#000000" opacity="0"/>
                  <v:fill on="true" color="#333333"/>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93760" behindDoc="0" locked="0" layoutInCell="1" allowOverlap="1">
                <wp:simplePos x="0" y="0"/>
                <wp:positionH relativeFrom="column">
                  <wp:posOffset>209550</wp:posOffset>
                </wp:positionH>
                <wp:positionV relativeFrom="paragraph">
                  <wp:posOffset>640953</wp:posOffset>
                </wp:positionV>
                <wp:extent cx="57150" cy="361950"/>
                <wp:effectExtent l="0" t="0" r="0" b="0"/>
                <wp:wrapSquare wrapText="bothSides"/>
                <wp:docPr id="315142" name="Group 315142"/>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8544" name="Shape 1854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547" name="Shape 18547"/>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967"/>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142" style="width:4.5pt;height:28.5pt;position:absolute;mso-position-horizontal-relative:text;mso-position-horizontal:absolute;margin-left:16.5pt;mso-position-vertical-relative:text;margin-top:50.4688pt;" coordsize="571,3619">
                <v:shape id="Shape 18544" style="position:absolute;width:571;height:571;left:0;top:0;" coordsize="57150,57150" path="m28575,0c32364,0,36009,794,39510,2183c43011,3572,46101,5755,48781,8334c51460,10914,53525,14089,54975,17463c56425,21034,57150,24805,57150,28575c57150,32345,56425,35917,54975,39291c53525,42863,51460,45839,48781,48816c46101,51197,43011,53380,39510,54769c36009,56158,32364,57150,28575,57150c24786,57150,21141,56158,17640,54769c14139,53380,11049,51197,8369,48816c5690,45839,3625,42863,2175,39291c725,35917,0,32345,0,28575c0,24805,725,21034,2175,17463c3625,14089,5690,10914,8369,8334c11049,5755,14139,3572,17640,2183c21141,794,24786,0,28575,0x">
                  <v:stroke weight="0pt" endcap="flat" joinstyle="miter" miterlimit="10" on="false" color="#000000" opacity="0"/>
                  <v:fill on="true" color="#333333"/>
                </v:shape>
                <v:shape id="Shape 18547" style="position:absolute;width:571;height:571;left:0;top:3048;" coordsize="57150,57150" path="m28575,0c32364,0,36009,595,39510,1984c43011,3572,46101,5556,48781,8334c51460,10716,53525,13891,54975,17463c56425,21034,57150,24805,57150,28575c57150,32345,56425,35917,54975,39291c53525,42863,51460,45839,48781,48816c46101,51197,43011,53380,39510,54967c36009,56356,32364,57150,28575,57150c24786,57150,21141,56356,17640,54967c14139,53380,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w10:wrap type="square"/>
              </v:group>
            </w:pict>
          </mc:Fallback>
        </mc:AlternateContent>
      </w:r>
      <w:r>
        <w:t>острые заболевания; оператив</w:t>
      </w:r>
      <w:r>
        <w:t>ное вмешательство; беременность; глюкозотоксичность; противопоказания или невозможность достичь целей оральными антидиабетическими препаратами; необходимость в гибкой терапии.</w:t>
      </w:r>
    </w:p>
    <w:p w:rsidR="008E3F15" w:rsidRDefault="005F449A">
      <w:pPr>
        <w:ind w:left="2" w:right="199"/>
      </w:pPr>
      <w:r>
        <w:t>В отечественных рекомендациях при диагностике гестационного СД и отсутствии эффекта от диетотерапии в течение 1–2 нед разрешено использовать лишь инсулинотерапию препаратами, допущенными при беременности, с указанием патентованного наименования. При СД 2-г</w:t>
      </w:r>
      <w:r>
        <w:t>о типа рекомендован перевод с пероральных препаратов на инсулинотерапию, а метформин до сих пор не разрешен.</w:t>
      </w:r>
    </w:p>
    <w:p w:rsidR="008E3F15" w:rsidRDefault="005F449A">
      <w:pPr>
        <w:ind w:left="2" w:right="15"/>
      </w:pPr>
      <w:r>
        <w:t>В то же время прием метформина во время беременности, включая первый триместр, достаточно безопасен для матери и плода и разрешен в международных р</w:t>
      </w:r>
      <w:r>
        <w:t>екомендациях (MiG; EUROmediCAT, Cassina M. et al., 2014). Добавление метформина в дозе 1000 мг дважды к инсулину у беременных с СД 2-го типа на 6–22-й неделе улучшило гликемический контроль, снизило дозу инсулина, массу тела матерей, число крупных детей, н</w:t>
      </w:r>
      <w:r>
        <w:t>о также увеличилось число детей со сниженной массой тела (MiTy).</w:t>
      </w:r>
    </w:p>
    <w:p w:rsidR="008E3F15" w:rsidRDefault="005F449A">
      <w:pPr>
        <w:ind w:left="2" w:right="342"/>
      </w:pPr>
      <w:r>
        <w:t>Назначение инсулина при СД 2-го типа, как правило, начинается с продленных препаратов (желательно аналогов с учетом их более низкого риска гипогликемий в сравнении с генноинженерными человече</w:t>
      </w:r>
      <w:r>
        <w:t>скими) в добавление к неинсулиновым антигипергликемическим препаратам, которые также положительно влияют на инсулинорезистентность и гиперглюкагонемию, могут снизить риски развития ССЗ и ХБП.</w:t>
      </w:r>
    </w:p>
    <w:p w:rsidR="008E3F15" w:rsidRDefault="005F449A">
      <w:pPr>
        <w:spacing w:after="31"/>
        <w:ind w:left="2" w:right="15"/>
      </w:pPr>
      <w:r>
        <w:t>Возможно использование смесей и комбинаций продленных аналогов с</w:t>
      </w:r>
      <w:r>
        <w:t xml:space="preserve"> ультракороткими.</w:t>
      </w:r>
    </w:p>
    <w:p w:rsidR="008E3F15" w:rsidRDefault="005F449A">
      <w:pPr>
        <w:ind w:left="2" w:right="15"/>
      </w:pPr>
      <w:r>
        <w:t xml:space="preserve">В рекомендациях EASD/ADA предлагается при отсутствии признаков явного катаболизма (яркая клиническая симптоматика гипергликемии + снижение массы тела и появление кетоза/кетоацидоза) инъекционную сахароснижающую терапию начинать с арГПП-1 </w:t>
      </w:r>
      <w:r>
        <w:t>с учетом их сравнимой с инсулином эффективности по контролю гипергликемии при отсутствии повышения массы тела и низком риске гипогликемий.</w:t>
      </w:r>
    </w:p>
    <w:p w:rsidR="008E3F15" w:rsidRDefault="005F449A">
      <w:pPr>
        <w:ind w:left="2" w:right="15"/>
      </w:pPr>
      <w:r>
        <w:t>Если инсулинотерапия уже проводится, то для снижения негативных эффектов инсулина можно добавить арГПП-1 или использо</w:t>
      </w:r>
      <w:r>
        <w:t>вать комбинированные препараты инсулина с арГПП-1 (инсулин гларгин + ликсисенатид, инсулин деглудек + лираглутид). Снижение гликемии арГПП-1 почти наполовину обусловлено уменьшением секреции глюкогона αклетками островков Лангерганса наряду со стимуляцией в</w:t>
      </w:r>
      <w:r>
        <w:t>ыработки инсулина оставшимися βклетками.</w:t>
      </w:r>
    </w:p>
    <w:p w:rsidR="008E3F15" w:rsidRDefault="005F449A">
      <w:pPr>
        <w:ind w:left="2" w:right="15"/>
      </w:pPr>
      <w:r>
        <w:t xml:space="preserve">Дозы инсулина индивидуальны, увеличение проводится постепенно, до достижения оптимальных для данного пациента целевых показателей углеводного обмена. Выбор конкретного препарата инсулина, дозы и скорости зависит от </w:t>
      </w:r>
      <w:r>
        <w:t>комплекса показателей углеводного обмена (гликемии натощак, постпрандиальной, вариабельности гликемии, HbA</w:t>
      </w:r>
      <w:r>
        <w:rPr>
          <w:sz w:val="31"/>
          <w:vertAlign w:val="subscript"/>
        </w:rPr>
        <w:t>1</w:t>
      </w:r>
      <w:r>
        <w:rPr>
          <w:sz w:val="20"/>
        </w:rPr>
        <w:t>c</w:t>
      </w:r>
      <w:r>
        <w:t>), массы тела, возраста, длительности СД, а также наличия и степени выраженности диабетических ретино- и нефропатий.</w:t>
      </w:r>
    </w:p>
    <w:p w:rsidR="008E3F15" w:rsidRDefault="005F449A">
      <w:pPr>
        <w:ind w:left="2" w:right="15"/>
      </w:pPr>
      <w:r>
        <w:t>В настоящее время нет доказател</w:t>
      </w:r>
      <w:r>
        <w:t>ьств, что определенные инсулины обладают существенным преимуществом перед другими в отношении риска осложнений СД (Cochrane Reviews).</w:t>
      </w:r>
    </w:p>
    <w:p w:rsidR="008E3F15" w:rsidRDefault="005F449A">
      <w:pPr>
        <w:spacing w:after="31"/>
        <w:ind w:left="2" w:right="15"/>
      </w:pPr>
      <w:r>
        <w:t>Инсулинотерапия назначается и проводится под контролем эндокринолога.</w:t>
      </w:r>
    </w:p>
    <w:p w:rsidR="008E3F15" w:rsidRDefault="005F449A">
      <w:pPr>
        <w:spacing w:after="286"/>
        <w:ind w:left="2" w:right="15"/>
      </w:pPr>
      <w:r>
        <w:rPr>
          <w:b/>
        </w:rPr>
        <w:t xml:space="preserve">Профилактика СД. </w:t>
      </w:r>
      <w:r>
        <w:t>Состояние предиабета (нарушенная гликемия натощак, или нарушенная толерантность к глюкозе, или HbA</w:t>
      </w:r>
      <w:r>
        <w:rPr>
          <w:sz w:val="31"/>
          <w:vertAlign w:val="subscript"/>
        </w:rPr>
        <w:t>1</w:t>
      </w:r>
      <w:r>
        <w:rPr>
          <w:sz w:val="20"/>
        </w:rPr>
        <w:t>c</w:t>
      </w:r>
      <w:r>
        <w:t xml:space="preserve"> 5,7–6,4%) ассоциируется с повышенным риском развития СД и ССЗ. Для оценки риска развития СД 2-го типа в течение 5 лет можно использовать шкалу FINDRISK. Па</w:t>
      </w:r>
      <w:r>
        <w:t>циентам с высоким риском СД 2-го типа рекомендуют следующие мероприятия, способные предупредить или отсрочить заболевание (ADA).</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143" name="Group 31514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596" name="Shape 18596"/>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288"/>
                                  <a:pt x="54975" y="17661"/>
                                </a:cubicBezTo>
                                <a:cubicBezTo>
                                  <a:pt x="56425" y="21034"/>
                                  <a:pt x="57150" y="24805"/>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805"/>
                                  <a:pt x="725" y="21034"/>
                                  <a:pt x="2175" y="17661"/>
                                </a:cubicBezTo>
                                <a:cubicBezTo>
                                  <a:pt x="3625" y="14288"/>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143" style="width:4.5pt;height:4.5pt;mso-position-horizontal-relative:char;mso-position-vertical-relative:line" coordsize="571,571">
                <v:shape id="Shape 18596" style="position:absolute;width:571;height:571;left:0;top:0;" coordsize="57150,57150" path="m28575,0c32364,0,36009,794,39510,2183c43011,3572,46101,5755,48781,8334c51460,11113,53525,14288,54975,17661c56425,21034,57150,24805,57150,28575c57150,32147,56425,35719,54975,39291c53525,42863,51460,45839,48781,48816c46101,51197,43011,53380,39510,54769c36009,56158,32364,57150,28575,57150c24786,57150,21141,56158,17640,54769c14139,53380,11049,51197,8369,48816c5690,45839,3625,42863,2175,39291c725,35719,0,32147,0,28575c0,24805,725,21034,2175,17661c3625,14288,5690,11113,8369,8334c11049,5755,14139,3572,17640,2183c21141,794,24786,0,28575,0x">
                  <v:stroke weight="0pt" endcap="flat" joinstyle="miter" miterlimit="10" on="false" color="#000000" opacity="0"/>
                  <v:fill on="true" color="#333333"/>
                </v:shape>
              </v:group>
            </w:pict>
          </mc:Fallback>
        </mc:AlternateContent>
      </w:r>
      <w:r>
        <w:t xml:space="preserve"> Снизить массу тела на ≥7%. Пациентам с индексом массы тела  &gt;35 кг/м</w:t>
      </w:r>
      <w:r>
        <w:rPr>
          <w:sz w:val="31"/>
          <w:vertAlign w:val="superscript"/>
        </w:rPr>
        <w:t>2</w:t>
      </w:r>
      <w:r>
        <w:t xml:space="preserve"> при неэффективности консервативной терапии целесообразн</w:t>
      </w:r>
      <w:r>
        <w:t>о обсудить бариатрическую хирургию.</w:t>
      </w:r>
    </w:p>
    <w:p w:rsidR="008E3F15" w:rsidRDefault="005F449A">
      <w:pPr>
        <w:ind w:left="600" w:right="147"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144" name="Group 31514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602" name="Shape 18602"/>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144" style="width:4.5pt;height:4.5pt;mso-position-horizontal-relative:char;mso-position-vertical-relative:line" coordsize="571,571">
                <v:shape id="Shape 18602" style="position:absolute;width:571;height:571;left:0;top:0;" coordsize="57150,57150" path="m28575,0c32364,0,36009,794,39510,2183c43011,3572,46101,5556,48781,8334c51460,10914,53525,14089,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4089,5690,10914,8369,8334c11049,5556,14139,3572,17640,2183c21141,794,24786,0,28575,0x">
                  <v:stroke weight="0pt" endcap="flat" joinstyle="miter" miterlimit="10" on="false" color="#000000" opacity="0"/>
                  <v:fill on="true" color="#333333"/>
                </v:shape>
              </v:group>
            </w:pict>
          </mc:Fallback>
        </mc:AlternateContent>
      </w:r>
      <w:r>
        <w:t xml:space="preserve"> Средиземноморская диета, продукты, богатые пищевыми волокнами (не картофель), из цельного зерна. Ограничить напитки, содержащие сахар (EPIC; Neuenschwander M. et al., 2019).</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94784" behindDoc="0" locked="0" layoutInCell="1" allowOverlap="1">
                <wp:simplePos x="0" y="0"/>
                <wp:positionH relativeFrom="column">
                  <wp:posOffset>209550</wp:posOffset>
                </wp:positionH>
                <wp:positionV relativeFrom="paragraph">
                  <wp:posOffset>34727</wp:posOffset>
                </wp:positionV>
                <wp:extent cx="57150" cy="714375"/>
                <wp:effectExtent l="0" t="0" r="0" b="0"/>
                <wp:wrapSquare wrapText="bothSides"/>
                <wp:docPr id="315145" name="Group 315145"/>
                <wp:cNvGraphicFramePr/>
                <a:graphic xmlns:a="http://schemas.openxmlformats.org/drawingml/2006/main">
                  <a:graphicData uri="http://schemas.microsoft.com/office/word/2010/wordprocessingGroup">
                    <wpg:wgp>
                      <wpg:cNvGrpSpPr/>
                      <wpg:grpSpPr>
                        <a:xfrm>
                          <a:off x="0" y="0"/>
                          <a:ext cx="57150" cy="714375"/>
                          <a:chOff x="0" y="0"/>
                          <a:chExt cx="57150" cy="714375"/>
                        </a:xfrm>
                      </wpg:grpSpPr>
                      <wps:wsp>
                        <wps:cNvPr id="18606" name="Shape 18606"/>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555"/>
                                  <a:pt x="32364" y="57150"/>
                                  <a:pt x="28575" y="57150"/>
                                </a:cubicBezTo>
                                <a:cubicBezTo>
                                  <a:pt x="24786" y="57150"/>
                                  <a:pt x="21141" y="56555"/>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608" name="Shape 18608"/>
                        <wps:cNvSpPr/>
                        <wps:spPr>
                          <a:xfrm>
                            <a:off x="0" y="200025"/>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613" name="Shape 18613"/>
                        <wps:cNvSpPr/>
                        <wps:spPr>
                          <a:xfrm>
                            <a:off x="0" y="504825"/>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6038"/>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615" name="Shape 18615"/>
                        <wps:cNvSpPr/>
                        <wps:spPr>
                          <a:xfrm>
                            <a:off x="0" y="65722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145" style="width:4.5pt;height:56.25pt;position:absolute;mso-position-horizontal-relative:text;mso-position-horizontal:absolute;margin-left:16.5pt;mso-position-vertical-relative:text;margin-top:2.73438pt;" coordsize="571,7143">
                <v:shape id="Shape 18606" style="position:absolute;width:571;height:571;left:0;top:0;" coordsize="57150,57150" path="m28575,0c32364,0,36009,794,39510,2183c43011,3572,46101,5556,48781,8334c51460,10914,53525,14089,54975,17661c56425,21034,57150,24805,57150,28575c57150,32345,56425,35917,54975,39291c53525,42863,51460,45839,48781,48816c46101,51395,43011,53578,39510,54769c36009,56555,32364,57150,28575,57150c24786,57150,21141,56555,17640,54769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8608" style="position:absolute;width:571;height:571;left:0;top:2000;" coordsize="57150,57150" path="m28575,0c32364,0,36009,595,39510,1984c43011,3572,46101,5556,48781,8334c51460,10914,53525,14089,54975,17463c56425,20836,57150,24606,57150,28575c57150,32345,56425,35917,54975,39489c53525,42863,51460,46038,48781,48816c46101,51197,43011,53380,39510,54769c36009,56356,32364,57150,28575,57150c24786,57150,21141,56356,17640,54769c14139,53380,11049,51197,8369,48816c5690,46038,3625,42863,2175,39489c725,35917,0,32345,0,28575c0,24606,725,20836,2175,17463c3625,14089,5690,10914,8369,8334c11049,5556,14139,3572,17640,1984c21141,595,24786,0,28575,0x">
                  <v:stroke weight="0pt" endcap="flat" joinstyle="miter" miterlimit="10" on="false" color="#000000" opacity="0"/>
                  <v:fill on="true" color="#333333"/>
                </v:shape>
                <v:shape id="Shape 18613" style="position:absolute;width:571;height:571;left:0;top:5048;" coordsize="57150,57150" path="m28575,0c32364,0,36009,794,39510,2183c43011,3572,46101,5358,48781,8334c51460,10914,53525,14089,54975,17463c56425,20836,57150,24606,57150,28575c57150,32345,56425,35917,54975,39291c53525,42863,51460,46038,48781,48816c46101,51197,43011,53380,39510,54769c36009,56356,32364,57150,28575,57150c24786,57150,21141,56356,17640,54769c14139,53380,11049,51197,8369,48816c5690,46038,3625,42863,2175,39291c725,35917,0,32345,0,28575c0,24606,725,20836,2175,17463c3625,14089,5690,10914,8369,8334c11049,5358,14139,3572,17640,2183c21141,794,24786,0,28575,0x">
                  <v:stroke weight="0pt" endcap="flat" joinstyle="miter" miterlimit="10" on="false" color="#000000" opacity="0"/>
                  <v:fill on="true" color="#333333"/>
                </v:shape>
                <v:shape id="Shape 18615" style="position:absolute;width:571;height:571;left:0;top:6572;" coordsize="57150,57150" path="m28575,0c32364,0,36009,794,39510,2183c43011,3572,46101,5556,48781,8334c51460,10716,53525,13891,54975,17463c56425,21034,57150,24805,57150,28575c57150,32345,56425,35917,54975,39291c53525,42863,51460,45839,48781,48816c46101,51197,43011,53380,39510,54769c36009,56158,32364,57150,28575,57150c24786,57150,21141,56158,17640,54769c14139,53380,11049,51197,8369,48816c5690,45839,3625,42863,2175,39291c725,35917,0,32345,0,28575c0,24805,725,21034,2175,17463c3625,13891,5690,10716,8369,8334c11049,5556,14139,3572,17640,2183c21141,794,24786,0,28575,0x">
                  <v:stroke weight="0pt" endcap="flat" joinstyle="miter" miterlimit="10" on="false" color="#000000" opacity="0"/>
                  <v:fill on="true" color="#333333"/>
                </v:shape>
                <w10:wrap type="square"/>
              </v:group>
            </w:pict>
          </mc:Fallback>
        </mc:AlternateContent>
      </w:r>
      <w:r>
        <w:t xml:space="preserve">Физические нагрузки ≥150 мин умеренных или </w:t>
      </w:r>
      <w:r>
        <w:t>≥75 мин интенсивных в неделю.</w:t>
      </w:r>
    </w:p>
    <w:p w:rsidR="008E3F15" w:rsidRDefault="005F449A">
      <w:pPr>
        <w:spacing w:after="359"/>
        <w:ind w:left="340" w:right="15"/>
      </w:pPr>
      <w:r>
        <w:t>Метформин, особенно у пациентов с индексом массы тела &gt;35 кг/м</w:t>
      </w:r>
      <w:r>
        <w:rPr>
          <w:sz w:val="31"/>
          <w:vertAlign w:val="superscript"/>
        </w:rPr>
        <w:t>2</w:t>
      </w:r>
      <w:r>
        <w:t>, в возрасте &lt;60 лет, женщинам с предшествующим гестационным СД. иНГЛТ-2 у пациентов с СН или ХБП. Ежегодно тест для оценки СД.</w:t>
      </w:r>
    </w:p>
    <w:p w:rsidR="008E3F15" w:rsidRDefault="005F449A">
      <w:pPr>
        <w:pStyle w:val="Heading1"/>
        <w:ind w:left="2"/>
      </w:pPr>
      <w:r>
        <w:t>Часть II. Коморбидные болезни</w:t>
      </w:r>
    </w:p>
    <w:p w:rsidR="008E3F15" w:rsidRDefault="005F449A">
      <w:pPr>
        <w:ind w:left="2" w:right="15"/>
      </w:pPr>
      <w:r>
        <w:rPr>
          <w:b/>
        </w:rPr>
        <w:t>Профи</w:t>
      </w:r>
      <w:r>
        <w:rPr>
          <w:b/>
        </w:rPr>
        <w:t xml:space="preserve">лактика ССЗ. </w:t>
      </w:r>
      <w:r>
        <w:t>Пациенты с СД имеют повышенный риск развития атеросклеротических ССЗ, что диктует необходимость следующих профилактических мероприятий (ADA; ACC/AHA; ESC).</w:t>
      </w:r>
    </w:p>
    <w:p w:rsidR="008E3F15" w:rsidRDefault="008E3F15">
      <w:pPr>
        <w:sectPr w:rsidR="008E3F15">
          <w:headerReference w:type="even" r:id="rId156"/>
          <w:headerReference w:type="default" r:id="rId157"/>
          <w:footerReference w:type="even" r:id="rId158"/>
          <w:footerReference w:type="default" r:id="rId159"/>
          <w:headerReference w:type="first" r:id="rId160"/>
          <w:footerReference w:type="first" r:id="rId161"/>
          <w:pgSz w:w="11899" w:h="16838"/>
          <w:pgMar w:top="570" w:right="668" w:bottom="562" w:left="690" w:header="334" w:footer="290" w:gutter="0"/>
          <w:cols w:space="720"/>
        </w:sectPr>
      </w:pPr>
    </w:p>
    <w:p w:rsidR="008E3F15" w:rsidRDefault="005F449A">
      <w:pPr>
        <w:spacing w:after="31"/>
        <w:ind w:left="610" w:right="15"/>
      </w:pPr>
      <w:r>
        <w:t>Отказ от курения.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95808" behindDoc="0" locked="0" layoutInCell="1" allowOverlap="1">
                <wp:simplePos x="0" y="0"/>
                <wp:positionH relativeFrom="column">
                  <wp:posOffset>209550</wp:posOffset>
                </wp:positionH>
                <wp:positionV relativeFrom="paragraph">
                  <wp:posOffset>34727</wp:posOffset>
                </wp:positionV>
                <wp:extent cx="57150" cy="552450"/>
                <wp:effectExtent l="0" t="0" r="0" b="0"/>
                <wp:wrapSquare wrapText="bothSides"/>
                <wp:docPr id="314867" name="Group 314867"/>
                <wp:cNvGraphicFramePr/>
                <a:graphic xmlns:a="http://schemas.openxmlformats.org/drawingml/2006/main">
                  <a:graphicData uri="http://schemas.microsoft.com/office/word/2010/wordprocessingGroup">
                    <wpg:wgp>
                      <wpg:cNvGrpSpPr/>
                      <wpg:grpSpPr>
                        <a:xfrm>
                          <a:off x="0" y="0"/>
                          <a:ext cx="57150" cy="552450"/>
                          <a:chOff x="0" y="0"/>
                          <a:chExt cx="57150" cy="552450"/>
                        </a:xfrm>
                      </wpg:grpSpPr>
                      <wps:wsp>
                        <wps:cNvPr id="18645" name="Shape 18645"/>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647" name="Shape 18647"/>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650" name="Shape 18650"/>
                        <wps:cNvSpPr/>
                        <wps:spPr>
                          <a:xfrm>
                            <a:off x="0" y="4953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4867" style="width:4.5pt;height:43.5pt;position:absolute;mso-position-horizontal-relative:text;mso-position-horizontal:absolute;margin-left:16.5pt;mso-position-vertical-relative:text;margin-top:2.73438pt;" coordsize="571,5524">
                <v:shape id="Shape 18645" style="position:absolute;width:571;height:571;left:0;top:0;" coordsize="57150,57150" path="m28575,0c32364,0,36009,595,39510,1984c43011,3572,46101,5556,48781,8334c51460,10716,53525,13891,54975,17463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463c3625,13891,5690,10716,8369,8334c11049,5556,14139,3572,17640,1984c21141,595,24786,0,28575,0x">
                  <v:stroke weight="0pt" endcap="flat" joinstyle="miter" miterlimit="10" on="false" color="#000000" opacity="0"/>
                  <v:fill on="true" color="#333333"/>
                </v:shape>
                <v:shape id="Shape 18647" style="position:absolute;width:571;height:571;left:0;top:1524;" coordsize="57150,57150" path="m28575,0c32364,0,36009,595,39510,1984c43011,3572,46101,5556,48781,8334c51460,10914,53525,14089,54975,17463c56425,20836,57150,24606,57150,28575c57150,32345,56425,35917,54975,39291c53525,42863,51460,45839,48781,48816c46101,51197,43011,53380,39510,54769c36009,56356,32364,57150,28575,57150c24786,57150,21141,56356,17640,54769c14139,53380,11049,51197,8369,48816c5690,45839,3625,42863,2175,39291c725,35917,0,32345,0,28575c0,24606,725,20836,2175,17463c3625,14089,5690,10914,8369,8334c11049,5556,14139,3572,17640,1984c21141,595,24786,0,28575,0x">
                  <v:stroke weight="0pt" endcap="flat" joinstyle="miter" miterlimit="10" on="false" color="#000000" opacity="0"/>
                  <v:fill on="true" color="#333333"/>
                </v:shape>
                <v:shape id="Shape 18650" style="position:absolute;width:571;height:571;left:0;top:4953;"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716,8369,8334c11049,5358,14139,3572,17640,2183c21141,794,24786,0,28575,0x">
                  <v:stroke weight="0pt" endcap="flat" joinstyle="miter" miterlimit="10" on="false" color="#000000" opacity="0"/>
                  <v:fill on="true" color="#333333"/>
                </v:shape>
                <w10:wrap type="square"/>
              </v:group>
            </w:pict>
          </mc:Fallback>
        </mc:AlternateContent>
      </w:r>
      <w:r>
        <w:t>Ста</w:t>
      </w:r>
      <w:r>
        <w:t>тины у пациентов &gt;40 лет.</w:t>
      </w:r>
    </w:p>
    <w:p w:rsidR="008E3F15" w:rsidRDefault="005F449A">
      <w:pPr>
        <w:spacing w:after="38"/>
        <w:ind w:left="340" w:right="15"/>
      </w:pPr>
      <w:r>
        <w:t>Возможен прием антиагрегантов (АСК 75–100 мг/сут) у пациентов с высоким риском ССЗ, однако польза нивелируется риском кровотечений (ASCEND).</w:t>
      </w:r>
    </w:p>
    <w:p w:rsidR="008E3F15" w:rsidRDefault="005F449A">
      <w:pPr>
        <w:spacing w:after="95"/>
        <w:ind w:left="340" w:right="15"/>
      </w:pPr>
      <w:r>
        <w:t>Бариатрическая хирургия у пациентов с индексом массы тела &gt;35 кг/м</w:t>
      </w:r>
      <w:r>
        <w:rPr>
          <w:sz w:val="31"/>
          <w:vertAlign w:val="superscript"/>
        </w:rPr>
        <w:t>2</w:t>
      </w:r>
      <w:r>
        <w:t>.</w:t>
      </w:r>
    </w:p>
    <w:p w:rsidR="008E3F15" w:rsidRDefault="005F449A">
      <w:pPr>
        <w:ind w:left="2" w:right="84"/>
      </w:pPr>
      <w:r>
        <w:rPr>
          <w:b/>
        </w:rPr>
        <w:t xml:space="preserve">Тактика ведения. </w:t>
      </w:r>
      <w:r>
        <w:t>В настоящее время ведущими экспертными организациями предлагается пациент-ориентированное лечение СД 2-го типа, где выбор препаратов и целевых уровней гликемии обусловливается длительностью СД, ожидаемой продолжительностью жизни, коморбидностью, сосудистым</w:t>
      </w:r>
      <w:r>
        <w:t>и заболеваниями, выраженными микрососудистыми осложнениями, опасностью гипогликемии, индивидуальными предпочтениями и мотивацией пациента, ресурсами и системой поддержки (</w:t>
      </w:r>
      <w:r>
        <w:rPr>
          <w:b/>
        </w:rPr>
        <w:t>рис. 16.4</w:t>
      </w:r>
      <w:r>
        <w:t>). В российских алгоритмах определен целевой уровень HbA</w:t>
      </w:r>
      <w:r>
        <w:rPr>
          <w:sz w:val="31"/>
          <w:vertAlign w:val="subscript"/>
        </w:rPr>
        <w:t>1</w:t>
      </w:r>
      <w:r>
        <w:rPr>
          <w:sz w:val="20"/>
        </w:rPr>
        <w:t>c</w:t>
      </w:r>
      <w:r>
        <w:t xml:space="preserve"> для ряда состояни</w:t>
      </w:r>
      <w:r>
        <w:t>й, варьирующий от &lt;6,5% у молодых без ССЗ и гипогликемии до &lt;8% при старческой астении и деменции.</w:t>
      </w:r>
    </w:p>
    <w:p w:rsidR="008E3F15" w:rsidRDefault="005F449A">
      <w:pPr>
        <w:spacing w:after="65" w:line="259" w:lineRule="auto"/>
        <w:ind w:left="0" w:right="0" w:firstLine="0"/>
      </w:pPr>
      <w:r>
        <w:rPr>
          <w:noProof/>
        </w:rPr>
        <w:drawing>
          <wp:inline distT="0" distB="0" distL="0" distR="0">
            <wp:extent cx="5057775" cy="4467225"/>
            <wp:effectExtent l="0" t="0" r="0" b="0"/>
            <wp:docPr id="18668" name="Picture 18668"/>
            <wp:cNvGraphicFramePr/>
            <a:graphic xmlns:a="http://schemas.openxmlformats.org/drawingml/2006/main">
              <a:graphicData uri="http://schemas.openxmlformats.org/drawingml/2006/picture">
                <pic:pic xmlns:pic="http://schemas.openxmlformats.org/drawingml/2006/picture">
                  <pic:nvPicPr>
                    <pic:cNvPr id="18668" name="Picture 18668"/>
                    <pic:cNvPicPr/>
                  </pic:nvPicPr>
                  <pic:blipFill>
                    <a:blip r:embed="rId162"/>
                    <a:stretch>
                      <a:fillRect/>
                    </a:stretch>
                  </pic:blipFill>
                  <pic:spPr>
                    <a:xfrm>
                      <a:off x="0" y="0"/>
                      <a:ext cx="5057775" cy="4467225"/>
                    </a:xfrm>
                    <a:prstGeom prst="rect">
                      <a:avLst/>
                    </a:prstGeom>
                  </pic:spPr>
                </pic:pic>
              </a:graphicData>
            </a:graphic>
          </wp:inline>
        </w:drawing>
      </w:r>
    </w:p>
    <w:p w:rsidR="008E3F15" w:rsidRDefault="005F449A">
      <w:pPr>
        <w:ind w:left="2" w:right="15"/>
      </w:pPr>
      <w:r>
        <w:rPr>
          <w:b/>
        </w:rPr>
        <w:t xml:space="preserve">Рис. 16.4. </w:t>
      </w:r>
      <w:r>
        <w:t>Факторы, влияющие на выбор стратегии контроля гликемии (Ismail-Beigi F. et al., 2011; ADA/EASD; ADA)</w:t>
      </w:r>
    </w:p>
    <w:p w:rsidR="008E3F15" w:rsidRDefault="005F449A">
      <w:pPr>
        <w:ind w:left="2" w:right="225"/>
      </w:pPr>
      <w:r>
        <w:t xml:space="preserve">Ориентировочный выбор стартовой терапии представлен на </w:t>
      </w:r>
      <w:r>
        <w:rPr>
          <w:b/>
        </w:rPr>
        <w:t>рис. 16.5</w:t>
      </w:r>
      <w:r>
        <w:t>. Эксперты ADA увеличили порог HbA</w:t>
      </w:r>
      <w:r>
        <w:rPr>
          <w:sz w:val="31"/>
          <w:vertAlign w:val="subscript"/>
        </w:rPr>
        <w:t>1</w:t>
      </w:r>
      <w:r>
        <w:rPr>
          <w:sz w:val="20"/>
        </w:rPr>
        <w:t>c</w:t>
      </w:r>
      <w:r>
        <w:t xml:space="preserve"> выбора двойной терапии до 9%, что связано с нередкими случаями гипогликемии. Препаратом выбора в начале лечения считается метформин независимо от массы тел</w:t>
      </w:r>
      <w:r>
        <w:t>а с оптимальной дозой 1500–2000 мг/сут в 2 приема во время еды. Проводя лечение, необходимо каждые 3 мес контролировать HbA</w:t>
      </w:r>
      <w:r>
        <w:rPr>
          <w:sz w:val="31"/>
          <w:vertAlign w:val="subscript"/>
        </w:rPr>
        <w:t>1</w:t>
      </w:r>
      <w:r>
        <w:rPr>
          <w:sz w:val="20"/>
        </w:rPr>
        <w:t>c</w:t>
      </w:r>
      <w:r>
        <w:t xml:space="preserve"> до достижения индивидуального целевого уровня, а затем — не реже одного раза в 6 мес.</w:t>
      </w:r>
    </w:p>
    <w:p w:rsidR="008E3F15" w:rsidRDefault="005F449A">
      <w:pPr>
        <w:spacing w:after="65" w:line="259" w:lineRule="auto"/>
        <w:ind w:left="0" w:right="0" w:firstLine="0"/>
      </w:pPr>
      <w:r>
        <w:rPr>
          <w:noProof/>
        </w:rPr>
        <w:drawing>
          <wp:inline distT="0" distB="0" distL="0" distR="0">
            <wp:extent cx="5057775" cy="4295775"/>
            <wp:effectExtent l="0" t="0" r="0" b="0"/>
            <wp:docPr id="18704" name="Picture 18704"/>
            <wp:cNvGraphicFramePr/>
            <a:graphic xmlns:a="http://schemas.openxmlformats.org/drawingml/2006/main">
              <a:graphicData uri="http://schemas.openxmlformats.org/drawingml/2006/picture">
                <pic:pic xmlns:pic="http://schemas.openxmlformats.org/drawingml/2006/picture">
                  <pic:nvPicPr>
                    <pic:cNvPr id="18704" name="Picture 18704"/>
                    <pic:cNvPicPr/>
                  </pic:nvPicPr>
                  <pic:blipFill>
                    <a:blip r:embed="rId163"/>
                    <a:stretch>
                      <a:fillRect/>
                    </a:stretch>
                  </pic:blipFill>
                  <pic:spPr>
                    <a:xfrm>
                      <a:off x="0" y="0"/>
                      <a:ext cx="5057775" cy="4295775"/>
                    </a:xfrm>
                    <a:prstGeom prst="rect">
                      <a:avLst/>
                    </a:prstGeom>
                  </pic:spPr>
                </pic:pic>
              </a:graphicData>
            </a:graphic>
          </wp:inline>
        </w:drawing>
      </w:r>
    </w:p>
    <w:p w:rsidR="008E3F15" w:rsidRDefault="005F449A">
      <w:pPr>
        <w:spacing w:after="31"/>
        <w:ind w:left="2" w:right="15"/>
      </w:pPr>
      <w:r>
        <w:rPr>
          <w:b/>
        </w:rPr>
        <w:t xml:space="preserve">Рис. 16.5. </w:t>
      </w:r>
      <w:r>
        <w:t>Алгоритм лечения диабета 2-го т</w:t>
      </w:r>
      <w:r>
        <w:t>ипа</w:t>
      </w:r>
    </w:p>
    <w:p w:rsidR="008E3F15" w:rsidRDefault="005F449A">
      <w:pPr>
        <w:spacing w:after="31"/>
        <w:ind w:left="2" w:right="15"/>
      </w:pPr>
      <w:r>
        <w:t>Важным преимуществом иНГЛТ-2 и арГПП-1 является снижение риска ССЗ и смерти</w:t>
      </w:r>
    </w:p>
    <w:p w:rsidR="008E3F15" w:rsidRDefault="005F449A">
      <w:pPr>
        <w:spacing w:after="31"/>
        <w:ind w:left="2" w:right="15"/>
      </w:pPr>
      <w:r>
        <w:t>(Monami M. et al., 2017; Wu J. et al., 2016).</w:t>
      </w:r>
    </w:p>
    <w:p w:rsidR="008E3F15" w:rsidRDefault="005F449A">
      <w:pPr>
        <w:ind w:left="2" w:right="15"/>
      </w:pPr>
      <w:r>
        <w:t>При выборе комбинации следует учитывать комплементарность механизмов (нежелательно сочетать арГПП-1 с иДПП-4), риск гипогликемии (</w:t>
      </w:r>
      <w:r>
        <w:t>при сочетании с ПСМ), коморбидные состояния, возможные побочные эффекты, стоимость (минимальная у ПСМ), отношение пациента к парентеральному введению (инсулин, арГПП-1). Например, глиптины в сочетании с метформином не уступают по эффективности снижения HbA</w:t>
      </w:r>
      <w:r>
        <w:rPr>
          <w:sz w:val="31"/>
          <w:vertAlign w:val="subscript"/>
        </w:rPr>
        <w:t>1</w:t>
      </w:r>
      <w:r>
        <w:rPr>
          <w:sz w:val="20"/>
        </w:rPr>
        <w:t>c</w:t>
      </w:r>
      <w:r>
        <w:t xml:space="preserve"> комбинации сульфомочевины с метформином при значимо более низком риске гипогликемий и более длительном сохранении эффекта.</w:t>
      </w:r>
    </w:p>
    <w:p w:rsidR="008E3F15" w:rsidRDefault="005F449A">
      <w:pPr>
        <w:ind w:left="2" w:right="15"/>
      </w:pPr>
      <w:r>
        <w:t>При недостаточном эффекте монотерапии важно быстрее усиливать лечение, что повышает вероятность достижения гликемического контроля</w:t>
      </w:r>
      <w:r>
        <w:t>, а также может снизить частоту сердечнососудистых и почечных осложнений (Desai U. et al., 2018).</w:t>
      </w:r>
    </w:p>
    <w:p w:rsidR="008E3F15" w:rsidRDefault="005F449A">
      <w:pPr>
        <w:spacing w:after="179"/>
        <w:ind w:left="2" w:right="112"/>
      </w:pPr>
      <w:r>
        <w:t>Нарастающее число пациентов с СД 2-го типа и частая ассоциированная патология требуют активного участия в диагностике и лечении заболеваний врачей общей практ</w:t>
      </w:r>
      <w:r>
        <w:t xml:space="preserve">ики/участковых терапевтов и кардиологов. </w:t>
      </w:r>
      <w:r>
        <w:rPr>
          <w:i/>
        </w:rPr>
        <w:t>Роль терапевта: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896832" behindDoc="0" locked="0" layoutInCell="1" allowOverlap="1">
                <wp:simplePos x="0" y="0"/>
                <wp:positionH relativeFrom="column">
                  <wp:posOffset>209550</wp:posOffset>
                </wp:positionH>
                <wp:positionV relativeFrom="paragraph">
                  <wp:posOffset>34727</wp:posOffset>
                </wp:positionV>
                <wp:extent cx="57150" cy="1152525"/>
                <wp:effectExtent l="0" t="0" r="0" b="0"/>
                <wp:wrapSquare wrapText="bothSides"/>
                <wp:docPr id="315614" name="Group 315614"/>
                <wp:cNvGraphicFramePr/>
                <a:graphic xmlns:a="http://schemas.openxmlformats.org/drawingml/2006/main">
                  <a:graphicData uri="http://schemas.microsoft.com/office/word/2010/wordprocessingGroup">
                    <wpg:wgp>
                      <wpg:cNvGrpSpPr/>
                      <wpg:grpSpPr>
                        <a:xfrm>
                          <a:off x="0" y="0"/>
                          <a:ext cx="57150" cy="1152525"/>
                          <a:chOff x="0" y="0"/>
                          <a:chExt cx="57150" cy="1152525"/>
                        </a:xfrm>
                      </wpg:grpSpPr>
                      <wps:wsp>
                        <wps:cNvPr id="18725" name="Shape 18725"/>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27" name="Shape 18727"/>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32" name="Shape 18732"/>
                        <wps:cNvSpPr/>
                        <wps:spPr>
                          <a:xfrm>
                            <a:off x="0" y="4857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34" name="Shape 18734"/>
                        <wps:cNvSpPr/>
                        <wps:spPr>
                          <a:xfrm>
                            <a:off x="0" y="6381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36" name="Shape 18736"/>
                        <wps:cNvSpPr/>
                        <wps:spPr>
                          <a:xfrm>
                            <a:off x="0" y="7905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39" name="Shape 18739"/>
                        <wps:cNvSpPr/>
                        <wps:spPr>
                          <a:xfrm>
                            <a:off x="0" y="10953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614" style="width:4.5pt;height:90.75pt;position:absolute;mso-position-horizontal-relative:text;mso-position-horizontal:absolute;margin-left:16.5pt;mso-position-vertical-relative:text;margin-top:2.73438pt;" coordsize="571,11525">
                <v:shape id="Shape 18725" style="position:absolute;width:571;height:571;left:0;top:0;" coordsize="57150,57150" path="m28575,0c32364,0,36009,794,39510,2183c43011,3572,46101,5556,48781,8334c51460,10914,53525,14089,54975,17661c56425,21034,57150,24805,57150,28575c57150,32345,56425,35917,54975,39291c53525,42863,51460,46038,48781,48816c46101,51395,43011,53578,39510,54769c36009,56356,32364,57150,28575,57150c24786,57150,21141,56356,17640,54769c14139,53578,11049,51395,8369,48816c5690,46038,3625,42863,2175,39291c725,35917,0,32345,0,28575c0,24805,725,21034,2175,17661c3625,14089,5690,10914,8369,8334c11049,5556,14139,3572,17640,2183c21141,794,24786,0,28575,0x">
                  <v:stroke weight="0pt" endcap="flat" joinstyle="miter" miterlimit="10" on="false" color="#000000" opacity="0"/>
                  <v:fill on="true" color="#333333"/>
                </v:shape>
                <v:shape id="Shape 18727" style="position:absolute;width:571;height:571;left:0;top:1524;" coordsize="57150,57150" path="m28575,0c32364,0,36009,794,39510,2183c43011,3572,46101,5556,48781,8334c51460,10914,53525,14089,54975,17661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8732" style="position:absolute;width:571;height:571;left:0;top:4857;" coordsize="57150,57150" path="m28575,0c32364,0,36009,794,39510,2183c43011,3572,46101,5556,48781,8334c51460,10914,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914,8369,8334c11049,5556,14139,3572,17640,2183c21141,794,24786,0,28575,0x">
                  <v:stroke weight="0pt" endcap="flat" joinstyle="miter" miterlimit="10" on="false" color="#000000" opacity="0"/>
                  <v:fill on="true" color="#333333"/>
                </v:shape>
                <v:shape id="Shape 18734" style="position:absolute;width:571;height:571;left:0;top:6381;" coordsize="57150,57150" path="m28575,0c32364,0,36009,794,39510,2183c43011,3572,46101,5556,48781,8334c51460,10914,53525,14089,54975,17661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8736" style="position:absolute;width:571;height:571;left:0;top:7905;" coordsize="57150,57150" path="m28575,0c32364,0,36009,794,39510,2183c43011,3572,46101,5556,48781,8334c51460,10914,53525,13891,54975,17463c56425,20836,57150,24606,57150,28575c57150,32345,56425,35917,54975,39291c53525,42863,51460,45839,48781,48816c46101,51395,43011,53578,39510,54769c36009,56356,32364,57150,28575,57150c24786,57150,21141,56356,17640,54769c14139,53578,11049,51395,8369,48816c5690,45839,3625,42863,2175,39291c725,35719,0,32345,0,28575c0,24606,725,20836,2175,17463c3625,13891,5690,10914,8369,8334c11049,5556,14139,3572,17640,2183c21141,794,24786,0,28575,0x">
                  <v:stroke weight="0pt" endcap="flat" joinstyle="miter" miterlimit="10" on="false" color="#000000" opacity="0"/>
                  <v:fill on="true" color="#333333"/>
                </v:shape>
                <v:shape id="Shape 18739" style="position:absolute;width:571;height:571;left:0;top:10953;" coordsize="57150,57150" path="m28575,0c32364,0,36009,794,39510,2183c43011,3572,46101,5556,48781,8334c51460,10914,53525,13891,54975,17463c56425,20836,57150,24606,57150,28575c57150,32345,56425,35917,54975,39291c53525,42863,51460,45839,48781,48816c46101,51395,43011,53578,39510,54769c36009,56356,32364,57150,28575,57150c24786,57150,21141,56356,17640,54769c14139,53578,11049,51395,8369,48816c5690,45839,3625,42863,2175,39291c725,35719,0,32345,0,28575c0,24606,725,20836,2175,17463c3625,13891,5690,10914,8369,8334c11049,5556,14139,3572,17640,2183c21141,794,24786,0,28575,0x">
                  <v:stroke weight="0pt" endcap="flat" joinstyle="miter" miterlimit="10" on="false" color="#000000" opacity="0"/>
                  <v:fill on="true" color="#333333"/>
                </v:shape>
                <w10:wrap type="square"/>
              </v:group>
            </w:pict>
          </mc:Fallback>
        </mc:AlternateContent>
      </w:r>
      <w:r>
        <w:t>скрининг предиабета и СД 2-го типа;</w:t>
      </w:r>
    </w:p>
    <w:p w:rsidR="008E3F15" w:rsidRDefault="005F449A">
      <w:pPr>
        <w:ind w:left="340" w:right="1769"/>
      </w:pPr>
      <w:r>
        <w:t>диагностика предиабета и СД 2-го типа (гликемия натощак, пероральный глюкозотолерантный тест, HbA</w:t>
      </w:r>
      <w:r>
        <w:rPr>
          <w:sz w:val="31"/>
          <w:vertAlign w:val="subscript"/>
        </w:rPr>
        <w:t>1</w:t>
      </w:r>
      <w:r>
        <w:rPr>
          <w:sz w:val="20"/>
        </w:rPr>
        <w:t>c</w:t>
      </w:r>
      <w:r>
        <w:t>); мониторинг состояния углеводного обмена; профилактика СД 2-г</w:t>
      </w:r>
      <w:r>
        <w:t>о типа и осложнений;</w:t>
      </w:r>
    </w:p>
    <w:p w:rsidR="008E3F15" w:rsidRDefault="005F449A">
      <w:pPr>
        <w:ind w:left="340" w:right="15"/>
      </w:pPr>
      <w:r>
        <w:t>лечение СД 2-го типа антигипергликемическими препаратами и определение показаний к назначению инсулина;</w:t>
      </w:r>
    </w:p>
    <w:p w:rsidR="008E3F15" w:rsidRDefault="005F449A">
      <w:pPr>
        <w:spacing w:after="179"/>
        <w:ind w:left="340" w:right="15"/>
      </w:pPr>
      <w:r>
        <w:t xml:space="preserve">лечение хронических осложнений и ассоциированных заболеваний (коронарная болезнь, артериальная гипертензия, болезнь периферических </w:t>
      </w:r>
      <w:r>
        <w:t>артерий, ХБП).</w:t>
      </w:r>
    </w:p>
    <w:p w:rsidR="008E3F15" w:rsidRDefault="005F449A">
      <w:pPr>
        <w:spacing w:after="133" w:line="259" w:lineRule="auto"/>
        <w:ind w:right="0"/>
      </w:pPr>
      <w:r>
        <w:rPr>
          <w:i/>
        </w:rPr>
        <w:t>Роль эндокринолога:</w:t>
      </w:r>
    </w:p>
    <w:p w:rsidR="008E3F15" w:rsidRDefault="005F449A">
      <w:pPr>
        <w:ind w:left="340" w:right="1541"/>
      </w:pPr>
      <w:r>
        <w:rPr>
          <w:rFonts w:ascii="Calibri" w:eastAsia="Calibri" w:hAnsi="Calibri" w:cs="Calibri"/>
          <w:noProof/>
          <w:color w:val="000000"/>
          <w:sz w:val="22"/>
        </w:rPr>
        <mc:AlternateContent>
          <mc:Choice Requires="wpg">
            <w:drawing>
              <wp:anchor distT="0" distB="0" distL="114300" distR="114300" simplePos="0" relativeHeight="251897856"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15615" name="Group 315615"/>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8743" name="Shape 18743"/>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3061"/>
                                  <a:pt x="51460" y="46236"/>
                                  <a:pt x="48781" y="48816"/>
                                </a:cubicBezTo>
                                <a:cubicBezTo>
                                  <a:pt x="46101" y="51594"/>
                                  <a:pt x="43011" y="53578"/>
                                  <a:pt x="39510" y="54967"/>
                                </a:cubicBezTo>
                                <a:cubicBezTo>
                                  <a:pt x="36009" y="56555"/>
                                  <a:pt x="32364" y="57150"/>
                                  <a:pt x="28575" y="57150"/>
                                </a:cubicBezTo>
                                <a:cubicBezTo>
                                  <a:pt x="24786" y="57150"/>
                                  <a:pt x="21141" y="56555"/>
                                  <a:pt x="17640" y="54967"/>
                                </a:cubicBezTo>
                                <a:cubicBezTo>
                                  <a:pt x="14139" y="53578"/>
                                  <a:pt x="11049" y="51594"/>
                                  <a:pt x="8369" y="48816"/>
                                </a:cubicBezTo>
                                <a:cubicBezTo>
                                  <a:pt x="5690" y="46236"/>
                                  <a:pt x="3625" y="43061"/>
                                  <a:pt x="2175" y="39489"/>
                                </a:cubicBezTo>
                                <a:cubicBezTo>
                                  <a:pt x="725" y="36116"/>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45" name="Shape 18745"/>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47" name="Shape 1874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816"/>
                                </a:cubicBezTo>
                                <a:cubicBezTo>
                                  <a:pt x="46101" y="51395"/>
                                  <a:pt x="43011" y="53578"/>
                                  <a:pt x="39510" y="54769"/>
                                </a:cubicBezTo>
                                <a:cubicBezTo>
                                  <a:pt x="36009" y="56555"/>
                                  <a:pt x="32364" y="57150"/>
                                  <a:pt x="28575" y="57150"/>
                                </a:cubicBezTo>
                                <a:cubicBezTo>
                                  <a:pt x="24786" y="57150"/>
                                  <a:pt x="21141" y="56555"/>
                                  <a:pt x="17640" y="54967"/>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49" name="Shape 18749"/>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51" name="Shape 18751"/>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380"/>
                                  <a:pt x="39510" y="54769"/>
                                </a:cubicBezTo>
                                <a:cubicBezTo>
                                  <a:pt x="36009" y="56555"/>
                                  <a:pt x="32364" y="57150"/>
                                  <a:pt x="28575" y="57150"/>
                                </a:cubicBezTo>
                                <a:cubicBezTo>
                                  <a:pt x="24786" y="57150"/>
                                  <a:pt x="21141" y="56555"/>
                                  <a:pt x="17640" y="54967"/>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615" style="width:4.5pt;height:52.5pt;position:absolute;mso-position-horizontal-relative:text;mso-position-horizontal:absolute;margin-left:16.5pt;mso-position-vertical-relative:text;margin-top:2.73438pt;" coordsize="571,6667">
                <v:shape id="Shape 18743" style="position:absolute;width:571;height:571;left:0;top:0;" coordsize="57150,57150" path="m28575,0c32364,0,36009,794,39510,2183c43011,3572,46101,5556,48781,8334c51460,10914,53525,14089,54975,17661c56425,21034,57150,24805,57150,28575c57150,32345,56425,36116,54975,39489c53525,43061,51460,46236,48781,48816c46101,51594,43011,53578,39510,54967c36009,56555,32364,57150,28575,57150c24786,57150,21141,56555,17640,54967c14139,53578,11049,51594,8369,48816c5690,46236,3625,43061,2175,39489c725,36116,0,32345,0,28575c0,24805,725,21034,2175,17661c3625,14089,5690,10914,8369,8334c11049,5556,14139,3572,17640,2183c21141,794,24786,0,28575,0x">
                  <v:stroke weight="0pt" endcap="flat" joinstyle="miter" miterlimit="10" on="false" color="#000000" opacity="0"/>
                  <v:fill on="true" color="#333333"/>
                </v:shape>
                <v:shape id="Shape 18745" style="position:absolute;width:571;height:571;left:0;top:1524;" coordsize="57150,57150" path="m28575,0c32364,0,36009,794,39510,2183c43011,3572,46101,5556,48781,8334c51460,10914,53525,14089,54975,17661c56425,21034,57150,24805,57150,28575c57150,32345,56425,35917,54975,39291c53525,42863,51460,46038,48781,48816c46101,51395,43011,53578,39510,54769c36009,56356,32364,57150,28575,57150c24786,57150,21141,56356,17640,54769c14139,53578,11049,51395,8369,48816c5690,46038,3625,42863,2175,39291c725,35917,0,32345,0,28575c0,24805,725,21034,2175,17661c3625,14089,5690,10914,8369,8334c11049,5556,14139,3572,17640,2183c21141,794,24786,0,28575,0x">
                  <v:stroke weight="0pt" endcap="flat" joinstyle="miter" miterlimit="10" on="false" color="#000000" opacity="0"/>
                  <v:fill on="true" color="#333333"/>
                </v:shape>
                <v:shape id="Shape 18747" style="position:absolute;width:571;height:571;left:0;top:3048;" coordsize="57150,57150" path="m28575,0c32364,0,36009,794,39510,2183c43011,3572,46101,5556,48781,8334c51460,10914,53525,14089,54975,17661c56425,21034,57150,24805,57150,28575c57150,32345,56425,36116,54975,39489c53525,42863,51460,45839,48781,48816c46101,51395,43011,53578,39510,54769c36009,56555,32364,57150,28575,57150c24786,57150,21141,56555,17640,54967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8749" style="position:absolute;width:571;height:571;left:0;top:4572;" coordsize="57150,57150" path="m28575,0c32364,0,36009,794,39510,2183c43011,3572,46101,5556,48781,8334c51460,10914,53525,14089,54975,17661c56425,21034,57150,24805,57150,28575c57150,32345,56425,35917,54975,39291c53525,42863,51460,45839,48781,48816c46101,51395,43011,53578,39510,54769c36009,56356,32364,57150,28575,57150c24786,57150,21141,56356,17640,54769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8751" style="position:absolute;width:571;height:571;left:0;top:6096;" coordsize="57150,57150" path="m28575,0c32364,0,36009,794,39510,2183c43011,3572,46101,5556,48781,8334c51460,10914,53525,14089,54975,17661c56425,21034,57150,24805,57150,28575c57150,32345,56425,36116,54975,39489c53525,42863,51460,45839,48781,48816c46101,51197,43011,53380,39510,54769c36009,56555,32364,57150,28575,57150c24786,57150,21141,56555,17640,54967c14139,53380,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w10:wrap type="square"/>
              </v:group>
            </w:pict>
          </mc:Fallback>
        </mc:AlternateContent>
      </w:r>
      <w:r>
        <w:t>диагностика впервые выявленного СД 2-го типа и подбор лечения; ведение регистра пациентов с СД;</w:t>
      </w:r>
    </w:p>
    <w:p w:rsidR="008E3F15" w:rsidRDefault="005F449A">
      <w:pPr>
        <w:ind w:left="340" w:right="268"/>
      </w:pPr>
      <w:r>
        <w:t>коррекция лечения при неэффективности лекарственных препаратов; индивидуальный подбор инсулинотерапии;</w:t>
      </w:r>
    </w:p>
    <w:p w:rsidR="008E3F15" w:rsidRDefault="005F449A">
      <w:pPr>
        <w:ind w:left="340" w:right="15"/>
      </w:pPr>
      <w:r>
        <w:t>лечение хронических осложнений и ассоциированных заболеваний (ХБП, невропатия, непролиферативная ретинопатия);</w:t>
      </w:r>
    </w:p>
    <w:p w:rsidR="008E3F15" w:rsidRDefault="005F449A">
      <w:pPr>
        <w:spacing w:after="179"/>
        <w:ind w:left="-8" w:right="2405" w:firstLine="600"/>
      </w:pPr>
      <w:r>
        <w:t xml:space="preserve">обучение пациентов с СД, проведение занятий в школах. </w:t>
      </w:r>
      <w:r>
        <w:rPr>
          <w:i/>
        </w:rPr>
        <w:t>Показания к госпитализации:</w:t>
      </w:r>
    </w:p>
    <w:p w:rsidR="008E3F15" w:rsidRDefault="005F449A">
      <w:pPr>
        <w:spacing w:after="179"/>
        <w:ind w:left="340" w:right="1939"/>
      </w:pPr>
      <w:r>
        <w:rPr>
          <w:rFonts w:ascii="Calibri" w:eastAsia="Calibri" w:hAnsi="Calibri" w:cs="Calibri"/>
          <w:noProof/>
          <w:color w:val="000000"/>
          <w:sz w:val="22"/>
        </w:rPr>
        <mc:AlternateContent>
          <mc:Choice Requires="wpg">
            <w:drawing>
              <wp:anchor distT="0" distB="0" distL="114300" distR="114300" simplePos="0" relativeHeight="251898880"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15970" name="Group 315970"/>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18774" name="Shape 1877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3061"/>
                                  <a:pt x="51460" y="46236"/>
                                  <a:pt x="48781" y="48816"/>
                                </a:cubicBezTo>
                                <a:cubicBezTo>
                                  <a:pt x="46101" y="51594"/>
                                  <a:pt x="43011" y="53578"/>
                                  <a:pt x="39510" y="54967"/>
                                </a:cubicBezTo>
                                <a:cubicBezTo>
                                  <a:pt x="36009" y="56555"/>
                                  <a:pt x="32364" y="57150"/>
                                  <a:pt x="28575" y="57150"/>
                                </a:cubicBezTo>
                                <a:cubicBezTo>
                                  <a:pt x="24786" y="57150"/>
                                  <a:pt x="21141" y="56555"/>
                                  <a:pt x="17640" y="54967"/>
                                </a:cubicBezTo>
                                <a:cubicBezTo>
                                  <a:pt x="14139" y="53578"/>
                                  <a:pt x="11049" y="51594"/>
                                  <a:pt x="8369" y="48816"/>
                                </a:cubicBezTo>
                                <a:cubicBezTo>
                                  <a:pt x="5690" y="46236"/>
                                  <a:pt x="3625" y="43061"/>
                                  <a:pt x="2175" y="39489"/>
                                </a:cubicBezTo>
                                <a:cubicBezTo>
                                  <a:pt x="725" y="36116"/>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77" name="Shape 1877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3061"/>
                                  <a:pt x="51460" y="46236"/>
                                  <a:pt x="48781" y="48816"/>
                                </a:cubicBezTo>
                                <a:cubicBezTo>
                                  <a:pt x="46101" y="51594"/>
                                  <a:pt x="43011" y="53578"/>
                                  <a:pt x="39510" y="54967"/>
                                </a:cubicBezTo>
                                <a:cubicBezTo>
                                  <a:pt x="36009" y="56555"/>
                                  <a:pt x="32364" y="57150"/>
                                  <a:pt x="28575" y="57150"/>
                                </a:cubicBezTo>
                                <a:cubicBezTo>
                                  <a:pt x="24786" y="57150"/>
                                  <a:pt x="21141" y="56555"/>
                                  <a:pt x="17640" y="54967"/>
                                </a:cubicBezTo>
                                <a:cubicBezTo>
                                  <a:pt x="14139" y="53578"/>
                                  <a:pt x="11049" y="51594"/>
                                  <a:pt x="8369" y="48816"/>
                                </a:cubicBezTo>
                                <a:cubicBezTo>
                                  <a:pt x="5690" y="46236"/>
                                  <a:pt x="3625" y="43061"/>
                                  <a:pt x="2175" y="39489"/>
                                </a:cubicBezTo>
                                <a:cubicBezTo>
                                  <a:pt x="725" y="36116"/>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79" name="Shape 18779"/>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970" style="width:4.5pt;height:40.5pt;position:absolute;mso-position-horizontal-relative:text;mso-position-horizontal:absolute;margin-left:16.5pt;mso-position-vertical-relative:text;margin-top:2.73438pt;" coordsize="571,5143">
                <v:shape id="Shape 18774" style="position:absolute;width:571;height:571;left:0;top:0;" coordsize="57150,57150" path="m28575,0c32364,0,36009,794,39510,2183c43011,3572,46101,5556,48781,8334c51460,10914,53525,14089,54975,17661c56425,21034,57150,24805,57150,28575c57150,32345,56425,36116,54975,39489c53525,43061,51460,46236,48781,48816c46101,51594,43011,53578,39510,54967c36009,56555,32364,57150,28575,57150c24786,57150,21141,56555,17640,54967c14139,53578,11049,51594,8369,48816c5690,46236,3625,43061,2175,39489c725,36116,0,32345,0,28575c0,24805,725,21034,2175,17661c3625,14089,5690,10914,8369,8334c11049,5556,14139,3572,17640,2183c21141,794,24786,0,28575,0x">
                  <v:stroke weight="0pt" endcap="flat" joinstyle="miter" miterlimit="10" on="false" color="#000000" opacity="0"/>
                  <v:fill on="true" color="#333333"/>
                </v:shape>
                <v:shape id="Shape 18777" style="position:absolute;width:571;height:571;left:0;top:3048;" coordsize="57150,57150" path="m28575,0c32364,0,36009,794,39510,2183c43011,3572,46101,5556,48781,8334c51460,10914,53525,14089,54975,17661c56425,21034,57150,24805,57150,28575c57150,32345,56425,36116,54975,39489c53525,43061,51460,46236,48781,48816c46101,51594,43011,53578,39510,54967c36009,56555,32364,57150,28575,57150c24786,57150,21141,56555,17640,54967c14139,53578,11049,51594,8369,48816c5690,46236,3625,43061,2175,39489c725,36116,0,32345,0,28575c0,24805,725,21034,2175,17661c3625,14089,5690,10914,8369,8334c11049,5556,14139,3572,17640,2183c21141,794,24786,0,28575,0x">
                  <v:stroke weight="0pt" endcap="flat" joinstyle="miter" miterlimit="10" on="false" color="#000000" opacity="0"/>
                  <v:fill on="true" color="#333333"/>
                </v:shape>
                <v:shape id="Shape 18779" style="position:absolute;width:571;height:571;left:0;top:4572;" coordsize="57150,57150" path="m28575,0c32364,0,36009,794,39510,2183c43011,3572,46101,5556,48781,8334c51460,10914,53525,14089,54975,17661c56425,21034,57150,24805,57150,28575c57150,32345,56425,35917,54975,39291c53525,42863,51460,46038,48781,48816c46101,51395,43011,53578,39510,54769c36009,56356,32364,57150,28575,57150c24786,57150,21141,56356,17640,54769c14139,53578,11049,51395,8369,48816c5690,46038,3625,42863,2175,39291c725,35917,0,32345,0,28575c0,24805,725,21034,2175,17661c3625,14089,5690,10914,8369,8334c11049,5556,14139,3572,17640,2183c21141,794,24786,0,28575,0x">
                  <v:stroke weight="0pt" endcap="flat" joinstyle="miter" miterlimit="10" on="false" color="#000000" opacity="0"/>
                  <v:fill on="true" color="#333333"/>
                </v:shape>
                <w10:wrap type="square"/>
              </v:group>
            </w:pict>
          </mc:Fallback>
        </mc:AlternateContent>
      </w:r>
      <w:r>
        <w:t>выраженная декомпенсация углеводного обмена, требующая перевод</w:t>
      </w:r>
      <w:r>
        <w:t>а на инсулинотерапию; тяжелый кетоацидоз или кома; прогрессирование осложнений.</w:t>
      </w:r>
    </w:p>
    <w:p w:rsidR="008E3F15" w:rsidRDefault="005F449A">
      <w:pPr>
        <w:spacing w:after="200"/>
        <w:ind w:left="2" w:right="274"/>
      </w:pPr>
      <w:r>
        <w:t>Диагноз СД у пациентов, поступивших в стационар, должен быть обязательно отмечен в клиническом диагнозе. Рекомендованы следующие подходы для контроля гипергликемии (ADA; Америк</w:t>
      </w:r>
      <w:r>
        <w:t>анский колледж терапевтов; Endocrine Society).</w:t>
      </w:r>
    </w:p>
    <w:p w:rsidR="008E3F15" w:rsidRDefault="005F449A">
      <w:pPr>
        <w:ind w:left="600" w:right="628"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971" name="Group 31597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784" name="Shape 1878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971" style="width:4.5pt;height:4.5pt;mso-position-horizontal-relative:char;mso-position-vertical-relative:line" coordsize="571,571">
                <v:shape id="Shape 18784" style="position:absolute;width:571;height:571;left:0;top:0;" coordsize="57150,57150" path="m28575,0c32364,0,36009,794,39510,2183c43011,3572,46101,5556,48781,8334c51460,10716,53525,13891,54975,17463c56425,21034,57150,24805,57150,28575c57150,32345,56425,35917,54975,39291c53525,42863,51460,45839,48781,48816c46101,51197,43011,53380,39510,54769c36009,56158,32364,57150,28575,57150c24786,57150,21141,56158,17640,54769c14139,53380,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v:group>
            </w:pict>
          </mc:Fallback>
        </mc:AlternateContent>
      </w:r>
      <w:r>
        <w:t xml:space="preserve"> Госпитализированным пациентам с установленным диагнозом СД или гипергликемией &gt;7,8 ммоль/л показан тест на HbA</w:t>
      </w:r>
      <w:r>
        <w:rPr>
          <w:sz w:val="31"/>
          <w:vertAlign w:val="subscript"/>
        </w:rPr>
        <w:t>1</w:t>
      </w:r>
      <w:r>
        <w:rPr>
          <w:sz w:val="20"/>
        </w:rPr>
        <w:t>c</w:t>
      </w:r>
      <w:r>
        <w:t>, если это не было сделано в предшествующие 2–3 мес.</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972" name="Group 31597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790" name="Shape 18790"/>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972" style="width:4.5pt;height:4.5pt;mso-position-horizontal-relative:char;mso-position-vertical-relative:line" coordsize="571,571">
                <v:shape id="Shape 18790" style="position:absolute;width:571;height:571;left:0;top:0;" coordsize="57150,57150" path="m28575,0c32364,0,36009,595,39510,1984c43011,3572,46101,5556,48781,8334c51460,10914,53525,14089,54975,17463c56425,20836,57150,24606,57150,28575c57150,32345,56425,35917,54975,39489c53525,42863,51460,45839,48781,48816c46101,51197,43011,53380,39510,54769c36009,56356,32364,57150,28575,57150c24786,57150,21141,56356,17640,54967c14139,53380,11049,51197,8369,48816c5690,45839,3625,42863,2175,39291c725,35917,0,32345,0,28575c0,24606,725,20836,2175,17463c3625,14089,5690,10914,8369,8334c11049,5556,14139,3572,17640,1984c21141,595,24786,0,28575,0x">
                  <v:stroke weight="0pt" endcap="flat" joinstyle="miter" miterlimit="10" on="false" color="#000000" opacity="0"/>
                  <v:fill on="true" color="#333333"/>
                </v:shape>
              </v:group>
            </w:pict>
          </mc:Fallback>
        </mc:AlternateContent>
      </w:r>
      <w:r>
        <w:t xml:space="preserve"> Для пациентов с некритическим состоянием рекомендуется целевой уровень гликемии натощак &lt;7,8 ммоль/л и случайной гликемии &lt;10,0 ммоль/л. При некритических состояниях предпочтительнее подкожное введение инсулина.</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899904"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15973" name="Group 315973"/>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8794" name="Shape 1879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288"/>
                                  <a:pt x="54975" y="17661"/>
                                </a:cubicBezTo>
                                <a:cubicBezTo>
                                  <a:pt x="56425" y="21034"/>
                                  <a:pt x="57150" y="24805"/>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617"/>
                                </a:cubicBezTo>
                                <a:cubicBezTo>
                                  <a:pt x="5690" y="45839"/>
                                  <a:pt x="3625" y="42863"/>
                                  <a:pt x="2175" y="39291"/>
                                </a:cubicBezTo>
                                <a:cubicBezTo>
                                  <a:pt x="725" y="35719"/>
                                  <a:pt x="0" y="32147"/>
                                  <a:pt x="0" y="28575"/>
                                </a:cubicBezTo>
                                <a:cubicBezTo>
                                  <a:pt x="0" y="24805"/>
                                  <a:pt x="725" y="21034"/>
                                  <a:pt x="2175" y="17661"/>
                                </a:cubicBezTo>
                                <a:cubicBezTo>
                                  <a:pt x="3625" y="14288"/>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797" name="Shape 1879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288"/>
                                  <a:pt x="54975" y="17661"/>
                                </a:cubicBezTo>
                                <a:cubicBezTo>
                                  <a:pt x="56425" y="21034"/>
                                  <a:pt x="57150" y="24805"/>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617"/>
                                </a:cubicBezTo>
                                <a:cubicBezTo>
                                  <a:pt x="5690" y="45839"/>
                                  <a:pt x="3625" y="42863"/>
                                  <a:pt x="2175" y="39291"/>
                                </a:cubicBezTo>
                                <a:cubicBezTo>
                                  <a:pt x="725" y="35719"/>
                                  <a:pt x="0" y="32147"/>
                                  <a:pt x="0" y="28575"/>
                                </a:cubicBezTo>
                                <a:cubicBezTo>
                                  <a:pt x="0" y="24805"/>
                                  <a:pt x="725" y="21034"/>
                                  <a:pt x="2175" y="17661"/>
                                </a:cubicBezTo>
                                <a:cubicBezTo>
                                  <a:pt x="3625" y="14288"/>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5973" style="width:4.5pt;height:28.5pt;position:absolute;mso-position-horizontal-relative:text;mso-position-horizontal:absolute;margin-left:16.5pt;mso-position-vertical-relative:text;margin-top:2.73438pt;" coordsize="571,3619">
                <v:shape id="Shape 18794" style="position:absolute;width:571;height:571;left:0;top:0;" coordsize="57150,57150" path="m28575,0c32364,0,36009,794,39510,2183c43011,3572,46101,5755,48781,8334c51460,11113,53525,14288,54975,17661c56425,21034,57150,24805,57150,28575c57150,32147,56425,35719,54975,39291c53525,42863,51460,45839,48781,48617c46101,51197,43011,53380,39510,54769c36009,56158,32364,57150,28575,57150c24786,57150,21141,56158,17640,54769c14139,53380,11049,51197,8369,48617c5690,45839,3625,42863,2175,39291c725,35719,0,32147,0,28575c0,24805,725,21034,2175,17661c3625,14288,5690,11113,8369,8334c11049,5755,14139,3572,17640,2183c21141,794,24786,0,28575,0x">
                  <v:stroke weight="0pt" endcap="flat" joinstyle="miter" miterlimit="10" on="false" color="#000000" opacity="0"/>
                  <v:fill on="true" color="#333333"/>
                </v:shape>
                <v:shape id="Shape 18797" style="position:absolute;width:571;height:571;left:0;top:3048;" coordsize="57150,57150" path="m28575,0c32364,0,36009,794,39510,2183c43011,3572,46101,5755,48781,8334c51460,11113,53525,14288,54975,17661c56425,21034,57150,24805,57150,28575c57150,32147,56425,35719,54975,39291c53525,42863,51460,45839,48781,48617c46101,51197,43011,53380,39510,54769c36009,56158,32364,57150,28575,57150c24786,57150,21141,56158,17640,54769c14139,53380,11049,51197,8369,48617c5690,45839,3625,42863,2175,39291c725,35719,0,32147,0,28575c0,24805,725,21034,2175,17661c3625,14288,5690,11113,8369,8334c11049,5755,14139,3572,17640,2183c21141,794,24786,0,28575,0x">
                  <v:stroke weight="0pt" endcap="flat" joinstyle="miter" miterlimit="10" on="false" color="#000000" opacity="0"/>
                  <v:fill on="true" color="#333333"/>
                </v:shape>
                <w10:wrap type="square"/>
              </v:group>
            </w:pict>
          </mc:Fallback>
        </mc:AlternateContent>
      </w:r>
      <w:r>
        <w:t>Более жесткий контроль возможен у стабильн</w:t>
      </w:r>
      <w:r>
        <w:t>ых пациентов с предшествующим хорошим контролем гликемии.</w:t>
      </w:r>
    </w:p>
    <w:p w:rsidR="008E3F15" w:rsidRDefault="005F449A">
      <w:pPr>
        <w:ind w:left="340" w:right="15"/>
      </w:pPr>
      <w:r>
        <w:t>Пациентам с коматозными гипергликемическими состояниями, клиническим кетоацидозом назначается внутривенная инсулинотерапия, и у большинства пациентов целевой уровень гликемии составляет 7–10 ммоль/л</w:t>
      </w:r>
      <w:r>
        <w:t>. За 1–2 ч до прекращения инфузии инсулина назначается подкожное введение инсулина.</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974" name="Group 31597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802" name="Shape 18802"/>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555"/>
                                  <a:pt x="32364" y="57150"/>
                                  <a:pt x="28575" y="57150"/>
                                </a:cubicBezTo>
                                <a:cubicBezTo>
                                  <a:pt x="24786" y="57150"/>
                                  <a:pt x="21141" y="56555"/>
                                  <a:pt x="17640" y="54967"/>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974" style="width:4.5pt;height:4.5pt;mso-position-horizontal-relative:char;mso-position-vertical-relative:line" coordsize="571,571">
                <v:shape id="Shape 18802" style="position:absolute;width:571;height:571;left:0;top:0;" coordsize="57150,57150" path="m28575,0c32364,0,36009,794,39510,2183c43011,3572,46101,5556,48781,8334c51460,10914,53525,14089,54975,17661c56425,21034,57150,24805,57150,28575c57150,32345,56425,35917,54975,39291c53525,42863,51460,45839,48781,48816c46101,51395,43011,53578,39510,54769c36009,56555,32364,57150,28575,57150c24786,57150,21141,56555,17640,54967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group>
            </w:pict>
          </mc:Fallback>
        </mc:AlternateContent>
      </w:r>
      <w:r>
        <w:t xml:space="preserve"> При крайне тяжелых состояниях, низкой ожидаемой продолжительности жизни, высоком риске гипогликемии может быть целесообразен менее жесткий контроль гликемии (&lt;11,1 ммоль/</w:t>
      </w:r>
      <w:r>
        <w:t>л).</w:t>
      </w:r>
    </w:p>
    <w:p w:rsidR="008E3F15" w:rsidRDefault="005F449A">
      <w:pPr>
        <w:spacing w:after="344"/>
        <w:ind w:left="600" w:right="490"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15975" name="Group 31597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8806" name="Shape 18806"/>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15975" style="width:4.5pt;height:4.5pt;mso-position-horizontal-relative:char;mso-position-vertical-relative:line" coordsize="571,571">
                <v:shape id="Shape 18806" style="position:absolute;width:571;height:571;left:0;top:0;"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716,8369,8334c11049,5358,14139,3572,17640,2183c21141,794,24786,0,28575,0x">
                  <v:stroke weight="0pt" endcap="flat" joinstyle="miter" miterlimit="10" on="false" color="#000000" opacity="0"/>
                  <v:fill on="true" color="#333333"/>
                </v:shape>
              </v:group>
            </w:pict>
          </mc:Fallback>
        </mc:AlternateContent>
      </w:r>
      <w:r>
        <w:t xml:space="preserve"> Мониторинг гликемии показан пациентам без СД с высоким риском гипергликемии, включая высокие дозы глюкокортикоидов, назначение энтерального или парентерального питания, другие лекарственные препараты (октреотид, иммунодепрессанты и т.д.). В случаях с</w:t>
      </w:r>
      <w:r>
        <w:t>тойкой вторичной гипергликемии проводится лечение, аналогичное СД.</w:t>
      </w:r>
    </w:p>
    <w:p w:rsidR="008E3F15" w:rsidRDefault="005F449A">
      <w:pPr>
        <w:pStyle w:val="Heading1"/>
        <w:ind w:left="2"/>
      </w:pPr>
      <w:r>
        <w:t>Часть II. Коморбидные болезни</w:t>
      </w:r>
    </w:p>
    <w:p w:rsidR="008E3F15" w:rsidRDefault="005F449A">
      <w:pPr>
        <w:ind w:left="2" w:right="234"/>
      </w:pPr>
      <w:r>
        <w:t>Следует отметить, что интенсивный контроль гипергликемии в палате интенсивной терапии с достижением уровня 4,5–6,0 ммоль/л привел к повышению смертности по сра</w:t>
      </w:r>
      <w:r>
        <w:t>внению с либеральным контролем (≤10 ммоль/л) в рандомизированном исследовании NICE-SUGAR. Гипергликемия &gt;10 ммоль/л ассоциируется с повышением смертности по сравнению с уровнем 4,4–7,8 ммоль/л у пациентов в палате интенсивной терапии с исходным уровнем HbA</w:t>
      </w:r>
      <w:r>
        <w:rPr>
          <w:sz w:val="31"/>
          <w:vertAlign w:val="subscript"/>
        </w:rPr>
        <w:t>1</w:t>
      </w:r>
      <w:r>
        <w:rPr>
          <w:sz w:val="20"/>
        </w:rPr>
        <w:t>c</w:t>
      </w:r>
      <w:r>
        <w:t xml:space="preserve"> ≤6,5% и снижением смертности при исходном уровне HbA</w:t>
      </w:r>
      <w:r>
        <w:rPr>
          <w:sz w:val="31"/>
          <w:vertAlign w:val="subscript"/>
        </w:rPr>
        <w:t>1</w:t>
      </w:r>
      <w:r>
        <w:rPr>
          <w:sz w:val="20"/>
        </w:rPr>
        <w:t>c</w:t>
      </w:r>
      <w:r>
        <w:t xml:space="preserve"> ≥8%, что коррелирует с частотой абсолютной и относительной гипогликемии (Schwartz M. et al., 2023; </w:t>
      </w:r>
      <w:r>
        <w:rPr>
          <w:b/>
        </w:rPr>
        <w:t>рис. 16.6</w:t>
      </w:r>
      <w:r>
        <w:t>).</w:t>
      </w:r>
    </w:p>
    <w:p w:rsidR="008E3F15" w:rsidRDefault="005F449A">
      <w:pPr>
        <w:spacing w:after="65" w:line="259" w:lineRule="auto"/>
        <w:ind w:left="0" w:right="0" w:firstLine="0"/>
      </w:pPr>
      <w:r>
        <w:rPr>
          <w:noProof/>
        </w:rPr>
        <w:drawing>
          <wp:inline distT="0" distB="0" distL="0" distR="0">
            <wp:extent cx="5057775" cy="4114800"/>
            <wp:effectExtent l="0" t="0" r="0" b="0"/>
            <wp:docPr id="18844" name="Picture 18844"/>
            <wp:cNvGraphicFramePr/>
            <a:graphic xmlns:a="http://schemas.openxmlformats.org/drawingml/2006/main">
              <a:graphicData uri="http://schemas.openxmlformats.org/drawingml/2006/picture">
                <pic:pic xmlns:pic="http://schemas.openxmlformats.org/drawingml/2006/picture">
                  <pic:nvPicPr>
                    <pic:cNvPr id="18844" name="Picture 18844"/>
                    <pic:cNvPicPr/>
                  </pic:nvPicPr>
                  <pic:blipFill>
                    <a:blip r:embed="rId164"/>
                    <a:stretch>
                      <a:fillRect/>
                    </a:stretch>
                  </pic:blipFill>
                  <pic:spPr>
                    <a:xfrm>
                      <a:off x="0" y="0"/>
                      <a:ext cx="5057775" cy="4114800"/>
                    </a:xfrm>
                    <a:prstGeom prst="rect">
                      <a:avLst/>
                    </a:prstGeom>
                  </pic:spPr>
                </pic:pic>
              </a:graphicData>
            </a:graphic>
          </wp:inline>
        </w:drawing>
      </w:r>
    </w:p>
    <w:p w:rsidR="008E3F15" w:rsidRDefault="005F449A">
      <w:pPr>
        <w:spacing w:after="359"/>
        <w:ind w:left="2" w:right="15"/>
      </w:pPr>
      <w:r>
        <w:rPr>
          <w:b/>
        </w:rPr>
        <w:t xml:space="preserve">Рис. 16.6. </w:t>
      </w:r>
      <w:r>
        <w:t>Связь смертности, догоспитальной гликемии и контроля гипергликемии в палате интенсивной терапии (Krinsley J. et al., 2020)</w:t>
      </w:r>
    </w:p>
    <w:p w:rsidR="008E3F15" w:rsidRDefault="005F449A">
      <w:pPr>
        <w:pStyle w:val="Heading1"/>
        <w:ind w:left="2"/>
      </w:pPr>
      <w:r>
        <w:t>Часть II. Коморбидные болезни</w:t>
      </w:r>
    </w:p>
    <w:p w:rsidR="008E3F15" w:rsidRDefault="005F449A">
      <w:pPr>
        <w:spacing w:after="31"/>
        <w:ind w:left="2" w:right="15"/>
      </w:pPr>
      <w:r>
        <w:t>Осложнения</w:t>
      </w:r>
    </w:p>
    <w:p w:rsidR="008E3F15" w:rsidRDefault="005F449A">
      <w:pPr>
        <w:ind w:left="2" w:right="15"/>
      </w:pPr>
      <w:r>
        <w:t>Длительное течение СД 2-го типа часто приводит к развитию микрососудистых и сердечнососудист</w:t>
      </w:r>
      <w:r>
        <w:t>ых осложнений.</w:t>
      </w:r>
    </w:p>
    <w:p w:rsidR="008E3F15" w:rsidRDefault="005F449A">
      <w:pPr>
        <w:ind w:left="2" w:right="102"/>
      </w:pPr>
      <w:r>
        <w:t>Шведскими исследователями выделены подтвержденные независимыми исследованиями подгруппы СД 2-го типа, различающиеся темпом прогрессирования и частотой осложнений: выраженный инсулинодефицитный, выраженный инсулинорезистентный, легкий, связан</w:t>
      </w:r>
      <w:r>
        <w:t>ный с ожирением, легкий, связанный с возрастом (Ahlqvist E. et al., 2018; Dennis J. et al., 2019; Pigeyre M. et al., 2022). У пациентов с выраженным инсулинорезистентным СД чаще развивается нефропатия, а при выраженном инсулинодефицитном — ретинопатия.</w:t>
      </w:r>
    </w:p>
    <w:p w:rsidR="008E3F15" w:rsidRDefault="005F449A">
      <w:pPr>
        <w:pStyle w:val="Heading2"/>
        <w:ind w:left="2"/>
      </w:pPr>
      <w:r>
        <w:t>Диа</w:t>
      </w:r>
      <w:r>
        <w:t>бетическая ретинопатия Классификация</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900928"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25715" name="Group 325715"/>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8860" name="Shape 18860"/>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233"/>
                                  <a:pt x="57150" y="25003"/>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5003"/>
                                  <a:pt x="725" y="21233"/>
                                  <a:pt x="2175" y="17661"/>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64" name="Shape 1886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489"/>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68" name="Shape 18868"/>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489"/>
                                </a:cubicBezTo>
                                <a:cubicBezTo>
                                  <a:pt x="725" y="35917"/>
                                  <a:pt x="0" y="32345"/>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5715" style="width:4.5pt;height:52.5pt;position:absolute;mso-position-horizontal-relative:text;mso-position-horizontal:absolute;margin-left:16.5pt;mso-position-vertical-relative:text;margin-top:2.73438pt;" coordsize="571,6667">
                <v:shape id="Shape 18860" style="position:absolute;width:571;height:571;left:0;top:0;" coordsize="57150,57150" path="m28575,0c32364,0,36009,794,39510,2183c43011,3572,46101,5556,48781,8334c51460,10914,53525,14089,54975,17463c56425,21233,57150,25003,57150,28575c57150,32147,56425,35719,54975,39291c53525,42863,51460,45839,48781,48816c46101,51197,43011,53380,39510,54769c36009,56158,32364,57150,28575,57150c24786,57150,21141,56158,17640,54769c14139,53380,11049,51197,8369,48816c5690,45839,3625,42863,2175,39291c725,35719,0,32147,0,28575c0,25003,725,21233,2175,17661c3625,14089,5690,10914,8369,8334c11049,5556,14139,3572,17640,1984c21141,595,24786,0,28575,0x">
                  <v:stroke weight="0pt" endcap="flat" joinstyle="miter" miterlimit="10" on="false" color="#000000" opacity="0"/>
                  <v:fill on="true" color="#333333"/>
                </v:shape>
                <v:shape id="Shape 18864" style="position:absolute;width:571;height:571;left:0;top:3048;" coordsize="57150,57150" path="m28575,0c32364,0,36009,794,39510,2183c43011,3572,46101,5556,48781,8334c51460,10914,53525,14089,54975,17463c56425,21034,57150,24805,57150,28575c57150,32345,56425,35917,54975,39489c53525,42863,51460,45839,48781,48816c46101,51197,43011,53380,39510,54769c36009,56158,32364,57150,28575,57150c24786,57150,21141,56158,17640,54769c14139,53380,11049,51197,8369,48816c5690,45839,3625,42863,2175,39489c725,35917,0,32345,0,28575c0,24805,725,21034,2175,17661c3625,14089,5690,10914,8369,8334c11049,5556,14139,3572,17640,1984c21141,595,24786,0,28575,0x">
                  <v:stroke weight="0pt" endcap="flat" joinstyle="miter" miterlimit="10" on="false" color="#000000" opacity="0"/>
                  <v:fill on="true" color="#333333"/>
                </v:shape>
                <v:shape id="Shape 18868" style="position:absolute;width:571;height:571;left:0;top:6096;" coordsize="57150,57150" path="m28575,0c32364,0,36009,794,39510,2183c43011,3572,46101,5556,48781,8334c51460,10716,53525,13891,54975,17463c56425,20836,57150,24606,57150,28575c57150,32345,56425,35917,54975,39489c53525,42863,51460,45839,48781,48816c46101,51197,43011,53380,39510,54769c36009,56158,32364,57150,28575,57150c24786,57150,21141,56158,17640,54769c14139,53380,11049,51197,8369,48816c5690,45839,3625,42863,2175,39489c725,35917,0,32345,0,28575c0,24606,725,20836,2175,17463c3625,13891,5690,10716,8369,8334c11049,5556,14139,3572,17640,1984c21141,595,24786,0,28575,0x">
                  <v:stroke weight="0pt" endcap="flat" joinstyle="miter" miterlimit="10" on="false" color="#000000" opacity="0"/>
                  <v:fill on="true" color="#333333"/>
                </v:shape>
                <w10:wrap type="square"/>
              </v:group>
            </w:pict>
          </mc:Fallback>
        </mc:AlternateContent>
      </w:r>
      <w:r>
        <w:rPr>
          <w:i/>
        </w:rPr>
        <w:t xml:space="preserve">Непролиферативная: </w:t>
      </w:r>
      <w:r>
        <w:t>микроаневризмы, геморрагии, мелкие интраретинальные кровоизлияния, твердые и мягкие экссудаты, отек сетчатки.</w:t>
      </w:r>
    </w:p>
    <w:p w:rsidR="008E3F15" w:rsidRDefault="005F449A">
      <w:pPr>
        <w:ind w:left="340" w:right="15"/>
      </w:pPr>
      <w:r>
        <w:rPr>
          <w:i/>
        </w:rPr>
        <w:t xml:space="preserve">Препролиферативная: </w:t>
      </w:r>
      <w:r>
        <w:t xml:space="preserve">множество мягких и твердых экссудатов, неравномерный калибр сосудов, </w:t>
      </w:r>
      <w:r>
        <w:t>интраретинальные микрососудистые аномалии.</w:t>
      </w:r>
    </w:p>
    <w:p w:rsidR="008E3F15" w:rsidRDefault="005F449A">
      <w:pPr>
        <w:spacing w:after="179"/>
        <w:ind w:left="340" w:right="1014"/>
      </w:pPr>
      <w:r>
        <w:rPr>
          <w:i/>
        </w:rPr>
        <w:t xml:space="preserve">Пролиферативная: </w:t>
      </w:r>
      <w:r>
        <w:t>неоваскуляризация области диска зрительного нерва и на периферии сетчатки, кровоизлияния в стекловидное тело, преретинальные кровоизлияния; осложнения: тракционная отслойка сетчатки, рубеоз радужк</w:t>
      </w:r>
      <w:r>
        <w:t>и, вторичная глаукома.</w:t>
      </w:r>
    </w:p>
    <w:p w:rsidR="008E3F15" w:rsidRDefault="005F449A">
      <w:pPr>
        <w:spacing w:after="179"/>
        <w:ind w:left="2" w:right="1120"/>
      </w:pPr>
      <w:r>
        <w:t xml:space="preserve">Диабетический макулярный отек (макулопатия) может развиваться на любой стадии диабетической ретинопатии. </w:t>
      </w:r>
      <w:r>
        <w:rPr>
          <w:b/>
        </w:rPr>
        <w:t>Диагностика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01952"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25719" name="Group 325719"/>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8877" name="Shape 18877"/>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79" name="Shape 18879"/>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81" name="Shape 18881"/>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83" name="Shape 18883"/>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617"/>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8885" name="Shape 18885"/>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617"/>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617"/>
                                </a:cubicBezTo>
                                <a:cubicBezTo>
                                  <a:pt x="5690" y="45839"/>
                                  <a:pt x="3625" y="42664"/>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5719" style="width:4.5pt;height:52.5pt;position:absolute;mso-position-horizontal-relative:text;mso-position-horizontal:absolute;margin-left:16.5pt;mso-position-vertical-relative:text;margin-top:2.73438pt;" coordsize="571,6667">
                <v:shape id="Shape 18877" style="position:absolute;width:571;height:571;left:0;top:0;" coordsize="57150,57150" path="m28575,0c32364,0,36009,794,39510,2183c43011,3572,46101,5358,48781,8334c51460,10716,53525,13891,54975,17463c56425,20836,57150,24606,57150,28575c57150,32345,56425,35917,54975,39291c53525,42863,51460,45839,48781,48816c46101,51395,43011,53578,39510,54769c36009,56356,32364,57150,28575,57150c24786,57150,21141,56356,17640,54769c14139,53578,11049,51395,8369,48816c5690,45839,3625,42863,2175,39291c725,35719,0,32345,0,28575c0,24606,725,20836,2175,17463c3625,13891,5690,10716,8369,8334c11049,5358,14139,3572,17640,2183c21141,794,24786,0,28575,0x">
                  <v:stroke weight="0pt" endcap="flat" joinstyle="miter" miterlimit="10" on="false" color="#000000" opacity="0"/>
                  <v:fill on="true" color="#333333"/>
                </v:shape>
                <v:shape id="Shape 18879" style="position:absolute;width:571;height:571;left:0;top:1524;" coordsize="57150,57150" path="m28575,0c32364,0,36009,794,39510,2183c43011,3572,46101,5556,48781,8334c51460,10716,53525,13692,54975,17463c56425,20836,57150,24606,57150,28575c57150,32147,56425,35719,54975,39291c53525,42863,51460,45839,48781,48816c46101,51197,43011,53380,39510,54769c36009,56356,32364,57150,28575,57150c24786,57150,21141,56356,17640,54769c14139,53380,11049,51197,8369,48816c5690,45839,3625,42863,2175,39291c725,35719,0,32147,0,28575c0,24606,725,20836,2175,17463c3625,13692,5690,10716,8369,8334c11049,5556,14139,3572,17640,2183c21141,794,24786,0,28575,0x">
                  <v:stroke weight="0pt" endcap="flat" joinstyle="miter" miterlimit="10" on="false" color="#000000" opacity="0"/>
                  <v:fill on="true" color="#333333"/>
                </v:shape>
                <v:shape id="Shape 18881" style="position:absolute;width:571;height:571;left:0;top:3048;" coordsize="57150,57150" path="m28575,0c32364,0,36009,794,39510,2183c43011,3572,46101,5358,48781,8334c51460,10716,53525,13891,54975,17463c56425,20836,57150,24606,57150,28575c57150,32345,56425,35917,54975,39291c53525,42863,51460,45839,48781,48816c46101,51395,43011,53578,39510,54769c36009,56356,32364,57150,28575,57150c24786,57150,21141,56356,17640,54769c14139,53578,11049,51395,8369,48816c5690,45839,3625,42863,2175,39291c725,35719,0,32345,0,28575c0,24606,725,20836,2175,17463c3625,13891,5690,10716,8369,8334c11049,5358,14139,3572,17640,2183c21141,794,24786,0,28575,0x">
                  <v:stroke weight="0pt" endcap="flat" joinstyle="miter" miterlimit="10" on="false" color="#000000" opacity="0"/>
                  <v:fill on="true" color="#333333"/>
                </v:shape>
                <v:shape id="Shape 18883" style="position:absolute;width:571;height:571;left:0;top:4572;" coordsize="57150,57150" path="m28575,0c32364,0,36009,794,39510,2183c43011,3572,46101,5556,48781,8334c51460,10716,53525,13692,54975,17463c56425,20836,57150,24606,57150,28575c57150,32147,56425,35719,54975,39291c53525,42863,51460,45839,48781,48617c46101,51197,43011,53380,39510,54769c36009,56356,32364,57150,28575,57150c24786,57150,21141,56356,17640,54769c14139,53380,11049,51197,8369,48617c5690,45839,3625,42863,2175,39291c725,35719,0,32147,0,28575c0,24606,725,20836,2175,17463c3625,13692,5690,10716,8369,8334c11049,5556,14139,3572,17640,2183c21141,794,24786,0,28575,0x">
                  <v:stroke weight="0pt" endcap="flat" joinstyle="miter" miterlimit="10" on="false" color="#000000" opacity="0"/>
                  <v:fill on="true" color="#333333"/>
                </v:shape>
                <v:shape id="Shape 18885" style="position:absolute;width:571;height:571;left:0;top:6096;" coordsize="57150,57150" path="m28575,0c32364,0,36009,794,39510,2183c43011,3572,46101,5358,48781,8334c51460,10716,53525,13891,54975,17463c56425,20836,57150,24606,57150,28575c57150,32345,56425,35917,54975,39291c53525,42863,51460,45839,48781,48617c46101,51197,43011,53380,39510,54769c36009,56356,32364,57150,28575,57150c24786,57150,21141,56356,17640,54769c14139,53380,11049,51197,8369,48617c5690,45839,3625,42664,2175,39291c725,35719,0,32345,0,28575c0,24606,725,20836,2175,17463c3625,13891,5690,10716,8369,8334c11049,5358,14139,3572,17640,2183c21141,794,24786,0,28575,0x">
                  <v:stroke weight="0pt" endcap="flat" joinstyle="miter" miterlimit="10" on="false" color="#000000" opacity="0"/>
                  <v:fill on="true" color="#333333"/>
                </v:shape>
                <w10:wrap type="square"/>
              </v:group>
            </w:pict>
          </mc:Fallback>
        </mc:AlternateContent>
      </w:r>
      <w:r>
        <w:t>Определение остроты зрения.</w:t>
      </w:r>
    </w:p>
    <w:p w:rsidR="008E3F15" w:rsidRDefault="005F449A">
      <w:pPr>
        <w:spacing w:after="31"/>
        <w:ind w:left="340" w:right="15"/>
      </w:pPr>
      <w:r>
        <w:t>Измерение внутриглазного давления.</w:t>
      </w:r>
    </w:p>
    <w:p w:rsidR="008E3F15" w:rsidRDefault="005F449A">
      <w:pPr>
        <w:spacing w:after="31"/>
        <w:ind w:left="340" w:right="15"/>
      </w:pPr>
      <w:r>
        <w:t>Прямая или обратная офтальмоскопия при расширенном з</w:t>
      </w:r>
      <w:r>
        <w:t>рачке.</w:t>
      </w:r>
    </w:p>
    <w:p w:rsidR="008E3F15" w:rsidRDefault="005F449A">
      <w:pPr>
        <w:spacing w:after="179"/>
        <w:ind w:left="340" w:right="15"/>
      </w:pPr>
      <w:r>
        <w:t>Биомикроскопия хрусталика и стекловидного тела с помощью щелевой лампы. Фотография глазного дна для скрининга.</w:t>
      </w:r>
    </w:p>
    <w:p w:rsidR="008E3F15" w:rsidRDefault="005F449A">
      <w:pPr>
        <w:pStyle w:val="Heading2"/>
        <w:ind w:left="2"/>
      </w:pPr>
      <w:r>
        <w:t>Лечение</w:t>
      </w:r>
    </w:p>
    <w:p w:rsidR="008E3F15" w:rsidRDefault="005F449A">
      <w:pPr>
        <w:spacing w:after="31"/>
        <w:ind w:left="610" w:right="15"/>
      </w:pPr>
      <w:r>
        <w:t>Интенсивное лечение гипергликемии.</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02976" behindDoc="0" locked="0" layoutInCell="1" allowOverlap="1">
                <wp:simplePos x="0" y="0"/>
                <wp:positionH relativeFrom="column">
                  <wp:posOffset>209550</wp:posOffset>
                </wp:positionH>
                <wp:positionV relativeFrom="paragraph">
                  <wp:posOffset>34727</wp:posOffset>
                </wp:positionV>
                <wp:extent cx="57150" cy="819150"/>
                <wp:effectExtent l="0" t="0" r="0" b="0"/>
                <wp:wrapSquare wrapText="bothSides"/>
                <wp:docPr id="325073" name="Group 325073"/>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18934" name="Shape 18934"/>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1034"/>
                                  <a:pt x="57150" y="24805"/>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719"/>
                                  <a:pt x="0" y="32147"/>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936" name="Shape 18936"/>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617"/>
                                </a:cubicBezTo>
                                <a:cubicBezTo>
                                  <a:pt x="5690" y="45839"/>
                                  <a:pt x="3625" y="42863"/>
                                  <a:pt x="2175" y="39291"/>
                                </a:cubicBezTo>
                                <a:cubicBezTo>
                                  <a:pt x="725" y="35719"/>
                                  <a:pt x="0" y="32147"/>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938" name="Shape 18938"/>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181"/>
                                  <a:pt x="39510" y="54769"/>
                                </a:cubicBezTo>
                                <a:cubicBezTo>
                                  <a:pt x="36009" y="56356"/>
                                  <a:pt x="32364" y="57150"/>
                                  <a:pt x="28575" y="57150"/>
                                </a:cubicBezTo>
                                <a:cubicBezTo>
                                  <a:pt x="24786" y="57150"/>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940" name="Shape 18940"/>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0836"/>
                                  <a:pt x="57150" y="24606"/>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617"/>
                                </a:cubicBezTo>
                                <a:cubicBezTo>
                                  <a:pt x="5690" y="45839"/>
                                  <a:pt x="3625" y="42863"/>
                                  <a:pt x="2175" y="39291"/>
                                </a:cubicBezTo>
                                <a:cubicBezTo>
                                  <a:pt x="725" y="35719"/>
                                  <a:pt x="0" y="32147"/>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942" name="Shape 18942"/>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356"/>
                                  <a:pt x="32364" y="57150"/>
                                  <a:pt x="28575" y="57150"/>
                                </a:cubicBezTo>
                                <a:cubicBezTo>
                                  <a:pt x="24786" y="57150"/>
                                  <a:pt x="21141" y="56356"/>
                                  <a:pt x="17640" y="54967"/>
                                </a:cubicBezTo>
                                <a:cubicBezTo>
                                  <a:pt x="14139" y="53380"/>
                                  <a:pt x="11049" y="51197"/>
                                  <a:pt x="8369" y="48617"/>
                                </a:cubicBezTo>
                                <a:cubicBezTo>
                                  <a:pt x="5690" y="45839"/>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18944" name="Shape 18944"/>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288"/>
                                  <a:pt x="54975" y="17661"/>
                                </a:cubicBezTo>
                                <a:cubicBezTo>
                                  <a:pt x="56425" y="21034"/>
                                  <a:pt x="57150" y="24805"/>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617"/>
                                </a:cubicBezTo>
                                <a:cubicBezTo>
                                  <a:pt x="5690" y="45839"/>
                                  <a:pt x="3625" y="42863"/>
                                  <a:pt x="2175" y="39291"/>
                                </a:cubicBezTo>
                                <a:cubicBezTo>
                                  <a:pt x="725" y="35719"/>
                                  <a:pt x="0" y="32147"/>
                                  <a:pt x="0" y="28575"/>
                                </a:cubicBezTo>
                                <a:cubicBezTo>
                                  <a:pt x="0" y="24805"/>
                                  <a:pt x="725" y="21034"/>
                                  <a:pt x="2175" y="17661"/>
                                </a:cubicBezTo>
                                <a:cubicBezTo>
                                  <a:pt x="3625" y="14288"/>
                                  <a:pt x="5690" y="11113"/>
                                  <a:pt x="8369" y="8334"/>
                                </a:cubicBezTo>
                                <a:cubicBezTo>
                                  <a:pt x="11049" y="57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5073" style="width:4.5pt;height:64.5pt;position:absolute;mso-position-horizontal-relative:text;mso-position-horizontal:absolute;margin-left:16.5pt;mso-position-vertical-relative:text;margin-top:2.73438pt;" coordsize="571,8191">
                <v:shape id="Shape 18934" style="position:absolute;width:571;height:571;left:0;top:0;" coordsize="57150,57150" path="m28575,0c32364,0,36009,595,39510,1984c43011,3572,46101,5556,48781,8334c51460,10716,53525,13891,54975,17264c56425,21034,57150,24805,57150,28575c57150,32147,56425,35719,54975,39291c53525,42863,51460,45839,48781,48816c46101,51197,43011,53380,39510,54769c36009,56356,32364,57150,28575,57150c24786,57150,21141,56356,17640,54967c14139,53380,11049,51197,8369,48816c5690,45839,3625,42863,2175,39291c725,35719,0,32147,0,28575c0,24805,725,21034,2175,17463c3625,13891,5690,10716,8369,8334c11049,5556,14139,3572,17640,1984c21141,595,24786,0,28575,0x">
                  <v:stroke weight="0pt" endcap="flat" joinstyle="miter" miterlimit="4" on="false" color="#000000" opacity="0"/>
                  <v:fill on="true" color="#333333"/>
                </v:shape>
                <v:shape id="Shape 18936" style="position:absolute;width:571;height:571;left:0;top:1524;" coordsize="57150,57150" path="m28575,0c32364,0,36009,794,39510,2183c43011,3572,46101,5556,48781,8334c51460,10716,53525,13891,54975,17463c56425,21034,57150,24805,57150,28575c57150,32147,56425,35719,54975,39291c53525,42863,51460,45839,48781,48617c46101,51197,43011,53380,39510,54769c36009,56158,32364,57150,28575,57150c24786,57150,21141,56158,17640,54769c14139,53380,11049,51197,8369,48617c5690,45839,3625,42863,2175,39291c725,35719,0,32147,0,28575c0,24805,725,21034,2175,17463c3625,13891,5690,10716,8369,8334c11049,5556,14139,3572,17640,1984c21141,595,24786,0,28575,0x">
                  <v:stroke weight="0pt" endcap="flat" joinstyle="miter" miterlimit="4" on="false" color="#000000" opacity="0"/>
                  <v:fill on="true" color="#333333"/>
                </v:shape>
                <v:shape id="Shape 18938" style="position:absolute;width:571;height:571;left:0;top:3048;" coordsize="57150,57150" path="m28575,0c32364,0,36009,595,39510,1984c43011,3572,46101,5556,48781,8334c51460,10914,53525,14089,54975,17463c56425,20836,57150,24606,57150,28575c57150,32147,56425,35719,54975,39291c53525,42664,51460,45839,48781,48617c46101,51197,43011,53181,39510,54769c36009,56356,32364,57150,28575,57150c24786,57150,21141,56356,17640,54967c14139,53380,11049,51197,8369,48617c5690,45839,3625,42664,2175,39291c725,35719,0,32147,0,28575c0,24606,725,20836,2175,17463c3625,14089,5690,10914,8369,8334c11049,5556,14139,3572,17640,1984c21141,595,24786,0,28575,0x">
                  <v:stroke weight="0pt" endcap="flat" joinstyle="miter" miterlimit="4" on="false" color="#000000" opacity="0"/>
                  <v:fill on="true" color="#333333"/>
                </v:shape>
                <v:shape id="Shape 18940" style="position:absolute;width:571;height:571;left:0;top:4572;" coordsize="57150,57150" path="m28575,0c32364,0,36009,794,39510,2183c43011,3572,46101,5556,48781,8334c51460,10716,53525,13891,54975,17463c56425,20836,57150,24606,57150,28575c57150,32147,56425,35719,54975,39291c53525,42863,51460,45839,48781,48617c46101,51197,43011,53380,39510,54769c36009,56158,32364,57150,28575,57150c24786,57150,21141,56158,17640,54769c14139,53380,11049,51197,8369,48617c5690,45839,3625,42863,2175,39291c725,35719,0,32147,0,28575c0,24606,725,20836,2175,17463c3625,13891,5690,10716,8369,8334c11049,5556,14139,3572,17640,1984c21141,595,24786,0,28575,0x">
                  <v:stroke weight="0pt" endcap="flat" joinstyle="miter" miterlimit="4" on="false" color="#000000" opacity="0"/>
                  <v:fill on="true" color="#333333"/>
                </v:shape>
                <v:shape id="Shape 18942" style="position:absolute;width:571;height:571;left:0;top:6096;" coordsize="57150,57150" path="m28575,0c32364,0,36009,595,39510,1984c43011,3572,46101,5556,48781,8334c51460,10914,53525,14089,54975,17463c56425,20836,57150,24606,57150,28575c57150,32345,56425,35917,54975,39489c53525,42863,51460,45839,48781,48617c46101,51197,43011,53181,39510,54769c36009,56356,32364,57150,28575,57150c24786,57150,21141,56356,17640,54967c14139,53380,11049,51197,8369,48617c5690,45839,3625,42863,2175,39291c725,35917,0,32345,0,28575c0,24606,725,20836,2175,17463c3625,14089,5690,10914,8369,8334c11049,5556,14139,3572,17640,1984c21141,595,24786,0,28575,0x">
                  <v:stroke weight="0pt" endcap="flat" joinstyle="miter" miterlimit="4" on="false" color="#000000" opacity="0"/>
                  <v:fill on="true" color="#333333"/>
                </v:shape>
                <v:shape id="Shape 18944" style="position:absolute;width:571;height:571;left:0;top:7620;" coordsize="57150,57150" path="m28575,0c32364,0,36009,794,39510,2183c43011,3572,46101,5755,48781,8334c51460,11113,53525,14288,54975,17661c56425,21034,57150,24805,57150,28575c57150,32147,56425,35719,54975,39291c53525,42863,51460,45839,48781,48617c46101,51197,43011,53380,39510,54769c36009,56158,32364,57150,28575,57150c24786,57150,21141,56158,17640,54769c14139,53380,11049,51197,8369,48617c5690,45839,3625,42863,2175,39291c725,35719,0,32147,0,28575c0,24805,725,21034,2175,17661c3625,14288,5690,11113,8369,8334c11049,5755,14139,3572,17640,2183c21141,794,24786,0,28575,0x">
                  <v:stroke weight="0pt" endcap="flat" joinstyle="miter" miterlimit="4" on="false" color="#000000" opacity="0"/>
                  <v:fill on="true" color="#333333"/>
                </v:shape>
                <w10:wrap type="square"/>
              </v:group>
            </w:pict>
          </mc:Fallback>
        </mc:AlternateContent>
      </w:r>
      <w:r>
        <w:t>Лечение дислипидемии: фибраты + статины.</w:t>
      </w:r>
    </w:p>
    <w:p w:rsidR="008E3F15" w:rsidRDefault="005F449A">
      <w:pPr>
        <w:spacing w:after="31"/>
        <w:ind w:left="340" w:right="15"/>
      </w:pPr>
      <w:r>
        <w:t>Ранибизумаб — инъекции в стекловидное тело (RISE, RIDE).</w:t>
      </w:r>
    </w:p>
    <w:p w:rsidR="008E3F15" w:rsidRDefault="005F449A">
      <w:pPr>
        <w:spacing w:after="31"/>
        <w:ind w:left="340" w:right="15"/>
      </w:pPr>
      <w:r>
        <w:t>Фарицимаб — инъекции в стекловидное тело (YOSEMITE, RHINE).</w:t>
      </w:r>
    </w:p>
    <w:p w:rsidR="008E3F15" w:rsidRDefault="005F449A">
      <w:pPr>
        <w:spacing w:after="31"/>
        <w:ind w:left="340" w:right="15"/>
      </w:pPr>
      <w:r>
        <w:t>Лазерная фотокоагуляция.</w:t>
      </w:r>
    </w:p>
    <w:p w:rsidR="008E3F15" w:rsidRDefault="005F449A">
      <w:pPr>
        <w:spacing w:after="179"/>
        <w:ind w:left="340" w:right="6622"/>
      </w:pPr>
      <w:r>
        <w:t>Криокоагуляция. Витрэктомия.</w:t>
      </w:r>
    </w:p>
    <w:p w:rsidR="008E3F15" w:rsidRDefault="005F449A">
      <w:pPr>
        <w:ind w:left="2" w:right="568"/>
      </w:pPr>
      <w:r>
        <w:t>Для лечения диабетического макулярного отека одобрены ранибизумаб и фарицимаб, представляющие антитела, связывающие эндотелиальный фактор роста сосудов VEGF-A и ангиопоэтин-2, которые усиливают патологический ангиогенез.</w:t>
      </w:r>
    </w:p>
    <w:p w:rsidR="008E3F15" w:rsidRDefault="005F449A">
      <w:pPr>
        <w:pStyle w:val="Heading2"/>
        <w:spacing w:after="0"/>
        <w:ind w:left="2"/>
      </w:pPr>
      <w:r>
        <w:t>Диабетическая болезнь почек</w:t>
      </w:r>
    </w:p>
    <w:p w:rsidR="008E3F15" w:rsidRDefault="005F449A">
      <w:pPr>
        <w:ind w:left="2" w:right="284"/>
      </w:pPr>
      <w:r>
        <w:t>Диабети</w:t>
      </w:r>
      <w:r>
        <w:t>ческая болезнь почек развивается у 20–40% пациентов с СД и является ведущей причиной терминальной почечной недостаточности (40–50% всех случаев), при которой проводятся диализ или трансплантация почки. В этой связи ежегодно проводят контроль альбуминурии и</w:t>
      </w:r>
      <w:r>
        <w:t xml:space="preserve"> рСКФ у пациентов с СД 2-го типа сразу после установления диагноза. У пациентов с диабетической дисфункцией почек отсутствие альбуминурии/протеинурии ассоциируется с медленным прогрессированием и низким риском терминальной почечной недостаточности (Koye D.</w:t>
      </w:r>
      <w:r>
        <w:t xml:space="preserve"> et al., 2018).</w:t>
      </w:r>
    </w:p>
    <w:p w:rsidR="008E3F15" w:rsidRDefault="005F449A">
      <w:pPr>
        <w:ind w:left="2" w:right="150"/>
      </w:pPr>
      <w:r>
        <w:t>Диабетическую болезнь почек рассматривают как вариант ХБП, которая определяется как повреждение или снижение функции почек в течение трех месяцев или более независимо от диагноза.</w:t>
      </w:r>
    </w:p>
    <w:p w:rsidR="008E3F15" w:rsidRDefault="005F449A">
      <w:pPr>
        <w:ind w:left="2" w:right="407"/>
      </w:pPr>
      <w:r>
        <w:t>Следует учитывать возможность у пациентов с СД наличия недиа</w:t>
      </w:r>
      <w:r>
        <w:t>бетического заболевания почек. Например, среди 620 биоптатов почек пациентов с СД только в 37% имела место изолированная диабетическая нефропатия, в 36% — недиабетические болезни почек, в остальных случаях — сочетание диабетического и недиабетического забо</w:t>
      </w:r>
      <w:r>
        <w:t>леваний почек</w:t>
      </w:r>
    </w:p>
    <w:p w:rsidR="008E3F15" w:rsidRDefault="005F449A">
      <w:pPr>
        <w:spacing w:after="31"/>
        <w:ind w:left="2" w:right="15"/>
      </w:pPr>
      <w:r>
        <w:t>(Sharma S. et al., 2013).</w:t>
      </w:r>
    </w:p>
    <w:p w:rsidR="008E3F15" w:rsidRDefault="005F449A">
      <w:pPr>
        <w:pStyle w:val="Heading2"/>
        <w:spacing w:after="0"/>
        <w:ind w:left="2"/>
      </w:pPr>
      <w:r>
        <w:t>Лечение</w:t>
      </w:r>
    </w:p>
    <w:p w:rsidR="008E3F15" w:rsidRDefault="005F449A">
      <w:pPr>
        <w:ind w:left="2" w:right="15"/>
      </w:pPr>
      <w:r>
        <w:t>иАПФ или БРА показаны всем пациентам с СД, артериальной гипертензией и альбуминурией, титровать до максимально одобренных доз. Препараты могут быть полезны у пациентов с СД и альбуминурией с нормальным АД.</w:t>
      </w:r>
    </w:p>
    <w:p w:rsidR="008E3F15" w:rsidRDefault="005F449A">
      <w:pPr>
        <w:ind w:left="2" w:right="259"/>
      </w:pPr>
      <w:r>
        <w:t>АД поддерживать на уровне ≤140/80 мм рт.ст., у пациентов с альбуминурией — ≤130/80 мм рт.ст., а при выборе антигипертензивной терапии необходимо учитывать функцию почек и уровень калия (KDIGO; ADA). Для снижения АД целесообразно ограничить потребление соли</w:t>
      </w:r>
      <w:r>
        <w:t xml:space="preserve"> до 5 г/сут (Cochrane Reviews).</w:t>
      </w:r>
    </w:p>
    <w:p w:rsidR="008E3F15" w:rsidRDefault="005F449A">
      <w:pPr>
        <w:ind w:left="2" w:right="15"/>
      </w:pPr>
      <w:r>
        <w:t>Рекомендуется поддерживать потребление белка 0,6–0,8 г/кг у пациентов без диализа (KDIGO).</w:t>
      </w:r>
    </w:p>
    <w:p w:rsidR="008E3F15" w:rsidRDefault="005F449A">
      <w:pPr>
        <w:ind w:left="2" w:right="15"/>
      </w:pPr>
      <w:r>
        <w:t>При выборе антигипергликемической терапии необходимо учитывать функцию почек как ограничитель для назначения ряда препаратов (</w:t>
      </w:r>
      <w:r>
        <w:rPr>
          <w:b/>
        </w:rPr>
        <w:t>табл. 1</w:t>
      </w:r>
      <w:r>
        <w:rPr>
          <w:b/>
        </w:rPr>
        <w:t>6.10</w:t>
      </w:r>
      <w:r>
        <w:t>).</w:t>
      </w:r>
    </w:p>
    <w:p w:rsidR="008E3F15" w:rsidRDefault="005F449A">
      <w:pPr>
        <w:spacing w:after="31"/>
        <w:ind w:left="2" w:right="15"/>
      </w:pPr>
      <w:r>
        <w:rPr>
          <w:b/>
        </w:rPr>
        <w:t xml:space="preserve">Таблица 16.10. </w:t>
      </w:r>
      <w:r>
        <w:t>Дозы препаратов при дисфункции почек (K/DOQI; ADA/EASD)</w:t>
      </w:r>
    </w:p>
    <w:tbl>
      <w:tblPr>
        <w:tblStyle w:val="TableGrid"/>
        <w:tblW w:w="10485" w:type="dxa"/>
        <w:tblInd w:w="30" w:type="dxa"/>
        <w:tblCellMar>
          <w:top w:w="80" w:type="dxa"/>
          <w:left w:w="45" w:type="dxa"/>
          <w:bottom w:w="5" w:type="dxa"/>
          <w:right w:w="42" w:type="dxa"/>
        </w:tblCellMar>
        <w:tblLook w:val="04A0" w:firstRow="1" w:lastRow="0" w:firstColumn="1" w:lastColumn="0" w:noHBand="0" w:noVBand="1"/>
      </w:tblPr>
      <w:tblGrid>
        <w:gridCol w:w="1845"/>
        <w:gridCol w:w="1845"/>
        <w:gridCol w:w="6795"/>
      </w:tblGrid>
      <w:tr w:rsidR="008E3F15">
        <w:trPr>
          <w:trHeight w:val="330"/>
        </w:trPr>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Класс</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Препараты</w:t>
            </w:r>
          </w:p>
        </w:tc>
        <w:tc>
          <w:tcPr>
            <w:tcW w:w="6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Доза в зависимости от функции почек</w:t>
            </w:r>
          </w:p>
        </w:tc>
      </w:tr>
      <w:tr w:rsidR="008E3F15">
        <w:trPr>
          <w:trHeight w:val="390"/>
        </w:trPr>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Бигуаниды</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Метформин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&lt;30 мл/мин/1,73 м</w:t>
            </w:r>
            <w:r>
              <w:rPr>
                <w:sz w:val="31"/>
                <w:vertAlign w:val="superscript"/>
              </w:rPr>
              <w:t>2</w:t>
            </w:r>
          </w:p>
        </w:tc>
      </w:tr>
      <w:tr w:rsidR="008E3F15">
        <w:trPr>
          <w:trHeight w:val="705"/>
        </w:trPr>
        <w:tc>
          <w:tcPr>
            <w:tcW w:w="184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иДПП-4</w:t>
            </w:r>
          </w:p>
        </w:tc>
        <w:tc>
          <w:tcPr>
            <w:tcW w:w="18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Ситаглиптин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50 мг при рСКФ 30–50 мл/мин/1,73 м</w:t>
            </w:r>
            <w:r>
              <w:rPr>
                <w:sz w:val="31"/>
                <w:vertAlign w:val="superscript"/>
              </w:rPr>
              <w:t>2</w:t>
            </w:r>
          </w:p>
          <w:p w:rsidR="008E3F15" w:rsidRDefault="005F449A">
            <w:pPr>
              <w:spacing w:after="0" w:line="259" w:lineRule="auto"/>
              <w:ind w:left="3" w:right="0" w:firstLine="0"/>
            </w:pPr>
            <w:r>
              <w:t>25 мг при рСКФ &lt;30 мл/мин/1,73 м</w:t>
            </w:r>
            <w:r>
              <w:rPr>
                <w:sz w:val="31"/>
                <w:vertAlign w:val="superscript"/>
              </w:rPr>
              <w:t>2</w:t>
            </w:r>
          </w:p>
        </w:tc>
      </w:tr>
      <w:tr w:rsidR="008E3F15">
        <w:trPr>
          <w:trHeight w:val="39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Вилдаглиптин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50 мг при рСКФ &lt;50 мл/мин/1,73 м</w:t>
            </w:r>
            <w:r>
              <w:rPr>
                <w:sz w:val="31"/>
                <w:vertAlign w:val="superscript"/>
              </w:rPr>
              <w:t>2</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Линаглиптин</w:t>
            </w:r>
          </w:p>
        </w:tc>
        <w:tc>
          <w:tcPr>
            <w:tcW w:w="6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Не меняется</w:t>
            </w:r>
          </w:p>
        </w:tc>
      </w:tr>
      <w:tr w:rsidR="008E3F15">
        <w:trPr>
          <w:trHeight w:val="40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Саксаглиптин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2,5 мг при рСКФ &lt;50 мл/мин/1,73 м</w:t>
            </w:r>
            <w:r>
              <w:rPr>
                <w:sz w:val="31"/>
                <w:vertAlign w:val="superscript"/>
              </w:rPr>
              <w:t>2</w:t>
            </w:r>
          </w:p>
        </w:tc>
      </w:tr>
      <w:tr w:rsidR="008E3F15">
        <w:trPr>
          <w:trHeight w:val="6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Алоглиптин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333" w:firstLine="0"/>
            </w:pPr>
            <w:r>
              <w:t>12,5 мг при рСКФ 30–60 мл/мин/1,73 м</w:t>
            </w:r>
            <w:r>
              <w:rPr>
                <w:sz w:val="31"/>
                <w:vertAlign w:val="superscript"/>
              </w:rPr>
              <w:t>2</w:t>
            </w:r>
            <w:r>
              <w:t>, 6,25 мг при рСКФ &lt;30 мл/мин/1,73 м</w:t>
            </w:r>
            <w:r>
              <w:rPr>
                <w:sz w:val="31"/>
                <w:vertAlign w:val="superscript"/>
              </w:rPr>
              <w:t>2</w:t>
            </w:r>
          </w:p>
        </w:tc>
      </w:tr>
      <w:tr w:rsidR="008E3F15">
        <w:trPr>
          <w:trHeight w:val="705"/>
        </w:trPr>
        <w:tc>
          <w:tcPr>
            <w:tcW w:w="184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иНГЛТ-2</w:t>
            </w:r>
          </w:p>
        </w:tc>
        <w:tc>
          <w:tcPr>
            <w:tcW w:w="184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6" w:right="0" w:firstLine="0"/>
              <w:jc w:val="both"/>
            </w:pPr>
            <w:r>
              <w:t>Канаглифлозин</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100 мг при рСКФ 45–60 мл/мин/1,73 м</w:t>
            </w:r>
            <w:r>
              <w:rPr>
                <w:sz w:val="31"/>
                <w:vertAlign w:val="superscript"/>
              </w:rPr>
              <w:t>2</w:t>
            </w:r>
            <w:r>
              <w:t>, не показан при рСКФ &lt;20* мл/мин/1,73 м</w:t>
            </w:r>
            <w:r>
              <w:rPr>
                <w:sz w:val="31"/>
                <w:vertAlign w:val="superscript"/>
              </w:rPr>
              <w:t>2</w:t>
            </w:r>
          </w:p>
        </w:tc>
      </w:tr>
      <w:tr w:rsidR="008E3F15">
        <w:trPr>
          <w:trHeight w:val="39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vMerge w:val="restart"/>
            <w:tcBorders>
              <w:top w:val="single" w:sz="6" w:space="0" w:color="000000"/>
              <w:left w:val="single" w:sz="6" w:space="0" w:color="000000"/>
              <w:bottom w:val="single" w:sz="6" w:space="0" w:color="000000"/>
              <w:right w:val="nil"/>
            </w:tcBorders>
          </w:tcPr>
          <w:p w:rsidR="008E3F15" w:rsidRDefault="005F449A">
            <w:pPr>
              <w:spacing w:after="43" w:line="259" w:lineRule="auto"/>
              <w:ind w:left="6" w:right="0" w:firstLine="0"/>
              <w:jc w:val="both"/>
            </w:pPr>
            <w:r>
              <w:rPr>
                <w:bdr w:val="single" w:sz="12" w:space="0" w:color="000000"/>
              </w:rPr>
              <w:t>Дапаглифлозин</w:t>
            </w:r>
          </w:p>
          <w:p w:rsidR="008E3F15" w:rsidRDefault="005F449A">
            <w:pPr>
              <w:spacing w:after="0" w:line="259" w:lineRule="auto"/>
              <w:ind w:left="6" w:right="0" w:firstLine="0"/>
              <w:jc w:val="both"/>
            </w:pPr>
            <w:r>
              <w:rPr>
                <w:bdr w:val="single" w:sz="12" w:space="0" w:color="000000"/>
              </w:rPr>
              <w:t>Эмпаглифлозин</w:t>
            </w:r>
          </w:p>
        </w:tc>
        <w:tc>
          <w:tcPr>
            <w:tcW w:w="6795" w:type="dxa"/>
            <w:tcBorders>
              <w:top w:val="double" w:sz="6" w:space="0" w:color="000000"/>
              <w:left w:val="sing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рСКФ &lt;20* мл/мин/1,73 м</w:t>
            </w:r>
            <w:r>
              <w:rPr>
                <w:sz w:val="31"/>
                <w:vertAlign w:val="superscript"/>
              </w:rPr>
              <w:t>2</w:t>
            </w:r>
          </w:p>
        </w:tc>
      </w:tr>
      <w:tr w:rsidR="008E3F15">
        <w:trPr>
          <w:trHeight w:val="405"/>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6795" w:type="dxa"/>
            <w:tcBorders>
              <w:top w:val="double" w:sz="6" w:space="0" w:color="000000"/>
              <w:left w:val="sing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рСКФ &lt;20* мл/мин/1,73 м</w:t>
            </w:r>
            <w:r>
              <w:rPr>
                <w:sz w:val="31"/>
                <w:vertAlign w:val="superscript"/>
              </w:rPr>
              <w:t>2</w:t>
            </w:r>
          </w:p>
        </w:tc>
      </w:tr>
      <w:tr w:rsidR="008E3F15">
        <w:trPr>
          <w:trHeight w:val="390"/>
        </w:trPr>
        <w:tc>
          <w:tcPr>
            <w:tcW w:w="1845" w:type="dxa"/>
            <w:vMerge w:val="restart"/>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pPr>
            <w:r>
              <w:t>арГПП-1</w:t>
            </w:r>
          </w:p>
        </w:tc>
        <w:tc>
          <w:tcPr>
            <w:tcW w:w="18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Эксенатид</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рСКФ &lt;30 мл/мин/1,73 м</w:t>
            </w:r>
            <w:r>
              <w:rPr>
                <w:sz w:val="31"/>
                <w:vertAlign w:val="superscript"/>
              </w:rPr>
              <w:t>2</w:t>
            </w:r>
          </w:p>
        </w:tc>
      </w:tr>
      <w:tr w:rsidR="008E3F15">
        <w:trPr>
          <w:trHeight w:val="39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Лираглутид</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рСКФ &lt;15 мл/мин/1,73 м</w:t>
            </w:r>
            <w:r>
              <w:rPr>
                <w:sz w:val="31"/>
                <w:vertAlign w:val="superscript"/>
              </w:rPr>
              <w:t>2</w:t>
            </w:r>
          </w:p>
        </w:tc>
      </w:tr>
      <w:tr w:rsidR="008E3F15">
        <w:trPr>
          <w:trHeight w:val="383"/>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Дулаглутид</w:t>
            </w:r>
          </w:p>
        </w:tc>
        <w:tc>
          <w:tcPr>
            <w:tcW w:w="6795" w:type="dxa"/>
            <w:tcBorders>
              <w:top w:val="doub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3" w:right="0" w:firstLine="0"/>
            </w:pPr>
            <w:r>
              <w:t>Не показан при рСКФ &lt;15 мл/мин/1,73 м</w:t>
            </w:r>
            <w:r>
              <w:rPr>
                <w:sz w:val="31"/>
                <w:vertAlign w:val="superscript"/>
              </w:rPr>
              <w:t>2</w:t>
            </w:r>
          </w:p>
        </w:tc>
      </w:tr>
      <w:tr w:rsidR="008E3F15">
        <w:trPr>
          <w:trHeight w:val="173"/>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8640"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8"/>
        </w:trPr>
        <w:tc>
          <w:tcPr>
            <w:tcW w:w="1845" w:type="dxa"/>
            <w:vMerge w:val="restart"/>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8640" w:type="dxa"/>
            <w:gridSpan w:val="2"/>
            <w:tcBorders>
              <w:top w:val="nil"/>
              <w:left w:val="single" w:sz="6" w:space="0" w:color="000000"/>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165"/>
        </w:trPr>
        <w:tc>
          <w:tcPr>
            <w:tcW w:w="0" w:type="auto"/>
            <w:vMerge/>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1845" w:type="dxa"/>
            <w:vMerge w:val="restart"/>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Семаглутид</w:t>
            </w:r>
          </w:p>
        </w:tc>
        <w:tc>
          <w:tcPr>
            <w:tcW w:w="6795" w:type="dxa"/>
            <w:vMerge w:val="restart"/>
            <w:tcBorders>
              <w:top w:val="sing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 при рСКФ &lt;15 мл/мин/1,73 м</w:t>
            </w:r>
            <w:r>
              <w:rPr>
                <w:sz w:val="31"/>
                <w:vertAlign w:val="superscript"/>
              </w:rPr>
              <w:t>2</w:t>
            </w:r>
          </w:p>
        </w:tc>
      </w:tr>
      <w:tr w:rsidR="008E3F15">
        <w:trPr>
          <w:trHeight w:val="203"/>
        </w:trPr>
        <w:tc>
          <w:tcPr>
            <w:tcW w:w="1845" w:type="dxa"/>
            <w:tcBorders>
              <w:top w:val="single" w:sz="6" w:space="0" w:color="000000"/>
              <w:left w:val="single" w:sz="6" w:space="0" w:color="000000"/>
              <w:bottom w:val="single" w:sz="6" w:space="0" w:color="000000"/>
              <w:right w:val="nil"/>
            </w:tcBorders>
          </w:tcPr>
          <w:p w:rsidR="008E3F15" w:rsidRDefault="008E3F15">
            <w:pPr>
              <w:spacing w:after="160" w:line="259" w:lineRule="auto"/>
              <w:ind w:left="0" w:right="0" w:firstLine="0"/>
            </w:pPr>
          </w:p>
        </w:tc>
        <w:tc>
          <w:tcPr>
            <w:tcW w:w="0" w:type="auto"/>
            <w:vMerge/>
            <w:tcBorders>
              <w:top w:val="nil"/>
              <w:left w:val="double" w:sz="6" w:space="0" w:color="000000"/>
              <w:bottom w:val="sing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1845" w:type="dxa"/>
            <w:vMerge w:val="restart"/>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ПСМ</w:t>
            </w:r>
          </w:p>
        </w:tc>
        <w:tc>
          <w:tcPr>
            <w:tcW w:w="1845" w:type="dxa"/>
            <w:tcBorders>
              <w:top w:val="single" w:sz="6" w:space="0" w:color="000000"/>
              <w:left w:val="nil"/>
              <w:bottom w:val="single" w:sz="6" w:space="0" w:color="000000"/>
              <w:right w:val="nil"/>
            </w:tcBorders>
          </w:tcPr>
          <w:p w:rsidR="008E3F15" w:rsidRDefault="005F449A">
            <w:pPr>
              <w:spacing w:after="0" w:line="259" w:lineRule="auto"/>
              <w:ind w:left="6" w:right="0" w:firstLine="0"/>
            </w:pPr>
            <w:r>
              <w:rPr>
                <w:bdr w:val="single" w:sz="12" w:space="0" w:color="000000"/>
              </w:rPr>
              <w:t>Глибенкламид</w:t>
            </w:r>
          </w:p>
        </w:tc>
        <w:tc>
          <w:tcPr>
            <w:tcW w:w="679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Не показан</w:t>
            </w:r>
          </w:p>
        </w:tc>
      </w:tr>
      <w:tr w:rsidR="008E3F15">
        <w:trPr>
          <w:trHeight w:val="64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Глипизид</w:t>
            </w:r>
          </w:p>
        </w:tc>
        <w:tc>
          <w:tcPr>
            <w:tcW w:w="6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161" w:firstLine="0"/>
            </w:pPr>
            <w:r>
              <w:t>Начать с 2,5 мг/сут, не показан при рСКФ &lt;30 мл/ мин/1,73 м</w:t>
            </w:r>
            <w:r>
              <w:rPr>
                <w:sz w:val="31"/>
                <w:vertAlign w:val="superscript"/>
              </w:rPr>
              <w:t>2</w:t>
            </w:r>
          </w:p>
        </w:tc>
      </w:tr>
      <w:tr w:rsidR="008E3F15">
        <w:trPr>
          <w:trHeight w:val="6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Гликлазид</w:t>
            </w:r>
          </w:p>
        </w:tc>
        <w:tc>
          <w:tcPr>
            <w:tcW w:w="679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213" w:firstLine="0"/>
            </w:pPr>
            <w:r>
              <w:t>Начать с 30 мг/сут, не показан при рСКФ &lt;30 мл/ мин/1,73 м</w:t>
            </w:r>
            <w:r>
              <w:rPr>
                <w:sz w:val="31"/>
                <w:vertAlign w:val="superscript"/>
              </w:rPr>
              <w:t>2</w:t>
            </w:r>
          </w:p>
        </w:tc>
      </w:tr>
      <w:tr w:rsidR="008E3F15">
        <w:trPr>
          <w:trHeight w:val="3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t>Глимепирид</w:t>
            </w:r>
          </w:p>
        </w:tc>
        <w:tc>
          <w:tcPr>
            <w:tcW w:w="6795" w:type="dxa"/>
            <w:tcBorders>
              <w:top w:val="single" w:sz="6" w:space="0" w:color="000000"/>
              <w:left w:val="nil"/>
              <w:bottom w:val="single" w:sz="6" w:space="0" w:color="000000"/>
              <w:right w:val="single" w:sz="6" w:space="0" w:color="000000"/>
            </w:tcBorders>
            <w:vAlign w:val="bottom"/>
          </w:tcPr>
          <w:p w:rsidR="008E3F15" w:rsidRDefault="005F449A">
            <w:pPr>
              <w:spacing w:after="0" w:line="259" w:lineRule="auto"/>
              <w:ind w:left="3" w:right="0" w:firstLine="0"/>
              <w:jc w:val="both"/>
            </w:pPr>
            <w:r>
              <w:rPr>
                <w:bdr w:val="single" w:sz="12" w:space="0" w:color="000000"/>
              </w:rPr>
              <w:t>Начать с 1 мг/сут, не показан при рСКФ &lt;30 мл/мин/1,73 м</w:t>
            </w:r>
            <w:r>
              <w:rPr>
                <w:sz w:val="31"/>
                <w:bdr w:val="single" w:sz="12" w:space="0" w:color="000000"/>
                <w:vertAlign w:val="superscript"/>
              </w:rPr>
              <w:t>2</w:t>
            </w:r>
          </w:p>
        </w:tc>
      </w:tr>
      <w:tr w:rsidR="008E3F15">
        <w:trPr>
          <w:trHeight w:val="330"/>
        </w:trPr>
        <w:tc>
          <w:tcPr>
            <w:tcW w:w="184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Другие препараты</w:t>
            </w: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Пиоглитазон</w:t>
            </w:r>
          </w:p>
        </w:tc>
        <w:tc>
          <w:tcPr>
            <w:tcW w:w="67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Не меняется</w:t>
            </w:r>
          </w:p>
        </w:tc>
      </w:tr>
      <w:tr w:rsidR="008E3F15">
        <w:trPr>
          <w:trHeight w:val="40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Репаглинид</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0,5 мг при рСКФ &lt;30 мл/мин/1,73 м</w:t>
            </w:r>
            <w:r>
              <w:rPr>
                <w:sz w:val="31"/>
                <w:vertAlign w:val="superscript"/>
              </w:rPr>
              <w:t>2</w:t>
            </w:r>
          </w:p>
        </w:tc>
      </w:tr>
      <w:tr w:rsidR="008E3F15">
        <w:trPr>
          <w:trHeight w:val="3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8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Акарбоза</w:t>
            </w:r>
          </w:p>
        </w:tc>
        <w:tc>
          <w:tcPr>
            <w:tcW w:w="6795"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3" w:right="0" w:firstLine="0"/>
            </w:pPr>
            <w:r>
              <w:t>Не показана при рСКФ &lt;30 мл/мин/1,73 м</w:t>
            </w:r>
            <w:r>
              <w:rPr>
                <w:sz w:val="31"/>
                <w:vertAlign w:val="superscript"/>
              </w:rPr>
              <w:t>2</w:t>
            </w:r>
          </w:p>
        </w:tc>
      </w:tr>
      <w:tr w:rsidR="008E3F15">
        <w:trPr>
          <w:trHeight w:val="570"/>
        </w:trPr>
        <w:tc>
          <w:tcPr>
            <w:tcW w:w="1845" w:type="dxa"/>
            <w:tcBorders>
              <w:top w:val="double" w:sz="6" w:space="0" w:color="000000"/>
              <w:left w:val="double" w:sz="6" w:space="0" w:color="000000"/>
              <w:bottom w:val="double" w:sz="6" w:space="0" w:color="000000"/>
              <w:right w:val="nil"/>
            </w:tcBorders>
            <w:vAlign w:val="center"/>
          </w:tcPr>
          <w:p w:rsidR="008E3F15" w:rsidRDefault="005F449A">
            <w:pPr>
              <w:spacing w:after="0" w:line="259" w:lineRule="auto"/>
              <w:ind w:left="0" w:right="0" w:firstLine="0"/>
            </w:pPr>
            <w:r>
              <w:t>Инсулин</w:t>
            </w:r>
          </w:p>
        </w:tc>
        <w:tc>
          <w:tcPr>
            <w:tcW w:w="1845"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c>
          <w:tcPr>
            <w:tcW w:w="67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Доза корригируется по оценке ответа пациента и риску гипогликемии</w:t>
            </w:r>
          </w:p>
        </w:tc>
      </w:tr>
    </w:tbl>
    <w:p w:rsidR="008E3F15" w:rsidRDefault="005F449A">
      <w:pPr>
        <w:spacing w:after="313" w:line="259" w:lineRule="auto"/>
        <w:ind w:left="2" w:right="0"/>
      </w:pPr>
      <w:r>
        <w:rPr>
          <w:b/>
        </w:rPr>
        <w:t>Примечание.</w:t>
      </w:r>
      <w:r>
        <w:t xml:space="preserve"> * — ADA.</w:t>
      </w:r>
    </w:p>
    <w:p w:rsidR="008E3F15" w:rsidRDefault="005F449A">
      <w:pPr>
        <w:pStyle w:val="Heading1"/>
        <w:ind w:left="2"/>
      </w:pPr>
      <w:r>
        <w:t>Часть II. Коморбидные болезни</w:t>
      </w:r>
    </w:p>
    <w:p w:rsidR="008E3F15" w:rsidRDefault="005F449A">
      <w:pPr>
        <w:ind w:left="2" w:right="135"/>
      </w:pPr>
      <w:r>
        <w:t>Хороший контроль гликемии снижает риск и замедляет развитие диабетической нефропатии (DCCT, UKPDS). Однако эффективность интенсивного контроля гликемии при нефропатии с выраженной протеинурией не доказана.</w:t>
      </w:r>
    </w:p>
    <w:p w:rsidR="008E3F15" w:rsidRDefault="005F449A">
      <w:pPr>
        <w:ind w:left="2" w:right="15"/>
      </w:pPr>
      <w:r>
        <w:t>В последние годы в клинической практике преобладаю</w:t>
      </w:r>
      <w:r>
        <w:t>т варианты ХБП со снижением СКФ без выраженной потери белка. Поэтому крайне важно регулярно проводить оценку рСКФ (каждые 6 мес на 3-й стадии).</w:t>
      </w:r>
    </w:p>
    <w:p w:rsidR="008E3F15" w:rsidRDefault="005F449A">
      <w:pPr>
        <w:ind w:left="2" w:right="625"/>
      </w:pPr>
      <w:r>
        <w:t xml:space="preserve">На ранних стадиях диабетической нефропатии возможно продолжение лечения антигипергликемическими препаратами, на </w:t>
      </w:r>
      <w:r>
        <w:t>поздних — предпочтительнее инсулин. В последних рекомендациях метформин, наряду с иНГЛТ-2, указан в качестве стартового препарата для пациентов с ХБП 3-й стадии и принимается в дозе 500–850 мг (500 мг продленного) однократно, а через каждые 7 дней доза пов</w:t>
      </w:r>
      <w:r>
        <w:t>ышается до максимальной (ADA/KDIGO).</w:t>
      </w:r>
    </w:p>
    <w:p w:rsidR="008E3F15" w:rsidRDefault="005F449A">
      <w:pPr>
        <w:ind w:left="2" w:right="253"/>
      </w:pPr>
      <w:r>
        <w:t>Нефропротективное действие, независимое от наличия СД, и снижение риска сердечнососудистых событий было показано для широкого спектра дисфункций почек при анализе исследований с иНГЛТ-2. В то же время эти препараты треб</w:t>
      </w:r>
      <w:r>
        <w:t>уют дополнительного контроля в связи с риском мочеполовых инфекций.</w:t>
      </w:r>
    </w:p>
    <w:p w:rsidR="008E3F15" w:rsidRDefault="005F449A">
      <w:pPr>
        <w:ind w:left="2" w:right="15"/>
      </w:pPr>
      <w:r>
        <w:t>Для усиления терапии в первую очередь рассматривают арГПП-1, включая пролонгированные формы. Достаточно безопасно применение иДПП-4.</w:t>
      </w:r>
    </w:p>
    <w:p w:rsidR="008E3F15" w:rsidRDefault="005F449A">
      <w:pPr>
        <w:ind w:left="2" w:right="15"/>
      </w:pPr>
      <w:r>
        <w:t>Применение инсулиностимуляторов (сульфомочевины, глинид</w:t>
      </w:r>
      <w:r>
        <w:t>ов) у пациентов с выраженным снижением рСКФ значительно повышает риск гипогликемий.</w:t>
      </w:r>
    </w:p>
    <w:p w:rsidR="008E3F15" w:rsidRDefault="005F449A">
      <w:pPr>
        <w:ind w:left="2" w:right="15"/>
      </w:pPr>
      <w:r>
        <w:t>Добавление нестероидного селективного аМКР финеренона в дозе 20 мг к иАПФ/БРА замедлило прогрессирование ХБП с альбуминурией у пациентов с СД 2-го типа (FIDELIODKD).</w:t>
      </w:r>
    </w:p>
    <w:p w:rsidR="008E3F15" w:rsidRDefault="005F449A">
      <w:pPr>
        <w:pStyle w:val="Heading2"/>
        <w:spacing w:after="0"/>
        <w:ind w:left="2"/>
      </w:pPr>
      <w:r>
        <w:t>Болезнь артерий нижних конечностей</w:t>
      </w:r>
    </w:p>
    <w:p w:rsidR="008E3F15" w:rsidRDefault="005F449A">
      <w:pPr>
        <w:ind w:left="2" w:right="15"/>
      </w:pPr>
      <w:r>
        <w:t xml:space="preserve">При СД может развиться облитерирующий атеросклероз артерий нижних конечностей, классификация которого представлена в </w:t>
      </w:r>
      <w:r>
        <w:rPr>
          <w:b/>
        </w:rPr>
        <w:t>табл. 16.11</w:t>
      </w:r>
      <w:r>
        <w:t>. Важно отметить, что повышение смертности и риска ССЗ не отличается при симптомной и бессимптомной формах заболевания (Diehm C. et al., 2009).</w:t>
      </w:r>
    </w:p>
    <w:p w:rsidR="008E3F15" w:rsidRDefault="005F449A">
      <w:pPr>
        <w:spacing w:after="31"/>
        <w:ind w:left="2" w:right="15"/>
      </w:pPr>
      <w:r>
        <w:rPr>
          <w:b/>
        </w:rPr>
        <w:t xml:space="preserve">Таблица 16.11. </w:t>
      </w:r>
      <w:r>
        <w:t>Стадии болезни артерий нижних конечностей (по Фонтейну)</w:t>
      </w:r>
    </w:p>
    <w:tbl>
      <w:tblPr>
        <w:tblStyle w:val="TableGrid"/>
        <w:tblW w:w="6180" w:type="dxa"/>
        <w:tblInd w:w="30" w:type="dxa"/>
        <w:tblCellMar>
          <w:top w:w="80" w:type="dxa"/>
          <w:left w:w="40" w:type="dxa"/>
          <w:bottom w:w="0" w:type="dxa"/>
          <w:right w:w="41" w:type="dxa"/>
        </w:tblCellMar>
        <w:tblLook w:val="04A0" w:firstRow="1" w:lastRow="0" w:firstColumn="1" w:lastColumn="0" w:noHBand="0" w:noVBand="1"/>
      </w:tblPr>
      <w:tblGrid>
        <w:gridCol w:w="915"/>
        <w:gridCol w:w="5265"/>
      </w:tblGrid>
      <w:tr w:rsidR="008E3F15">
        <w:trPr>
          <w:trHeight w:val="330"/>
        </w:trPr>
        <w:tc>
          <w:tcPr>
            <w:tcW w:w="915" w:type="dxa"/>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jc w:val="both"/>
            </w:pPr>
            <w:r>
              <w:rPr>
                <w:b/>
                <w:bdr w:val="single" w:sz="12" w:space="0" w:color="000000"/>
              </w:rPr>
              <w:t>Стадия</w:t>
            </w:r>
          </w:p>
        </w:tc>
        <w:tc>
          <w:tcPr>
            <w:tcW w:w="526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Характеристика</w:t>
            </w:r>
          </w:p>
        </w:tc>
      </w:tr>
      <w:tr w:rsidR="008E3F15">
        <w:trPr>
          <w:trHeight w:val="330"/>
        </w:trPr>
        <w:tc>
          <w:tcPr>
            <w:tcW w:w="9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I</w:t>
            </w:r>
          </w:p>
        </w:tc>
        <w:tc>
          <w:tcPr>
            <w:tcW w:w="52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Асимптомная</w:t>
            </w:r>
          </w:p>
        </w:tc>
      </w:tr>
      <w:tr w:rsidR="008E3F15">
        <w:trPr>
          <w:trHeight w:val="330"/>
        </w:trPr>
        <w:tc>
          <w:tcPr>
            <w:tcW w:w="91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t>IIa</w:t>
            </w:r>
          </w:p>
        </w:tc>
        <w:tc>
          <w:tcPr>
            <w:tcW w:w="5265"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Перемежающаяся хромота при ходьбе &gt;200 м</w:t>
            </w:r>
          </w:p>
          <w:p w:rsidR="008E3F15" w:rsidRDefault="005F449A">
            <w:pPr>
              <w:spacing w:after="0" w:line="259" w:lineRule="auto"/>
              <w:ind w:left="0" w:right="0" w:firstLine="0"/>
              <w:jc w:val="both"/>
            </w:pPr>
            <w:r>
              <w:rPr>
                <w:bdr w:val="single" w:sz="12" w:space="0" w:color="000000"/>
              </w:rPr>
              <w:t>Перемежающаяся хромота при ходьбе &lt;200 м</w:t>
            </w:r>
          </w:p>
        </w:tc>
      </w:tr>
      <w:tr w:rsidR="008E3F15">
        <w:trPr>
          <w:trHeight w:val="330"/>
        </w:trPr>
        <w:tc>
          <w:tcPr>
            <w:tcW w:w="91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5" w:right="0" w:firstLine="0"/>
            </w:pPr>
            <w:r>
              <w:t>IIb</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III</w:t>
            </w:r>
          </w:p>
        </w:tc>
        <w:tc>
          <w:tcPr>
            <w:tcW w:w="52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Боли в покое/ночью</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IV</w:t>
            </w:r>
          </w:p>
        </w:tc>
        <w:tc>
          <w:tcPr>
            <w:tcW w:w="52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Язвы, гангрена</w:t>
            </w:r>
          </w:p>
        </w:tc>
      </w:tr>
    </w:tbl>
    <w:p w:rsidR="008E3F15" w:rsidRDefault="005F449A">
      <w:pPr>
        <w:ind w:left="2" w:right="15"/>
      </w:pPr>
      <w:r>
        <w:t>При сочетании с дистальной полиневропатией болевой синдром и перемежающаяся хромота могут отсутствовать. Трофические нарушения и некрозы могут возникать на любой из вышеперечисленных стадий, в связи с чем для определения степени тяжести ишемии необходима о</w:t>
      </w:r>
      <w:r>
        <w:t>бъективная оценка состояния кровотока.</w:t>
      </w:r>
    </w:p>
    <w:p w:rsidR="008E3F15" w:rsidRDefault="005F449A">
      <w:pPr>
        <w:pStyle w:val="Heading2"/>
        <w:ind w:left="2"/>
      </w:pPr>
      <w:r>
        <w:t>Диагностика</w:t>
      </w:r>
    </w:p>
    <w:p w:rsidR="008E3F15" w:rsidRDefault="005F449A">
      <w:pPr>
        <w:ind w:left="610" w:right="15"/>
      </w:pPr>
      <w:r>
        <w:t>Изменение нижних конечностей при осмотре: бледный или цианотичный цвет кожи, атрофия кожи, трещины, неспецифический характер деформации пальцев и стопы, акральные некрозы.</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04000"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31196" name="Group 331196"/>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9200" name="Shape 19200"/>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02" name="Shape 19202"/>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555"/>
                                  <a:pt x="32364" y="57150"/>
                                  <a:pt x="28575" y="57150"/>
                                </a:cubicBezTo>
                                <a:cubicBezTo>
                                  <a:pt x="24786" y="57150"/>
                                  <a:pt x="21141" y="56555"/>
                                  <a:pt x="17640" y="54967"/>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04" name="Shape 1920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196" style="width:4.5pt;height:28.5pt;position:absolute;mso-position-horizontal-relative:text;mso-position-horizontal:absolute;margin-left:16.5pt;mso-position-vertical-relative:text;margin-top:2.73438pt;" coordsize="571,3619">
                <v:shape id="Shape 19200" style="position:absolute;width:571;height:571;left:0;top:0;" coordsize="57150,57150" path="m28575,0c32364,0,36009,794,39510,2183c43011,3572,46101,5556,48781,8334c51460,10914,53525,13891,54975,17463c56425,20836,57150,24606,57150,28575c57150,32345,56425,35917,54975,39291c53525,42863,51460,46038,48781,48816c46101,51395,43011,53578,39510,54769c36009,56356,32364,57150,28575,57150c24786,57150,21141,56356,17640,54769c14139,53578,11049,51395,8369,48816c5690,46038,3625,42863,2175,39291c725,35917,0,32345,0,28575c0,24606,725,20836,2175,17463c3625,13891,5690,10914,8369,8334c11049,5556,14139,3572,17640,2183c21141,794,24786,0,28575,0x">
                  <v:stroke weight="0pt" endcap="flat" joinstyle="miter" miterlimit="10" on="false" color="#000000" opacity="0"/>
                  <v:fill on="true" color="#333333"/>
                </v:shape>
                <v:shape id="Shape 19202" style="position:absolute;width:571;height:571;left:0;top:1524;" coordsize="57150,57150" path="m28575,0c32364,0,36009,794,39510,2183c43011,3572,46101,5556,48781,8334c51460,10914,53525,14089,54975,17661c56425,21034,57150,24805,57150,28575c57150,32345,56425,35917,54975,39291c53525,42863,51460,45839,48781,48816c46101,51395,43011,53578,39510,54769c36009,56555,32364,57150,28575,57150c24786,57150,21141,56555,17640,54967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204" style="position:absolute;width:571;height:571;left:0;top:3048;" coordsize="57150,57150" path="m28575,0c32364,0,36009,794,39510,2183c43011,3572,46101,5556,48781,8334c51460,10914,53525,14089,54975,17661c56425,21034,57150,24805,57150,28575c57150,32345,56425,35917,54975,39291c53525,42863,51460,46038,48781,48816c46101,51395,43011,53578,39510,54769c36009,56356,32364,57150,28575,57150c24786,57150,21141,56356,17640,54769c14139,53578,11049,51395,8369,48816c5690,46038,3625,42863,2175,39291c725,35917,0,32345,0,28575c0,24805,725,21034,2175,17661c3625,14089,5690,10914,8369,8334c11049,5556,14139,3572,17640,2183c21141,794,24786,0,28575,0x">
                  <v:stroke weight="0pt" endcap="flat" joinstyle="miter" miterlimit="10" on="false" color="#000000" opacity="0"/>
                  <v:fill on="true" color="#333333"/>
                </v:shape>
                <w10:wrap type="square"/>
              </v:group>
            </w:pict>
          </mc:Fallback>
        </mc:AlternateContent>
      </w:r>
      <w:r>
        <w:t>Снижение или отсутствие пульсаци</w:t>
      </w:r>
      <w:r>
        <w:t>и.</w:t>
      </w:r>
    </w:p>
    <w:p w:rsidR="008E3F15" w:rsidRDefault="005F449A">
      <w:pPr>
        <w:spacing w:after="31"/>
        <w:ind w:left="340" w:right="15"/>
      </w:pPr>
      <w:r>
        <w:t>Систолический шум в проекции крупного сосуда.</w:t>
      </w:r>
    </w:p>
    <w:p w:rsidR="008E3F15" w:rsidRDefault="005F449A">
      <w:pPr>
        <w:ind w:left="340" w:right="15"/>
      </w:pPr>
      <w:r>
        <w:t>Снижение лодыжечно-плечевого индекса (АДс лодыжки/АД плеча) &lt;0,9 (при 0,5–0,8 обычно появляется перемежающаяся хромота, а при &lt;0,5 развивается тяжелая ишемия). Оценивают индекс с помощью портативного ультраз</w:t>
      </w:r>
      <w:r>
        <w:t>вукового аппарата с допплерографией.</w:t>
      </w:r>
    </w:p>
    <w:p w:rsidR="008E3F15" w:rsidRDefault="005F449A">
      <w:pPr>
        <w:spacing w:after="165"/>
        <w:ind w:left="340" w:right="15"/>
      </w:pPr>
      <w:r>
        <w:rPr>
          <w:rFonts w:ascii="Calibri" w:eastAsia="Calibri" w:hAnsi="Calibri" w:cs="Calibri"/>
          <w:noProof/>
          <w:color w:val="000000"/>
          <w:sz w:val="22"/>
        </w:rPr>
        <mc:AlternateContent>
          <mc:Choice Requires="wpg">
            <w:drawing>
              <wp:inline distT="0" distB="0" distL="0" distR="0">
                <wp:extent cx="57150" cy="57150"/>
                <wp:effectExtent l="0" t="0" r="0" b="0"/>
                <wp:docPr id="331197" name="Group 33119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9209" name="Shape 19209"/>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1197" style="width:4.5pt;height:4.5pt;mso-position-horizontal-relative:char;mso-position-vertical-relative:line" coordsize="571,571">
                <v:shape id="Shape 19209" style="position:absolute;width:571;height:571;left:0;top:0;" coordsize="57150,57150" path="m28575,0c32364,0,36009,794,39510,2183c43011,3572,46101,5358,48781,8334c51460,10716,53525,13891,54975,17661c56425,21034,57150,24805,57150,28575c57150,32345,56425,35917,54975,39291c53525,42863,51460,45839,48781,48816c46101,51395,43011,53578,39510,54769c36009,56356,32364,57150,28575,57150c24786,57150,21141,56356,17640,54769c14139,53578,11049,51395,8369,48816c5690,45839,3625,42863,2175,39291c725,35917,0,32345,0,28575c0,24805,725,21034,2175,17661c3625,13891,5690,10716,8369,8334c11049,5358,14139,3572,17640,2183c21141,794,24786,0,28575,0x">
                  <v:stroke weight="0pt" endcap="flat" joinstyle="miter" miterlimit="10" on="false" color="#000000" opacity="0"/>
                  <v:fill on="true" color="#333333"/>
                </v:shape>
              </v:group>
            </w:pict>
          </mc:Fallback>
        </mc:AlternateContent>
      </w:r>
      <w:r>
        <w:t xml:space="preserve"> Дуплексное ультразвуковое сканирование артерий.</w:t>
      </w:r>
    </w:p>
    <w:p w:rsidR="008E3F15" w:rsidRDefault="005F449A">
      <w:pPr>
        <w:pStyle w:val="Heading2"/>
        <w:ind w:left="2"/>
      </w:pPr>
      <w:r>
        <w:t>Лечение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05024" behindDoc="0" locked="0" layoutInCell="1" allowOverlap="1">
                <wp:simplePos x="0" y="0"/>
                <wp:positionH relativeFrom="column">
                  <wp:posOffset>209550</wp:posOffset>
                </wp:positionH>
                <wp:positionV relativeFrom="paragraph">
                  <wp:posOffset>34727</wp:posOffset>
                </wp:positionV>
                <wp:extent cx="57150" cy="1733550"/>
                <wp:effectExtent l="0" t="0" r="0" b="0"/>
                <wp:wrapSquare wrapText="bothSides"/>
                <wp:docPr id="331198" name="Group 331198"/>
                <wp:cNvGraphicFramePr/>
                <a:graphic xmlns:a="http://schemas.openxmlformats.org/drawingml/2006/main">
                  <a:graphicData uri="http://schemas.microsoft.com/office/word/2010/wordprocessingGroup">
                    <wpg:wgp>
                      <wpg:cNvGrpSpPr/>
                      <wpg:grpSpPr>
                        <a:xfrm>
                          <a:off x="0" y="0"/>
                          <a:ext cx="57150" cy="1733550"/>
                          <a:chOff x="0" y="0"/>
                          <a:chExt cx="57150" cy="1733550"/>
                        </a:xfrm>
                      </wpg:grpSpPr>
                      <wps:wsp>
                        <wps:cNvPr id="19212" name="Shape 19212"/>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334"/>
                                </a:cubicBezTo>
                                <a:cubicBezTo>
                                  <a:pt x="51460" y="10716"/>
                                  <a:pt x="53525" y="13891"/>
                                  <a:pt x="54975" y="17264"/>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264"/>
                                </a:cubicBezTo>
                                <a:cubicBezTo>
                                  <a:pt x="3625" y="13891"/>
                                  <a:pt x="5690" y="10716"/>
                                  <a:pt x="8369" y="8334"/>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14" name="Shape 19214"/>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158"/>
                                  <a:pt x="32364" y="57150"/>
                                  <a:pt x="28575" y="57150"/>
                                </a:cubicBezTo>
                                <a:cubicBezTo>
                                  <a:pt x="24786" y="57150"/>
                                  <a:pt x="21141" y="56158"/>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17" name="Shape 19217"/>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158"/>
                                  <a:pt x="32364" y="57150"/>
                                  <a:pt x="28575" y="57150"/>
                                </a:cubicBezTo>
                                <a:cubicBezTo>
                                  <a:pt x="24786" y="57150"/>
                                  <a:pt x="21141" y="56158"/>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19" name="Shape 19219"/>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264"/>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264"/>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21" name="Shape 19221"/>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23" name="Shape 19223"/>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264"/>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264"/>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26" name="Shape 19226"/>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264"/>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264"/>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29" name="Shape 19229"/>
                        <wps:cNvSpPr/>
                        <wps:spPr>
                          <a:xfrm>
                            <a:off x="0" y="15240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31" name="Shape 19231"/>
                        <wps:cNvSpPr/>
                        <wps:spPr>
                          <a:xfrm>
                            <a:off x="0" y="16764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198" style="width:4.5pt;height:136.5pt;position:absolute;mso-position-horizontal-relative:text;mso-position-horizontal:absolute;margin-left:16.5pt;mso-position-vertical-relative:text;margin-top:2.73438pt;" coordsize="571,17335">
                <v:shape id="Shape 19212" style="position:absolute;width:571;height:571;left:0;top:0;" coordsize="57150,57150" path="m28575,0c32364,0,36009,595,39510,1984c43011,3373,46101,5358,48781,8334c51460,10716,53525,13891,54975,17264c56425,20836,57150,24606,57150,28575c57150,32345,56425,35917,54975,39291c53525,42863,51460,45839,48781,48816c46101,51197,43011,53380,39510,54769c36009,56356,32364,57150,28575,57150c24786,57150,21141,56356,17640,54769c14139,53380,11049,51197,8369,48816c5690,45839,3625,42863,2175,39291c725,35917,0,32345,0,28575c0,24606,725,20836,2175,17264c3625,13891,5690,10716,8369,8334c11049,5358,14139,3373,17640,1984c21141,595,24786,0,28575,0x">
                  <v:stroke weight="0pt" endcap="flat" joinstyle="miter" miterlimit="10" on="false" color="#000000" opacity="0"/>
                  <v:fill on="true" color="#333333"/>
                </v:shape>
                <v:shape id="Shape 19214" style="position:absolute;width:571;height:571;left:0;top:1524;" coordsize="57150,57150" path="m28575,0c32364,0,36009,595,39510,1984c43011,3572,46101,5556,48781,8334c51460,10716,53525,13891,54975,17264c56425,21034,57150,24805,57150,28575c57150,32345,56425,36116,54975,39489c53525,42863,51460,45839,48781,48816c46101,51197,43011,53181,39510,54769c36009,56158,32364,57150,28575,57150c24786,57150,21141,56158,17640,54769c14139,53181,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v:shape id="Shape 19217" style="position:absolute;width:571;height:571;left:0;top:4572;" coordsize="57150,57150" path="m28575,0c32364,0,36009,595,39510,1984c43011,3572,46101,5556,48781,8334c51460,10716,53525,13891,54975,17264c56425,21034,57150,24805,57150,28575c57150,32345,56425,36116,54975,39489c53525,42863,51460,45839,48781,48816c46101,51197,43011,53181,39510,54769c36009,56158,32364,57150,28575,57150c24786,57150,21141,56158,17640,54769c14139,53181,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v:shape id="Shape 19219" style="position:absolute;width:571;height:571;left:0;top:6096;" coordsize="57150,57150" path="m28575,0c32364,0,36009,794,39510,2183c43011,3572,46101,5556,48781,8334c51460,10716,53525,13891,54975,17264c56425,20836,57150,24606,57150,28575c57150,32345,56425,35917,54975,39291c53525,42863,51460,45839,48781,48816c46101,51197,43011,53380,39510,54769c36009,56158,32364,57150,28575,57150c24786,57150,21141,56158,17640,54769c14139,53380,11049,51197,8369,48816c5690,45839,3625,42863,2175,39291c725,35917,0,32345,0,28575c0,24606,725,20836,2175,17264c3625,13891,5690,10716,8369,8334c11049,5556,14139,3572,17640,1984c21141,595,24786,0,28575,0x">
                  <v:stroke weight="0pt" endcap="flat" joinstyle="miter" miterlimit="10" on="false" color="#000000" opacity="0"/>
                  <v:fill on="true" color="#333333"/>
                </v:shape>
                <v:shape id="Shape 19221" style="position:absolute;width:571;height:571;left:0;top:7620;" coordsize="57150,57150" path="m28575,0c32364,0,36009,595,39510,1984c43011,3572,46101,5556,48781,8334c51460,10716,53525,13891,54975,17264c56425,21034,57150,24805,57150,28575c57150,32345,56425,36116,54975,39489c53525,42863,51460,45839,48781,48816c46101,51197,43011,53380,39510,54769c36009,56356,32364,57150,28575,57150c24786,57150,21141,56356,17640,54967c14139,53380,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v:shape id="Shape 19223" style="position:absolute;width:571;height:571;left:0;top:9144;" coordsize="57150,57150" path="m28575,0c32364,0,36009,794,39510,2183c43011,3572,46101,5556,48781,8334c51460,10716,53525,13891,54975,17264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264c3625,13891,5690,10716,8369,8334c11049,5556,14139,3572,17640,1984c21141,595,24786,0,28575,0x">
                  <v:stroke weight="0pt" endcap="flat" joinstyle="miter" miterlimit="10" on="false" color="#000000" opacity="0"/>
                  <v:fill on="true" color="#333333"/>
                </v:shape>
                <v:shape id="Shape 19226" style="position:absolute;width:571;height:571;left:0;top:12192;" coordsize="57150,57150" path="m28575,0c32364,0,36009,794,39510,2183c43011,3572,46101,5556,48781,8334c51460,10716,53525,13891,54975,17264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264c3625,13891,5690,10716,8369,8334c11049,5556,14139,3572,17640,1984c21141,595,24786,0,28575,0x">
                  <v:stroke weight="0pt" endcap="flat" joinstyle="miter" miterlimit="10" on="false" color="#000000" opacity="0"/>
                  <v:fill on="true" color="#333333"/>
                </v:shape>
                <v:shape id="Shape 19229" style="position:absolute;width:571;height:571;left:0;top:15240;" coordsize="57150,57150" path="m28575,0c32364,0,36009,794,39510,2183c43011,3572,46101,5556,48781,8334c51460,10716,53525,13891,54975,17463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463c3625,13891,5690,10716,8369,8334c11049,5556,14139,3572,17640,1984c21141,595,24786,0,28575,0x">
                  <v:stroke weight="0pt" endcap="flat" joinstyle="miter" miterlimit="10" on="false" color="#000000" opacity="0"/>
                  <v:fill on="true" color="#333333"/>
                </v:shape>
                <v:shape id="Shape 19231" style="position:absolute;width:571;height:571;left:0;top:16764;" coordsize="57150,57150" path="m28575,0c32364,0,36009,595,39510,1984c43011,3572,46101,5556,48781,8334c51460,10914,53525,14089,54975,17463c56425,20836,57150,24606,57150,28575c57150,32345,56425,35917,54975,39489c53525,42863,51460,45839,48781,48816c46101,51197,43011,53380,39510,54769c36009,56356,32364,57150,28575,57150c24786,57150,21141,56356,17640,54967c14139,53380,11049,51197,8369,48816c5690,45839,3625,42863,2175,39291c725,35917,0,32345,0,28575c0,24606,725,20836,2175,17463c3625,14089,5690,10914,8369,8334c11049,5556,14139,3572,17640,1984c21141,595,24786,0,28575,0x">
                  <v:stroke weight="0pt" endcap="flat" joinstyle="miter" miterlimit="10" on="false" color="#000000" opacity="0"/>
                  <v:fill on="true" color="#333333"/>
                </v:shape>
                <w10:wrap type="square"/>
              </v:group>
            </w:pict>
          </mc:Fallback>
        </mc:AlternateContent>
      </w:r>
      <w:r>
        <w:t>Отказ от курения.</w:t>
      </w:r>
    </w:p>
    <w:p w:rsidR="008E3F15" w:rsidRDefault="005F449A">
      <w:pPr>
        <w:ind w:left="340" w:right="15"/>
      </w:pPr>
      <w:r>
        <w:t>Ходьба 1–2 ч в день для развития коллатерального кровотока (противопоказана при болях в покое, язвенных дефектах).</w:t>
      </w:r>
    </w:p>
    <w:p w:rsidR="008E3F15" w:rsidRDefault="005F449A">
      <w:pPr>
        <w:spacing w:after="31"/>
        <w:ind w:left="340" w:right="15"/>
      </w:pPr>
      <w:r>
        <w:t>Вазодилататоры: цилостазол,</w:t>
      </w:r>
      <w:r>
        <w:t xml:space="preserve"> пентоксифиллин, алпростадил.</w:t>
      </w:r>
    </w:p>
    <w:p w:rsidR="008E3F15" w:rsidRDefault="005F449A">
      <w:pPr>
        <w:spacing w:after="31"/>
        <w:ind w:left="340" w:right="15"/>
      </w:pPr>
      <w:r>
        <w:t>АСК (75–81 мг/сут).</w:t>
      </w:r>
    </w:p>
    <w:p w:rsidR="008E3F15" w:rsidRDefault="005F449A">
      <w:pPr>
        <w:spacing w:after="31"/>
        <w:ind w:left="340" w:right="15"/>
      </w:pPr>
      <w:r>
        <w:t>Ривароксабан 2,5 мг 2 раза.</w:t>
      </w:r>
    </w:p>
    <w:p w:rsidR="008E3F15" w:rsidRDefault="005F449A">
      <w:pPr>
        <w:ind w:left="340" w:right="15"/>
      </w:pPr>
      <w:r>
        <w:t>Интенсивная терапия статинами: аторвастатин 80 мг/сут, розувастатин 20–40 мг/сут (ACC/AHA).</w:t>
      </w:r>
    </w:p>
    <w:p w:rsidR="008E3F15" w:rsidRDefault="005F449A">
      <w:pPr>
        <w:ind w:left="340" w:right="15"/>
      </w:pPr>
      <w:r>
        <w:t>Прием канаглифлозина ассоциируется с повышением риска ампутаций нижних конечностей (CA</w:t>
      </w:r>
      <w:r>
        <w:t>NVAS).</w:t>
      </w:r>
    </w:p>
    <w:p w:rsidR="008E3F15" w:rsidRDefault="005F449A">
      <w:pPr>
        <w:spacing w:after="179"/>
        <w:ind w:left="340" w:right="3155"/>
      </w:pPr>
      <w:r>
        <w:t>Реваскуляризация: ангиопластика, шунтирование. Ампутация.</w:t>
      </w:r>
    </w:p>
    <w:p w:rsidR="008E3F15" w:rsidRDefault="005F449A">
      <w:pPr>
        <w:pStyle w:val="Heading2"/>
        <w:spacing w:after="0"/>
        <w:ind w:left="2"/>
      </w:pPr>
      <w:r>
        <w:t>Диабетическая невропатия</w:t>
      </w:r>
    </w:p>
    <w:p w:rsidR="008E3F15" w:rsidRDefault="005F449A">
      <w:pPr>
        <w:ind w:left="2" w:right="15"/>
      </w:pPr>
      <w:r>
        <w:t>Поражение нервной системы диагностируется невропатологом с применением специальных методов обследования.</w:t>
      </w:r>
    </w:p>
    <w:p w:rsidR="008E3F15" w:rsidRDefault="005F449A">
      <w:pPr>
        <w:pStyle w:val="Heading2"/>
        <w:spacing w:after="0"/>
        <w:ind w:left="2"/>
      </w:pPr>
      <w:r>
        <w:t>Классификация</w:t>
      </w:r>
    </w:p>
    <w:p w:rsidR="008E3F15" w:rsidRDefault="005F449A">
      <w:pPr>
        <w:spacing w:after="133" w:line="259" w:lineRule="auto"/>
        <w:ind w:right="0"/>
      </w:pPr>
      <w:r>
        <w:rPr>
          <w:i/>
        </w:rPr>
        <w:t>Поражение центральной нервной системы:</w:t>
      </w:r>
    </w:p>
    <w:p w:rsidR="008E3F15" w:rsidRDefault="005F449A">
      <w:pPr>
        <w:spacing w:after="179"/>
        <w:ind w:left="340" w:right="6827"/>
      </w:pPr>
      <w:r>
        <w:rPr>
          <w:rFonts w:ascii="Calibri" w:eastAsia="Calibri" w:hAnsi="Calibri" w:cs="Calibri"/>
          <w:noProof/>
          <w:color w:val="000000"/>
          <w:sz w:val="22"/>
        </w:rPr>
        <mc:AlternateContent>
          <mc:Choice Requires="wpg">
            <w:drawing>
              <wp:anchor distT="0" distB="0" distL="114300" distR="114300" simplePos="0" relativeHeight="251906048" behindDoc="0" locked="0" layoutInCell="1" allowOverlap="1">
                <wp:simplePos x="0" y="0"/>
                <wp:positionH relativeFrom="column">
                  <wp:posOffset>209550</wp:posOffset>
                </wp:positionH>
                <wp:positionV relativeFrom="paragraph">
                  <wp:posOffset>34727</wp:posOffset>
                </wp:positionV>
                <wp:extent cx="57150" cy="209550"/>
                <wp:effectExtent l="0" t="0" r="0" b="0"/>
                <wp:wrapSquare wrapText="bothSides"/>
                <wp:docPr id="331199" name="Group 331199"/>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19238" name="Shape 19238"/>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181"/>
                                  <a:pt x="39510" y="54570"/>
                                </a:cubicBezTo>
                                <a:cubicBezTo>
                                  <a:pt x="36009" y="56158"/>
                                  <a:pt x="32364" y="57150"/>
                                  <a:pt x="28575" y="57150"/>
                                </a:cubicBezTo>
                                <a:cubicBezTo>
                                  <a:pt x="24786" y="57150"/>
                                  <a:pt x="21141" y="56158"/>
                                  <a:pt x="17640" y="54570"/>
                                </a:cubicBezTo>
                                <a:cubicBezTo>
                                  <a:pt x="14139" y="53181"/>
                                  <a:pt x="11049" y="51197"/>
                                  <a:pt x="8369" y="48617"/>
                                </a:cubicBezTo>
                                <a:cubicBezTo>
                                  <a:pt x="5690" y="45839"/>
                                  <a:pt x="3625" y="42664"/>
                                  <a:pt x="2175" y="39291"/>
                                </a:cubicBezTo>
                                <a:cubicBezTo>
                                  <a:pt x="725" y="35719"/>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40" name="Shape 19240"/>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288"/>
                                  <a:pt x="54975" y="17661"/>
                                </a:cubicBezTo>
                                <a:cubicBezTo>
                                  <a:pt x="56425" y="21034"/>
                                  <a:pt x="57150" y="24805"/>
                                  <a:pt x="57150" y="28575"/>
                                </a:cubicBezTo>
                                <a:cubicBezTo>
                                  <a:pt x="57150" y="32147"/>
                                  <a:pt x="56425" y="35719"/>
                                  <a:pt x="54975" y="39291"/>
                                </a:cubicBezTo>
                                <a:cubicBezTo>
                                  <a:pt x="53525" y="42863"/>
                                  <a:pt x="51460" y="45839"/>
                                  <a:pt x="48781" y="48617"/>
                                </a:cubicBezTo>
                                <a:cubicBezTo>
                                  <a:pt x="46101" y="51197"/>
                                  <a:pt x="43011" y="53181"/>
                                  <a:pt x="39510" y="54769"/>
                                </a:cubicBezTo>
                                <a:cubicBezTo>
                                  <a:pt x="36009" y="56158"/>
                                  <a:pt x="32364" y="57150"/>
                                  <a:pt x="28575" y="57150"/>
                                </a:cubicBezTo>
                                <a:cubicBezTo>
                                  <a:pt x="24786" y="57150"/>
                                  <a:pt x="21141" y="56158"/>
                                  <a:pt x="17640" y="54769"/>
                                </a:cubicBezTo>
                                <a:cubicBezTo>
                                  <a:pt x="14139" y="53181"/>
                                  <a:pt x="11049" y="51197"/>
                                  <a:pt x="8369" y="48617"/>
                                </a:cubicBezTo>
                                <a:cubicBezTo>
                                  <a:pt x="5690" y="45839"/>
                                  <a:pt x="3625" y="42863"/>
                                  <a:pt x="2175" y="39291"/>
                                </a:cubicBezTo>
                                <a:cubicBezTo>
                                  <a:pt x="725" y="35719"/>
                                  <a:pt x="0" y="32147"/>
                                  <a:pt x="0" y="28575"/>
                                </a:cubicBezTo>
                                <a:cubicBezTo>
                                  <a:pt x="0" y="24805"/>
                                  <a:pt x="725" y="21034"/>
                                  <a:pt x="2175" y="17661"/>
                                </a:cubicBezTo>
                                <a:cubicBezTo>
                                  <a:pt x="3625" y="14288"/>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199" style="width:4.5pt;height:16.5pt;position:absolute;mso-position-horizontal-relative:text;mso-position-horizontal:absolute;margin-left:16.5pt;mso-position-vertical-relative:text;margin-top:2.73438pt;" coordsize="571,2095">
                <v:shape id="Shape 19238" style="position:absolute;width:571;height:571;left:0;top:0;" coordsize="57150,57150" path="m28575,0c32364,0,36009,595,39510,1984c43011,3373,46101,5556,48781,8334c51460,10914,53525,14089,54975,17463c56425,20836,57150,24606,57150,28575c57150,32345,56425,35917,54975,39489c53525,42863,51460,45839,48781,48617c46101,51197,43011,53181,39510,54570c36009,56158,32364,57150,28575,57150c24786,57150,21141,56158,17640,54570c14139,53181,11049,51197,8369,48617c5690,45839,3625,42664,2175,39291c725,35719,0,32345,0,28575c0,24606,725,20836,2175,17463c3625,14089,5690,10914,8369,8334c11049,5556,14139,3373,17640,1984c21141,595,24786,0,28575,0x">
                  <v:stroke weight="0pt" endcap="flat" joinstyle="miter" miterlimit="10" on="false" color="#000000" opacity="0"/>
                  <v:fill on="true" color="#333333"/>
                </v:shape>
                <v:shape id="Shape 19240" style="position:absolute;width:571;height:571;left:0;top:1524;" coordsize="57150,57150" path="m28575,0c32364,0,36009,794,39510,2183c43011,3572,46101,5755,48781,8334c51460,11113,53525,14288,54975,17661c56425,21034,57150,24805,57150,28575c57150,32147,56425,35719,54975,39291c53525,42863,51460,45839,48781,48617c46101,51197,43011,53181,39510,54769c36009,56158,32364,57150,28575,57150c24786,57150,21141,56158,17640,54769c14139,53181,11049,51197,8369,48617c5690,45839,3625,42863,2175,39291c725,35719,0,32147,0,28575c0,24805,725,21034,2175,17661c3625,14288,5690,11113,8369,8334c11049,5755,14139,3572,17640,2183c21141,794,24786,0,28575,0x">
                  <v:stroke weight="0pt" endcap="flat" joinstyle="miter" miterlimit="10" on="false" color="#000000" opacity="0"/>
                  <v:fill on="true" color="#333333"/>
                </v:shape>
                <w10:wrap type="square"/>
              </v:group>
            </w:pict>
          </mc:Fallback>
        </mc:AlternateContent>
      </w:r>
      <w:r>
        <w:t>энцефалопатия; миелопатия.</w:t>
      </w:r>
    </w:p>
    <w:p w:rsidR="008E3F15" w:rsidRDefault="005F449A">
      <w:pPr>
        <w:spacing w:after="133" w:line="259" w:lineRule="auto"/>
        <w:ind w:right="0"/>
      </w:pPr>
      <w:r>
        <w:rPr>
          <w:i/>
        </w:rPr>
        <w:t>Поражение периферической нервной системы:</w:t>
      </w:r>
    </w:p>
    <w:p w:rsidR="008E3F15" w:rsidRDefault="005F449A">
      <w:pPr>
        <w:spacing w:after="31"/>
        <w:ind w:left="610" w:right="15"/>
      </w:pPr>
      <w:r>
        <w:rPr>
          <w:rFonts w:ascii="Calibri" w:eastAsia="Calibri" w:hAnsi="Calibri" w:cs="Calibri"/>
          <w:noProof/>
          <w:color w:val="000000"/>
          <w:sz w:val="22"/>
        </w:rPr>
        <mc:AlternateContent>
          <mc:Choice Requires="wpg">
            <w:drawing>
              <wp:anchor distT="0" distB="0" distL="114300" distR="114300" simplePos="0" relativeHeight="251907072" behindDoc="0" locked="0" layoutInCell="1" allowOverlap="1">
                <wp:simplePos x="0" y="0"/>
                <wp:positionH relativeFrom="column">
                  <wp:posOffset>209550</wp:posOffset>
                </wp:positionH>
                <wp:positionV relativeFrom="paragraph">
                  <wp:posOffset>34727</wp:posOffset>
                </wp:positionV>
                <wp:extent cx="438150" cy="971550"/>
                <wp:effectExtent l="0" t="0" r="0" b="0"/>
                <wp:wrapSquare wrapText="bothSides"/>
                <wp:docPr id="331200" name="Group 331200"/>
                <wp:cNvGraphicFramePr/>
                <a:graphic xmlns:a="http://schemas.openxmlformats.org/drawingml/2006/main">
                  <a:graphicData uri="http://schemas.microsoft.com/office/word/2010/wordprocessingGroup">
                    <wpg:wgp>
                      <wpg:cNvGrpSpPr/>
                      <wpg:grpSpPr>
                        <a:xfrm>
                          <a:off x="0" y="0"/>
                          <a:ext cx="438150" cy="971550"/>
                          <a:chOff x="0" y="0"/>
                          <a:chExt cx="438150" cy="971550"/>
                        </a:xfrm>
                      </wpg:grpSpPr>
                      <wps:wsp>
                        <wps:cNvPr id="19243" name="Shape 19243"/>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3891"/>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45" name="Shape 19245"/>
                        <wps:cNvSpPr/>
                        <wps:spPr>
                          <a:xfrm>
                            <a:off x="381000" y="1524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70"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70"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47" name="Shape 19247"/>
                        <wps:cNvSpPr/>
                        <wps:spPr>
                          <a:xfrm>
                            <a:off x="38100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70" y="48816"/>
                                </a:cubicBezTo>
                                <a:cubicBezTo>
                                  <a:pt x="5690" y="45839"/>
                                  <a:pt x="3625" y="42863"/>
                                  <a:pt x="2175" y="39291"/>
                                </a:cubicBezTo>
                                <a:cubicBezTo>
                                  <a:pt x="725" y="35917"/>
                                  <a:pt x="0" y="32345"/>
                                  <a:pt x="0" y="28575"/>
                                </a:cubicBezTo>
                                <a:cubicBezTo>
                                  <a:pt x="0" y="24606"/>
                                  <a:pt x="725" y="20836"/>
                                  <a:pt x="2175" y="17463"/>
                                </a:cubicBezTo>
                                <a:cubicBezTo>
                                  <a:pt x="3625" y="13692"/>
                                  <a:pt x="5690" y="10716"/>
                                  <a:pt x="8370"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49" name="Shape 19249"/>
                        <wps:cNvSpPr/>
                        <wps:spPr>
                          <a:xfrm>
                            <a:off x="381000" y="4572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70" y="48816"/>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70"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52" name="Shape 19252"/>
                        <wps:cNvSpPr/>
                        <wps:spPr>
                          <a:xfrm>
                            <a:off x="381000" y="7620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70"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70"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54" name="Shape 19254"/>
                        <wps:cNvSpPr/>
                        <wps:spPr>
                          <a:xfrm>
                            <a:off x="381000" y="914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70"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70"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200" style="width:34.5pt;height:76.5pt;position:absolute;mso-position-horizontal-relative:text;mso-position-horizontal:absolute;margin-left:16.5pt;mso-position-vertical-relative:text;margin-top:2.73438pt;" coordsize="4381,9715">
                <v:shape id="Shape 19243" style="position:absolute;width:571;height:571;left:0;top:0;" coordsize="57150,57150" path="m28575,0c32364,0,36009,794,39510,2183c43011,3572,46101,5556,48781,8334c51460,10716,53525,13891,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661c3625,13891,5690,10716,8369,8334c11049,5556,14139,3572,17640,2183c21141,794,24786,0,28575,0x">
                  <v:stroke weight="0pt" endcap="flat" joinstyle="miter" miterlimit="10" on="false" color="#000000" opacity="0"/>
                  <v:fill on="true" color="#333333"/>
                </v:shape>
                <v:shape id="Shape 19245" style="position:absolute;width:571;height:571;left:3810;top:1524;"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70,48816c5690,46038,3625,42863,2175,39291c725,35917,0,32345,0,28575c0,24606,725,20836,2175,17463c3625,13891,5690,10716,8370,8334c11049,5358,14139,3572,17640,2183c21141,794,24786,0,28575,0x">
                  <v:stroke weight="0pt" endcap="flat" joinstyle="miter" miterlimit="10" on="false" color="#000000" opacity="0"/>
                  <v:fill on="true" color="#333333"/>
                </v:shape>
                <v:shape id="Shape 19247" style="position:absolute;width:571;height:571;left:3810;top:3048;" coordsize="57150,57150" path="m28575,0c32364,0,36009,794,39510,2183c43011,3572,46101,5556,48781,8334c51460,10716,53525,13692,54975,17463c56425,20836,57150,24606,57150,28575c57150,32345,56425,35917,54975,39291c53525,42863,51460,45839,48781,48816c46101,51197,43011,53380,39510,54769c36009,56356,32364,57150,28575,57150c24786,57150,21141,56356,17640,54769c14139,53380,11049,51197,8370,48816c5690,45839,3625,42863,2175,39291c725,35917,0,32345,0,28575c0,24606,725,20836,2175,17463c3625,13692,5690,10716,8370,8334c11049,5556,14139,3572,17640,2183c21141,794,24786,0,28575,0x">
                  <v:stroke weight="0pt" endcap="flat" joinstyle="miter" miterlimit="10" on="false" color="#000000" opacity="0"/>
                  <v:fill on="true" color="#333333"/>
                </v:shape>
                <v:shape id="Shape 19249" style="position:absolute;width:571;height:571;left:3810;top:4572;" coordsize="57150,57150" path="m28575,0c32364,0,36009,794,39510,2183c43011,3572,46101,5358,48781,8334c51460,10716,53525,13891,54975,17463c56425,20836,57150,24606,57150,28575c57150,32345,56425,35917,54975,39291c53525,42863,51460,46038,48781,48816c46101,51395,43011,53578,39510,54769c36009,56356,32364,57150,28575,57150c24786,57150,21141,56356,17640,54769c14139,53578,11049,51395,8370,48816c5690,46038,3625,42863,2175,39291c725,35917,0,32345,0,28575c0,24606,725,20836,2175,17463c3625,13891,5690,10716,8370,8334c11049,5358,14139,3572,17640,2183c21141,794,24786,0,28575,0x">
                  <v:stroke weight="0pt" endcap="flat" joinstyle="miter" miterlimit="10" on="false" color="#000000" opacity="0"/>
                  <v:fill on="true" color="#333333"/>
                </v:shape>
                <v:shape id="Shape 19252" style="position:absolute;width:571;height:571;left:3810;top:7620;" coordsize="57150,57150" path="m28575,0c32364,0,36009,794,39510,2183c43011,3572,46101,5556,48781,8334c51460,10914,53525,14089,54975,17661c56425,21034,57150,24805,57150,28575c57150,32345,56425,35917,54975,39291c53525,42863,51460,46038,48781,48816c46101,51395,43011,53578,39510,54769c36009,56356,32364,57150,28575,57150c24786,57150,21141,56356,17640,54769c14139,53578,11049,51395,8370,48816c5690,46038,3625,42863,2175,39291c725,35917,0,32345,0,28575c0,24805,725,21034,2175,17661c3625,14089,5690,10914,8370,8334c11049,5556,14139,3572,17640,2183c21141,794,24786,0,28575,0x">
                  <v:stroke weight="0pt" endcap="flat" joinstyle="miter" miterlimit="10" on="false" color="#000000" opacity="0"/>
                  <v:fill on="true" color="#333333"/>
                </v:shape>
                <v:shape id="Shape 19254" style="position:absolute;width:571;height:571;left:3810;top:9144;" coordsize="57150,57150" path="m28575,0c32364,0,36009,794,39510,2183c43011,3572,46101,5556,48781,8334c51460,10914,53525,14089,54975,17661c56425,21034,57150,24805,57150,28575c57150,32345,56425,35917,54975,39291c53525,42863,51460,45839,48781,48816c46101,51197,43011,53380,39510,54769c36009,56356,32364,57150,28575,57150c24786,57150,21141,56356,17640,54769c14139,53380,11049,51197,8370,48816c5690,45839,3625,42863,2175,39291c725,35917,0,32345,0,28575c0,24805,725,21034,2175,17661c3625,14089,5690,10914,8370,8334c11049,5556,14139,3572,17640,2183c21141,794,24786,0,28575,0x">
                  <v:stroke weight="0pt" endcap="flat" joinstyle="miter" miterlimit="10" on="false" color="#000000" opacity="0"/>
                  <v:fill on="true" color="#333333"/>
                </v:shape>
                <w10:wrap type="square"/>
              </v:group>
            </w:pict>
          </mc:Fallback>
        </mc:AlternateContent>
      </w:r>
      <w:r>
        <w:t>диабетическая полиневропатия:</w:t>
      </w:r>
    </w:p>
    <w:p w:rsidR="008E3F15" w:rsidRDefault="005F449A">
      <w:pPr>
        <w:ind w:left="340" w:right="2133"/>
      </w:pPr>
      <w:r>
        <w:t>дистальная сенсо-моторно-вегетативная полиневропатия; острая сенсорная (болезненная) полиневропатия;</w:t>
      </w:r>
    </w:p>
    <w:p w:rsidR="008E3F15" w:rsidRDefault="005F449A">
      <w:pPr>
        <w:ind w:left="340" w:right="15"/>
      </w:pPr>
      <w:r>
        <w:t xml:space="preserve">вегетативная полиневропатия с развитием периферической </w:t>
      </w:r>
      <w:r>
        <w:t>вегетативной недостаточности при минимальных сенсорных и моторных нарушениях; проксимальная моторная полиневропатия (преимущественно в ногах); гипогликемическая полиневропатия (сенсомоторный вариант на фоне повторяющихся эпизодов гипогликемии);</w:t>
      </w:r>
    </w:p>
    <w:p w:rsidR="008E3F15" w:rsidRDefault="005F449A">
      <w:pPr>
        <w:spacing w:after="179"/>
        <w:ind w:left="340" w:right="4910"/>
      </w:pPr>
      <w:r>
        <w:rPr>
          <w:rFonts w:ascii="Calibri" w:eastAsia="Calibri" w:hAnsi="Calibri" w:cs="Calibri"/>
          <w:noProof/>
          <w:color w:val="000000"/>
          <w:sz w:val="22"/>
        </w:rPr>
        <mc:AlternateContent>
          <mc:Choice Requires="wpg">
            <w:drawing>
              <wp:anchor distT="0" distB="0" distL="114300" distR="114300" simplePos="0" relativeHeight="251908096"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31201" name="Group 33120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9257" name="Shape 19257"/>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59" name="Shape 19259"/>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61" name="Shape 19261"/>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181"/>
                                  <a:pt x="39510" y="54769"/>
                                </a:cubicBezTo>
                                <a:cubicBezTo>
                                  <a:pt x="36009" y="56356"/>
                                  <a:pt x="32364" y="57150"/>
                                  <a:pt x="28575" y="57150"/>
                                </a:cubicBezTo>
                                <a:cubicBezTo>
                                  <a:pt x="24786" y="57150"/>
                                  <a:pt x="21141" y="56356"/>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201" style="width:4.5pt;height:28.5pt;position:absolute;mso-position-horizontal-relative:text;mso-position-horizontal:absolute;margin-left:16.5pt;mso-position-vertical-relative:text;margin-top:2.73438pt;" coordsize="571,3619">
                <v:shape id="Shape 19257" style="position:absolute;width:571;height:571;left:0;top:0;" coordsize="57150,57150" path="m28575,0c32364,0,36009,794,39510,2183c43011,3572,46101,5556,48781,8334c51460,10914,53525,14089,54975,17661c56425,21034,57150,24805,57150,28575c57150,32345,56425,36116,54975,39489c53525,42863,51460,46038,48781,48816c46101,51197,43011,53380,39510,54769c36009,56356,32364,57150,28575,57150c24786,57150,21141,56356,17640,54769c14139,53380,11049,51197,8369,48816c5690,46038,3625,42863,2175,39291c725,35917,0,32345,0,28575c0,24805,725,21034,2175,17661c3625,14089,5690,10914,8369,8334c11049,5556,14139,3572,17640,2183c21141,794,24786,0,28575,0x">
                  <v:stroke weight="0pt" endcap="flat" joinstyle="miter" miterlimit="10" on="false" color="#000000" opacity="0"/>
                  <v:fill on="true" color="#333333"/>
                </v:shape>
                <v:shape id="Shape 19259" style="position:absolute;width:571;height:571;left:0;top:1524;" coordsize="57150,57150" path="m28575,0c32364,0,36009,794,39510,2183c43011,3572,46101,5556,48781,8334c51460,10914,53525,14089,54975,17661c56425,21034,57150,24805,57150,28575c57150,32345,56425,35917,54975,39291c53525,42863,51460,45839,48781,48816c46101,51395,43011,53578,39510,54769c36009,56356,32364,57150,28575,57150c24786,57150,21141,56356,17640,54769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261" style="position:absolute;width:571;height:571;left:0;top:3048;" coordsize="57150,57150" path="m28575,0c32364,0,36009,794,39510,2183c43011,3572,46101,5556,48781,8334c51460,10914,53525,14089,54975,17661c56425,21034,57150,24805,57150,28575c57150,32345,56425,35917,54975,39291c53525,42863,51460,45839,48781,48816c46101,51197,43011,53181,39510,54769c36009,56356,32364,57150,28575,57150c24786,57150,21141,56356,17640,54769c14139,53181,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w10:wrap type="square"/>
              </v:group>
            </w:pict>
          </mc:Fallback>
        </mc:AlternateContent>
      </w:r>
      <w:r>
        <w:t>диабетичес</w:t>
      </w:r>
      <w:r>
        <w:t>кая мононевропатия; диабетическая радикулопатия; диабетическая плексопатия.</w:t>
      </w:r>
    </w:p>
    <w:p w:rsidR="008E3F15" w:rsidRDefault="005F449A">
      <w:pPr>
        <w:pStyle w:val="Heading2"/>
        <w:spacing w:after="0"/>
        <w:ind w:left="2"/>
      </w:pPr>
      <w:r>
        <w:t>Лечение</w:t>
      </w:r>
    </w:p>
    <w:p w:rsidR="008E3F15" w:rsidRDefault="005F449A">
      <w:pPr>
        <w:spacing w:after="179"/>
        <w:ind w:left="2" w:right="177"/>
      </w:pPr>
      <w:r>
        <w:t>Для профилактики и замедления прогрессирования невропатии важны ранняя диагностика и оптимальный контроль гликемии. Для устранения боли используют (ANN):</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909120"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31202" name="Group 331202"/>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9266" name="Shape 19266"/>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269" name="Shape 19269"/>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202" style="width:4.5pt;height:28.5pt;position:absolute;mso-position-horizontal-relative:text;mso-position-horizontal:absolute;margin-left:16.5pt;mso-position-vertical-relative:text;margin-top:2.73438pt;" coordsize="571,3619">
                <v:shape id="Shape 19266" style="position:absolute;width:571;height:571;left:0;top:0;" coordsize="57150,57150" path="m28575,0c32364,0,36009,595,39510,1984c43011,3572,46101,5556,48781,8334c51460,10914,53525,14089,54975,17463c56425,21034,57150,24805,57150,28575c57150,32345,56425,36116,54975,39489c53525,42863,51460,46038,48781,48816c46101,51395,43011,53578,39510,54967c36009,56356,32364,57150,28575,57150c24786,57150,21141,56356,17640,54967c14139,53578,11049,51395,8369,48816c5690,46038,3625,42863,2175,39489c725,36116,0,32345,0,28575c0,24805,725,21034,2175,17463c3625,14089,5690,10914,8369,8334c11049,5556,14139,3572,17640,1984c21141,595,24786,0,28575,0x">
                  <v:stroke weight="0pt" endcap="flat" joinstyle="miter" miterlimit="10" on="false" color="#000000" opacity="0"/>
                  <v:fill on="true" color="#333333"/>
                </v:shape>
                <v:shape id="Shape 19269" style="position:absolute;width:571;height:571;left:0;top:3048;" coordsize="57150,57150" path="m28575,0c32364,0,36009,595,39510,1984c43011,3572,46101,5556,48781,8334c51460,10914,53525,14089,54975,17463c56425,21034,57150,24805,57150,28575c57150,32345,56425,36116,54975,39489c53525,42863,51460,46038,48781,48816c46101,51395,43011,53578,39510,54967c36009,56356,32364,57150,28575,57150c24786,57150,21141,56356,17640,54967c14139,53578,11049,51395,8369,48816c5690,46038,3625,42863,2175,39489c725,36116,0,32345,0,28575c0,24805,725,21034,2175,17463c3625,14089,5690,10914,8369,8334c11049,5556,14139,3572,17640,1984c21141,595,24786,0,28575,0x">
                  <v:stroke weight="0pt" endcap="flat" joinstyle="miter" miterlimit="10" on="false" color="#000000" opacity="0"/>
                  <v:fill on="true" color="#333333"/>
                </v:shape>
                <w10:wrap type="square"/>
              </v:group>
            </w:pict>
          </mc:Fallback>
        </mc:AlternateContent>
      </w:r>
      <w:r>
        <w:t xml:space="preserve">антидепрессанты: </w:t>
      </w:r>
      <w:r>
        <w:t>амитриптилин/имипрамин 75–150 мг, дулоксетин 40–60 мг/сут, венлафаксин 150–225 мг;</w:t>
      </w:r>
    </w:p>
    <w:p w:rsidR="008E3F15" w:rsidRDefault="005F449A">
      <w:pPr>
        <w:spacing w:after="359"/>
        <w:ind w:left="330" w:right="182" w:firstLine="180"/>
      </w:pPr>
      <w:r>
        <w:t xml:space="preserve">антиконвульсанты: окскарбазепин 1400–1800 мг/сут, прегабалин 300–600 мг/сут в 1– 3 приема, габапентин 900–3600 мг/сут, ламотриджин 200–400 мг/сут, лакосамид 400 мг/ сут в 2 </w:t>
      </w:r>
      <w:r>
        <w:t xml:space="preserve">приема, вальпроевая кислота 1000–1200 мг/сут в 2–3 приема; </w:t>
      </w:r>
      <w:r>
        <w:rPr>
          <w:rFonts w:ascii="Calibri" w:eastAsia="Calibri" w:hAnsi="Calibri" w:cs="Calibri"/>
          <w:noProof/>
          <w:color w:val="000000"/>
          <w:sz w:val="22"/>
        </w:rPr>
        <mc:AlternateContent>
          <mc:Choice Requires="wpg">
            <w:drawing>
              <wp:inline distT="0" distB="0" distL="0" distR="0">
                <wp:extent cx="57150" cy="57150"/>
                <wp:effectExtent l="0" t="0" r="0" b="0"/>
                <wp:docPr id="331203" name="Group 33120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19273" name="Shape 19273"/>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863"/>
                                  <a:pt x="51460" y="45839"/>
                                  <a:pt x="48781" y="48816"/>
                                </a:cubicBezTo>
                                <a:cubicBezTo>
                                  <a:pt x="46101" y="51197"/>
                                  <a:pt x="43011" y="53380"/>
                                  <a:pt x="39510" y="54967"/>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1203" style="width:4.5pt;height:4.5pt;mso-position-horizontal-relative:char;mso-position-vertical-relative:line" coordsize="571,571">
                <v:shape id="Shape 19273" style="position:absolute;width:571;height:571;left:0;top:0;" coordsize="57150,57150" path="m28575,0c32364,0,36009,794,39510,2183c43011,3572,46101,5755,48781,8334c51460,10914,53525,14089,54975,17463c56425,21034,57150,24805,57150,28575c57150,32147,56425,35719,54975,39291c53525,42863,51460,45839,48781,48816c46101,51197,43011,53380,39510,54967c36009,56356,32364,57150,28575,57150c24786,57150,21141,56356,17640,54967c14139,53380,11049,51197,8369,48816c5690,45839,3625,42863,2175,39291c725,35719,0,32147,0,28575c0,24805,725,21034,2175,17463c3625,14089,5690,10914,8369,8334c11049,5755,14139,3572,17640,2183c21141,794,24786,0,28575,0x">
                  <v:stroke weight="0pt" endcap="flat" joinstyle="miter" miterlimit="10" on="false" color="#000000" opacity="0"/>
                  <v:fill on="true" color="#333333"/>
                </v:shape>
              </v:group>
            </w:pict>
          </mc:Fallback>
        </mc:AlternateContent>
      </w:r>
      <w:r>
        <w:t xml:space="preserve"> местные препараты, содержащие капсаицин, лидокаин.</w:t>
      </w:r>
    </w:p>
    <w:p w:rsidR="008E3F15" w:rsidRDefault="005F449A">
      <w:pPr>
        <w:pStyle w:val="Heading1"/>
        <w:ind w:left="2"/>
      </w:pPr>
      <w:r>
        <w:t>Часть II. Коморбидные болезни</w:t>
      </w:r>
    </w:p>
    <w:p w:rsidR="008E3F15" w:rsidRDefault="005F449A">
      <w:pPr>
        <w:spacing w:after="31"/>
        <w:ind w:left="2" w:right="15"/>
      </w:pPr>
      <w:r>
        <w:t>Эффективность препаратов α-липоевой кислоты надежно не доказана.</w:t>
      </w:r>
    </w:p>
    <w:p w:rsidR="008E3F15" w:rsidRDefault="005F449A">
      <w:pPr>
        <w:pStyle w:val="Heading2"/>
        <w:ind w:left="2"/>
      </w:pPr>
      <w:r>
        <w:t>Синдром диабетической стопы</w:t>
      </w:r>
    </w:p>
    <w:p w:rsidR="008E3F15" w:rsidRDefault="005F449A">
      <w:pPr>
        <w:ind w:left="2" w:right="15"/>
      </w:pPr>
      <w:r>
        <w:t>Синдром диабетической стопы — патологическое состояние стопы при СД, характеризующееся поражением кожи, мягких тканей, костей и суставов.</w:t>
      </w:r>
    </w:p>
    <w:p w:rsidR="008E3F15" w:rsidRDefault="005F449A">
      <w:pPr>
        <w:pStyle w:val="Heading2"/>
        <w:spacing w:after="0"/>
        <w:ind w:left="2"/>
      </w:pPr>
      <w:r>
        <w:t>Классификация</w:t>
      </w:r>
    </w:p>
    <w:p w:rsidR="008E3F15" w:rsidRDefault="005F449A">
      <w:pPr>
        <w:ind w:left="2" w:right="15"/>
      </w:pPr>
      <w:r>
        <w:t>Невропатическая форма — безболезненные повреждения (некрозы) в местах давления, остеоартропатия с деформ</w:t>
      </w:r>
      <w:r>
        <w:t>ацией суставов стоп, голеностопных.</w:t>
      </w:r>
    </w:p>
    <w:p w:rsidR="008E3F15" w:rsidRDefault="005F449A">
      <w:pPr>
        <w:ind w:left="2" w:right="15"/>
      </w:pPr>
      <w:r>
        <w:t>Ишемическая форма (болезнь артерий ног) — болезненные акральные некрозы (кончиков пальцев, краев пяток), снижение пульсации сосудов ног и лодыжечно-плечевого индекса, перемежающаяся хромота.</w:t>
      </w:r>
    </w:p>
    <w:p w:rsidR="008E3F15" w:rsidRDefault="005F449A">
      <w:pPr>
        <w:ind w:left="2" w:right="15"/>
      </w:pPr>
      <w:r>
        <w:t>Нейро-ишемическая форма — соч</w:t>
      </w:r>
      <w:r>
        <w:t>етание повреждений невропатической и ишемической форм.</w:t>
      </w:r>
    </w:p>
    <w:p w:rsidR="008E3F15" w:rsidRDefault="005F449A">
      <w:pPr>
        <w:pStyle w:val="Heading2"/>
        <w:spacing w:after="0"/>
        <w:ind w:left="2"/>
      </w:pPr>
      <w:r>
        <w:t>Лечение невропатической формы</w:t>
      </w:r>
    </w:p>
    <w:p w:rsidR="008E3F15" w:rsidRDefault="005F449A">
      <w:pPr>
        <w:ind w:left="2" w:right="15"/>
      </w:pPr>
      <w:r>
        <w:t>Разгрузка пораженной конечности (лечебно-разгрузочная обувь, индивидуальная разгрузочная повязка, кресло-каталка).</w:t>
      </w:r>
    </w:p>
    <w:p w:rsidR="008E3F15" w:rsidRDefault="005F449A">
      <w:pPr>
        <w:spacing w:after="31"/>
        <w:ind w:left="2" w:right="15"/>
      </w:pPr>
      <w:r>
        <w:t>Первичная обработка раны с удалением нежизнеспособных тк</w:t>
      </w:r>
      <w:r>
        <w:t>аней.</w:t>
      </w:r>
    </w:p>
    <w:p w:rsidR="008E3F15" w:rsidRDefault="005F449A">
      <w:pPr>
        <w:ind w:left="2" w:right="15"/>
      </w:pPr>
      <w:r>
        <w:t>Антибактериальная терапия (клиндамицин, фторхинолоны, цефалоспорины) при язвенных дефектах с признаками инфекции и ранах 2-й степени и глубже.</w:t>
      </w:r>
    </w:p>
    <w:p w:rsidR="008E3F15" w:rsidRDefault="005F449A">
      <w:pPr>
        <w:spacing w:after="345"/>
        <w:ind w:left="2" w:right="15"/>
      </w:pPr>
      <w:r>
        <w:t>Атравматические перевязочные средства, соответствующие стадии раневого процесса.</w:t>
      </w:r>
    </w:p>
    <w:p w:rsidR="008E3F15" w:rsidRDefault="005F449A">
      <w:pPr>
        <w:pStyle w:val="Heading1"/>
        <w:ind w:left="2"/>
      </w:pPr>
      <w:r>
        <w:t>Часть II. Коморбидные боле</w:t>
      </w:r>
      <w:r>
        <w:t>зни</w:t>
      </w:r>
    </w:p>
    <w:p w:rsidR="008E3F15" w:rsidRDefault="005F449A">
      <w:pPr>
        <w:spacing w:after="31"/>
        <w:ind w:left="2" w:right="15"/>
      </w:pPr>
      <w:r>
        <w:t>Коморбидность</w:t>
      </w:r>
    </w:p>
    <w:p w:rsidR="008E3F15" w:rsidRDefault="005F449A">
      <w:pPr>
        <w:ind w:left="2" w:right="15"/>
      </w:pPr>
      <w:r>
        <w:t xml:space="preserve">Особенности лечения СД 2-го типа при частых сопутствующих заболеваниях и состояниях представлены в </w:t>
      </w:r>
      <w:r>
        <w:rPr>
          <w:b/>
        </w:rPr>
        <w:t>табл. 16.12</w:t>
      </w:r>
      <w:r>
        <w:t xml:space="preserve"> (Белялов Ф.И., 2022).</w:t>
      </w:r>
    </w:p>
    <w:p w:rsidR="008E3F15" w:rsidRDefault="005F449A">
      <w:pPr>
        <w:spacing w:after="31"/>
        <w:ind w:left="2" w:right="15"/>
      </w:pPr>
      <w:r>
        <w:rPr>
          <w:b/>
        </w:rPr>
        <w:t xml:space="preserve">Таблица 16.12. </w:t>
      </w:r>
      <w:r>
        <w:t>Выбор препаратов у пациентов с диабетом в условиях коморбидности</w:t>
      </w:r>
    </w:p>
    <w:tbl>
      <w:tblPr>
        <w:tblStyle w:val="TableGrid"/>
        <w:tblW w:w="10485" w:type="dxa"/>
        <w:tblInd w:w="30" w:type="dxa"/>
        <w:tblCellMar>
          <w:top w:w="80" w:type="dxa"/>
          <w:left w:w="39" w:type="dxa"/>
          <w:bottom w:w="0" w:type="dxa"/>
          <w:right w:w="115" w:type="dxa"/>
        </w:tblCellMar>
        <w:tblLook w:val="04A0" w:firstRow="1" w:lastRow="0" w:firstColumn="1" w:lastColumn="0" w:noHBand="0" w:noVBand="1"/>
      </w:tblPr>
      <w:tblGrid>
        <w:gridCol w:w="2295"/>
        <w:gridCol w:w="4410"/>
        <w:gridCol w:w="3780"/>
      </w:tblGrid>
      <w:tr w:rsidR="008E3F15">
        <w:trPr>
          <w:trHeight w:val="33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Коморбидность</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rPr>
                <w:b/>
              </w:rPr>
              <w:t>Предпочтите</w:t>
            </w:r>
            <w:r>
              <w:rPr>
                <w:b/>
              </w:rPr>
              <w:t>льные препараты</w:t>
            </w:r>
          </w:p>
        </w:tc>
        <w:tc>
          <w:tcPr>
            <w:tcW w:w="3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Нежелательные препараты</w:t>
            </w:r>
          </w:p>
        </w:tc>
      </w:tr>
      <w:tr w:rsidR="008E3F15">
        <w:trPr>
          <w:trHeight w:val="57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Артериальная гипертензия</w:t>
            </w:r>
          </w:p>
        </w:tc>
        <w:tc>
          <w:tcPr>
            <w:tcW w:w="4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pPr>
            <w:r>
              <w:t>арГПП-1, иНГЛТ-2, пиоглитазон</w:t>
            </w:r>
          </w:p>
        </w:tc>
        <w:tc>
          <w:tcPr>
            <w:tcW w:w="37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r>
      <w:tr w:rsidR="008E3F15">
        <w:trPr>
          <w:trHeight w:val="33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Беременность</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Метформин, инсулин</w:t>
            </w:r>
          </w:p>
        </w:tc>
        <w:tc>
          <w:tcPr>
            <w:tcW w:w="3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арГПП-1</w:t>
            </w:r>
          </w:p>
        </w:tc>
      </w:tr>
      <w:tr w:rsidR="008E3F15">
        <w:trPr>
          <w:trHeight w:val="570"/>
        </w:trPr>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Гипогликемия</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Метформин, арГПП-1, иНГЛТ-2, иДПП-4, пиоглитазон</w:t>
            </w:r>
          </w:p>
        </w:tc>
        <w:tc>
          <w:tcPr>
            <w:tcW w:w="37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Глиниды, ПСМ, инсулин</w:t>
            </w:r>
          </w:p>
        </w:tc>
      </w:tr>
      <w:tr w:rsidR="008E3F15">
        <w:trPr>
          <w:trHeight w:val="57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Жировая болезнь печени</w:t>
            </w:r>
          </w:p>
        </w:tc>
        <w:tc>
          <w:tcPr>
            <w:tcW w:w="4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pPr>
            <w:r>
              <w:t>арГПП-1, иНГЛТ-2, пиоглитазон</w:t>
            </w:r>
          </w:p>
        </w:tc>
        <w:tc>
          <w:tcPr>
            <w:tcW w:w="37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r>
      <w:tr w:rsidR="008E3F15">
        <w:trPr>
          <w:trHeight w:val="57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Коронарная болезнь</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иНГЛТ-1, арГПП-1, ингибиторы αглюкозидазы, пиоглитазон</w:t>
            </w:r>
          </w:p>
        </w:tc>
        <w:tc>
          <w:tcPr>
            <w:tcW w:w="37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Глиниды, ПСМ</w:t>
            </w:r>
          </w:p>
        </w:tc>
      </w:tr>
      <w:tr w:rsidR="008E3F15">
        <w:trPr>
          <w:trHeight w:val="870"/>
        </w:trPr>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Ожирение</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21" w:line="216" w:lineRule="auto"/>
              <w:ind w:left="11" w:right="0" w:firstLine="0"/>
            </w:pPr>
            <w:r>
              <w:t>арГПП-1 (семаглутид, лираглутид, дулаглутид), метформин, иНГЛТ-1,</w:t>
            </w:r>
          </w:p>
          <w:p w:rsidR="008E3F15" w:rsidRDefault="005F449A">
            <w:pPr>
              <w:spacing w:after="0" w:line="259" w:lineRule="auto"/>
              <w:ind w:left="11" w:right="0" w:firstLine="0"/>
            </w:pPr>
            <w:r>
              <w:t>тирзепатид</w:t>
            </w:r>
            <w:r>
              <w:rPr>
                <w:rFonts w:ascii="Times New Roman" w:eastAsia="Times New Roman" w:hAnsi="Times New Roman" w:cs="Times New Roman"/>
                <w:sz w:val="31"/>
                <w:vertAlign w:val="superscript"/>
              </w:rPr>
              <w:t>℘</w:t>
            </w:r>
          </w:p>
        </w:tc>
        <w:tc>
          <w:tcPr>
            <w:tcW w:w="37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Инсулин, глиниды, ПСМ, пиоглитазон</w:t>
            </w:r>
          </w:p>
        </w:tc>
      </w:tr>
      <w:tr w:rsidR="008E3F15">
        <w:trPr>
          <w:trHeight w:val="570"/>
        </w:trPr>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СН</w:t>
            </w:r>
          </w:p>
        </w:tc>
        <w:tc>
          <w:tcPr>
            <w:tcW w:w="4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pPr>
            <w:r>
              <w:t>иНГЛТ-1, метформин</w:t>
            </w:r>
          </w:p>
        </w:tc>
        <w:tc>
          <w:tcPr>
            <w:tcW w:w="3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Глиниды, инсулин, ПСМ, саксаглиптин, пиоглитазон</w:t>
            </w:r>
          </w:p>
        </w:tc>
      </w:tr>
      <w:tr w:rsidR="008E3F15">
        <w:trPr>
          <w:trHeight w:val="330"/>
        </w:trPr>
        <w:tc>
          <w:tcPr>
            <w:tcW w:w="22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ХБП</w:t>
            </w:r>
          </w:p>
        </w:tc>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иНГЛТ-1, арГПП-1, метформин</w:t>
            </w:r>
          </w:p>
        </w:tc>
        <w:tc>
          <w:tcPr>
            <w:tcW w:w="3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ПСМ</w:t>
            </w:r>
          </w:p>
        </w:tc>
      </w:tr>
      <w:tr w:rsidR="008E3F15">
        <w:trPr>
          <w:trHeight w:val="810"/>
        </w:trPr>
        <w:tc>
          <w:tcPr>
            <w:tcW w:w="22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Цирроз печени</w:t>
            </w:r>
          </w:p>
        </w:tc>
        <w:tc>
          <w:tcPr>
            <w:tcW w:w="44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1" w:right="0" w:firstLine="0"/>
            </w:pPr>
            <w:r>
              <w:t>Метформин, иНГЛТ-2, пиоглитазон</w:t>
            </w:r>
          </w:p>
        </w:tc>
        <w:tc>
          <w:tcPr>
            <w:tcW w:w="3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арГПП-1, иДПП-4, инсулин, глиниды, ПСМ, ингибиторы αглюкозидазы</w:t>
            </w:r>
          </w:p>
        </w:tc>
      </w:tr>
    </w:tbl>
    <w:p w:rsidR="008E3F15" w:rsidRDefault="005F449A">
      <w:pPr>
        <w:pStyle w:val="Heading1"/>
        <w:ind w:left="2"/>
      </w:pPr>
      <w:r>
        <w:t>Часть II. Коморбидные болезни</w:t>
      </w:r>
    </w:p>
    <w:p w:rsidR="008E3F15" w:rsidRDefault="005F449A">
      <w:pPr>
        <w:spacing w:after="31"/>
        <w:ind w:left="2" w:right="15"/>
      </w:pPr>
      <w:r>
        <w:t>Болезни сердца и диабет</w:t>
      </w:r>
    </w:p>
    <w:p w:rsidR="008E3F15" w:rsidRDefault="005F449A">
      <w:pPr>
        <w:ind w:left="2" w:right="15"/>
      </w:pPr>
      <w:r>
        <w:t>Выявлена связь выраженности хронической гипергликемии с частотой сердечно-сосудистых и почечных болезней (</w:t>
      </w:r>
      <w:r>
        <w:rPr>
          <w:b/>
        </w:rPr>
        <w:t>рис. 16.7</w:t>
      </w:r>
      <w:r>
        <w:t>). При ССЗ в качестве препарата первого ряда рекомедовано использовать иНГЛТ-2 или арГПП-1, которые лучше снижают сер</w:t>
      </w:r>
      <w:r>
        <w:t>дечно-сосудистые риски, чем другие антигипергликемические препараты (ESC/EASD; Xie Y. et al., 2023). Снижение сердечно-сосудистых рисков, связанное с приемом арГПП-1, не зависит от использования иНГЛТ-2.</w:t>
      </w:r>
    </w:p>
    <w:p w:rsidR="008E3F15" w:rsidRDefault="008E3F15">
      <w:pPr>
        <w:sectPr w:rsidR="008E3F15">
          <w:headerReference w:type="even" r:id="rId165"/>
          <w:headerReference w:type="default" r:id="rId166"/>
          <w:footerReference w:type="even" r:id="rId167"/>
          <w:footerReference w:type="default" r:id="rId168"/>
          <w:headerReference w:type="first" r:id="rId169"/>
          <w:footerReference w:type="first" r:id="rId170"/>
          <w:pgSz w:w="11899" w:h="16838"/>
          <w:pgMar w:top="570" w:right="667" w:bottom="562" w:left="690" w:header="334" w:footer="290" w:gutter="0"/>
          <w:cols w:space="720"/>
        </w:sectPr>
      </w:pPr>
    </w:p>
    <w:p w:rsidR="008E3F15" w:rsidRDefault="005F449A">
      <w:pPr>
        <w:spacing w:after="65" w:line="259" w:lineRule="auto"/>
        <w:ind w:left="7" w:right="0" w:firstLine="0"/>
      </w:pPr>
      <w:r>
        <w:rPr>
          <w:noProof/>
        </w:rPr>
        <w:drawing>
          <wp:inline distT="0" distB="0" distL="0" distR="0">
            <wp:extent cx="5057775" cy="2657475"/>
            <wp:effectExtent l="0" t="0" r="0" b="0"/>
            <wp:docPr id="19410" name="Picture 19410"/>
            <wp:cNvGraphicFramePr/>
            <a:graphic xmlns:a="http://schemas.openxmlformats.org/drawingml/2006/main">
              <a:graphicData uri="http://schemas.openxmlformats.org/drawingml/2006/picture">
                <pic:pic xmlns:pic="http://schemas.openxmlformats.org/drawingml/2006/picture">
                  <pic:nvPicPr>
                    <pic:cNvPr id="19410" name="Picture 19410"/>
                    <pic:cNvPicPr/>
                  </pic:nvPicPr>
                  <pic:blipFill>
                    <a:blip r:embed="rId171"/>
                    <a:stretch>
                      <a:fillRect/>
                    </a:stretch>
                  </pic:blipFill>
                  <pic:spPr>
                    <a:xfrm>
                      <a:off x="0" y="0"/>
                      <a:ext cx="5057775" cy="2657475"/>
                    </a:xfrm>
                    <a:prstGeom prst="rect">
                      <a:avLst/>
                    </a:prstGeom>
                  </pic:spPr>
                </pic:pic>
              </a:graphicData>
            </a:graphic>
          </wp:inline>
        </w:drawing>
      </w:r>
    </w:p>
    <w:p w:rsidR="008E3F15" w:rsidRDefault="005F449A">
      <w:pPr>
        <w:ind w:left="2" w:right="15"/>
      </w:pPr>
      <w:r>
        <w:rPr>
          <w:b/>
        </w:rPr>
        <w:t xml:space="preserve">Рис.16.7. </w:t>
      </w:r>
      <w:r>
        <w:t>Связь гликированного гемоглобина с частотой сердечно-сосудистых и почечных болезней (Honigberg M. et al., 2021)</w:t>
      </w:r>
    </w:p>
    <w:p w:rsidR="008E3F15" w:rsidRDefault="005F449A">
      <w:pPr>
        <w:ind w:left="2" w:right="15"/>
      </w:pPr>
      <w:r>
        <w:rPr>
          <w:b/>
        </w:rPr>
        <w:t xml:space="preserve">Хронические коронарные синдромы. </w:t>
      </w:r>
      <w:r>
        <w:t>СД способствует развитию атеросклероза, повышает частоту и тяжесть коронарной болезни. Однако нельзя рассматривать СД как эквивалент коронарной болезни, поскольку риск сердечно-сосудистых событий у пациентов с СД ниже, чем у пациентов с коронарной болезнью</w:t>
      </w:r>
      <w:r>
        <w:t>, и лишь тяжелый СД по степени сердечнососудистого риска приближается к коронарной болезни (REGARDS).</w:t>
      </w:r>
    </w:p>
    <w:p w:rsidR="008E3F15" w:rsidRDefault="005F449A">
      <w:pPr>
        <w:ind w:left="2" w:right="15"/>
      </w:pPr>
      <w:r>
        <w:t>Осложняет диагностику коронарной болезни повышенная частота безболевых форм — у 19% пациентов с СД 2-го типа без анамнеза ССЗ выявлена бессимптомная ишеми</w:t>
      </w:r>
      <w:r>
        <w:t>я мио карда (Kawano Y. et al., 2016).</w:t>
      </w:r>
    </w:p>
    <w:p w:rsidR="008E3F15" w:rsidRDefault="005F449A">
      <w:pPr>
        <w:ind w:left="2" w:right="15"/>
      </w:pPr>
      <w:r>
        <w:t>Вместе с тем исследования не подтверждают пользы скрининга бессимптомной коронарной болезни у пациентов с СД (Bauters C. et al., 2016).</w:t>
      </w:r>
    </w:p>
    <w:p w:rsidR="008E3F15" w:rsidRDefault="005F449A">
      <w:pPr>
        <w:ind w:left="2" w:right="15"/>
      </w:pPr>
      <w:r>
        <w:t>Во многих исследованиях показана безопасность продолжения приема метформина во вре</w:t>
      </w:r>
      <w:r>
        <w:t>мя ангиографии, поскольку риск лактацидоза очень мал. Лишь в случае рСКФ &lt;30 мл/мин на 1,73 м</w:t>
      </w:r>
      <w:r>
        <w:rPr>
          <w:sz w:val="31"/>
          <w:vertAlign w:val="superscript"/>
        </w:rPr>
        <w:t>2</w:t>
      </w:r>
      <w:r>
        <w:t xml:space="preserve"> препарат рекомендуют отменить на 48 ч до восстановления функции почек до исходного уровня (Американская коллегия ревматологов).</w:t>
      </w:r>
    </w:p>
    <w:p w:rsidR="008E3F15" w:rsidRDefault="005F449A">
      <w:pPr>
        <w:ind w:left="2" w:right="15"/>
      </w:pPr>
      <w:r>
        <w:t>Для лечения СД у пациентов со ста</w:t>
      </w:r>
      <w:r>
        <w:t>бильными ССЗ, наряду с метформином, рекомендуют иНГЛТ-2 и арГПП-1, способные снизить риск сердечно-сосудистых событий (Zelniker T. et al., 2020, Kristensen S. et al., 2019).</w:t>
      </w:r>
    </w:p>
    <w:p w:rsidR="008E3F15" w:rsidRDefault="005F449A">
      <w:pPr>
        <w:ind w:left="2" w:right="15"/>
      </w:pPr>
      <w:r>
        <w:t>Также можно использовать иДПП-4, не повышающие существенно риск гипогликемии. В то</w:t>
      </w:r>
      <w:r>
        <w:t xml:space="preserve"> же время ПСМ, стимулирующие секрецию инсулина, могут увеличить риск гипогликемии и ССЗ. Например, в исследовании CAROLINA хотя бы один эпизод гипогликемии зарегистрировали у 38% пациентов, получающих глимепирид, и у 11%, принимавших линаглиптин.</w:t>
      </w:r>
    </w:p>
    <w:p w:rsidR="008E3F15" w:rsidRDefault="005F449A">
      <w:pPr>
        <w:ind w:left="2" w:right="81"/>
      </w:pPr>
      <w:r>
        <w:rPr>
          <w:b/>
        </w:rPr>
        <w:t>Острые ко</w:t>
      </w:r>
      <w:r>
        <w:rPr>
          <w:b/>
        </w:rPr>
        <w:t xml:space="preserve">ронарные синдромы. </w:t>
      </w:r>
      <w:r>
        <w:t>У пациентов с СД имеется повышенный риск развития ИМ, включая малосимптомные формы и осложнения (Elliott M. et al., 2019). С другой стороны, нередко при ОКС выявляется госпитальная стрессовая гипергликемия, ассоциирующаяся с неблагоприят</w:t>
      </w:r>
      <w:r>
        <w:t>ным прогнозом.</w:t>
      </w:r>
    </w:p>
    <w:p w:rsidR="008E3F15" w:rsidRDefault="005F449A">
      <w:pPr>
        <w:ind w:left="2" w:right="517"/>
      </w:pPr>
      <w:r>
        <w:t>При гипергликемии &gt;10–11 ммоль/л рекомендуют проводить лечение с помощью антигипергликемических препаратов для достижения гликемии 7–10 ммоль/л, стараясь избегать гипогликемии. В исследовании DIGAMI-1 у пациентов с гликемией &gt;11 ммоль/л, кот</w:t>
      </w:r>
      <w:r>
        <w:t>орым проводили инфузию инсулина (со скоростью ≥1 ед/ч в 5% растворе декстрозы) с последующим переходом на многократные подкожные инъекции в течение 3 мес, улучшился годовой и 20-летний прогноз (Ritsinger V. et al., 2014). В последующем исследовании DIGAMI-</w:t>
      </w:r>
      <w:r>
        <w:t>2 не удалось добиться значимого снижения гликемии в группе интенсивной инсулинотерапии, и, соответственно, прогноз не улучшился.</w:t>
      </w:r>
    </w:p>
    <w:p w:rsidR="008E3F15" w:rsidRDefault="005F449A">
      <w:pPr>
        <w:ind w:left="2" w:right="15"/>
      </w:pPr>
      <w:r>
        <w:t>В случае умеренного повышения гликемии можно продолжить прием неинсулиновых препаратов, предпочтительнее без риска гипогликемич</w:t>
      </w:r>
      <w:r>
        <w:t>еских состояний. Привлекательно выглядят препараты с инкретиновым механизмом действия, которые, однако, не проверялись в крупных исследованиях у пациентов с ОКС.</w:t>
      </w:r>
    </w:p>
    <w:p w:rsidR="008E3F15" w:rsidRDefault="005F449A">
      <w:pPr>
        <w:ind w:left="2" w:right="15"/>
      </w:pPr>
      <w:r>
        <w:rPr>
          <w:b/>
        </w:rPr>
        <w:t xml:space="preserve">Сердечная недостаточность. </w:t>
      </w:r>
      <w:r>
        <w:t>У пациентов с диабетом СН встречается почти в четыре раза чаще, чем</w:t>
      </w:r>
      <w:r>
        <w:t xml:space="preserve"> в популяции, и обычно обусловлена коронарной болезнью, артериальной гипертензией или реже диабетической кардиомиопатией.</w:t>
      </w:r>
    </w:p>
    <w:p w:rsidR="008E3F15" w:rsidRDefault="005F449A">
      <w:pPr>
        <w:ind w:left="2" w:right="76"/>
      </w:pPr>
      <w:r>
        <w:t>Метформин ранее не рекомендовали при СН ввиду опасений лактацидоза, реальный риск которого очень низок. По данным большого метаанализа</w:t>
      </w:r>
      <w:r>
        <w:t xml:space="preserve"> исследований, прием метформина у пациентов с коронарной болезнью и СН снизил общую смертность и риск сердечнососудистых событий на 16 и 17% соответственно (Han Y. et al., 2019).</w:t>
      </w:r>
    </w:p>
    <w:p w:rsidR="008E3F15" w:rsidRDefault="005F449A">
      <w:pPr>
        <w:ind w:left="2" w:right="15"/>
      </w:pPr>
      <w:r>
        <w:t>иНГЛТ-2 (дапаглифлозин, эмпаглифлозин), обладающие диуретическим эффектом, ул</w:t>
      </w:r>
      <w:r>
        <w:t>учшают ремоделирование левого желудочка, уменьшают частоту госпитализаций с сердечной декомпенсацией, сердечно-сосудистую и общую смертность независимо от наличия СД, а также могут снизить риск появления СД 2-го типа у пациентов с СН, независимо от ФВЛЖ (D</w:t>
      </w:r>
      <w:r>
        <w:t>APA-HF, EMPEROR-Reduced; SUGAR-DM-HF). Важно, что эффект иНГЛТ-2 нельзя объяснить только влиянием на диурез, а увеличение натрийуреза и объема плазмы не сопровождается потерей калия, магния, нейрогормональной активацией, усилением дисфункции почек (Griffin</w:t>
      </w:r>
    </w:p>
    <w:p w:rsidR="008E3F15" w:rsidRDefault="005F449A">
      <w:pPr>
        <w:spacing w:after="31"/>
        <w:ind w:left="2" w:right="15"/>
      </w:pPr>
      <w:r>
        <w:t>M. et al., 2020).</w:t>
      </w:r>
    </w:p>
    <w:p w:rsidR="008E3F15" w:rsidRDefault="005F449A">
      <w:pPr>
        <w:spacing w:after="31"/>
        <w:ind w:left="2" w:right="15"/>
      </w:pPr>
      <w:r>
        <w:t>ПСМ могут увеличить риск ухудшения СН, поэтому должны приниматься с осторожностью</w:t>
      </w:r>
    </w:p>
    <w:p w:rsidR="008E3F15" w:rsidRDefault="005F449A">
      <w:pPr>
        <w:spacing w:after="31"/>
        <w:ind w:left="2" w:right="15"/>
      </w:pPr>
      <w:r>
        <w:t>(Tzoulaki I. et al., 2009; Roumie C. et al., 2017).</w:t>
      </w:r>
    </w:p>
    <w:p w:rsidR="008E3F15" w:rsidRDefault="005F449A">
      <w:pPr>
        <w:ind w:left="2" w:right="15"/>
      </w:pPr>
      <w:r>
        <w:t>У 5–7% пациентов при лечении глитазонами вследствие задержки жидкости появляются легкие или умеренные о</w:t>
      </w:r>
      <w:r>
        <w:t>теки, соответственно препараты могут повысить частоту или усилить СН (Hernandez A. et al., 2011).</w:t>
      </w:r>
    </w:p>
    <w:p w:rsidR="008E3F15" w:rsidRDefault="005F449A">
      <w:pPr>
        <w:spacing w:after="359"/>
        <w:ind w:left="2" w:right="15"/>
      </w:pPr>
      <w:r>
        <w:t>Существуют противоречивые оценки влияния иДПП-4 (саксаглиптин, алоглиптин) на риск госпитализаций с СН, что требует осторожности при лечении данной группой пр</w:t>
      </w:r>
      <w:r>
        <w:t>епаратов (TECOS; Li L. et al., 2016; Kongwatcharapong J. et al., 2016). Например, пациенты, принимавшие саксаглиптин, на 27% чаще госпитализировались с СН, чем в группе плацебо, в исследовании SAVOR-TIMI 53. Исследование EXAMINE не позволяет исключить повы</w:t>
      </w:r>
      <w:r>
        <w:t>шенный риск госпитализации с СН у пациентов после ОКС, принимавших алоглиптин.</w:t>
      </w:r>
    </w:p>
    <w:p w:rsidR="008E3F15" w:rsidRDefault="005F449A">
      <w:pPr>
        <w:pStyle w:val="Heading1"/>
        <w:ind w:left="2"/>
      </w:pPr>
      <w:r>
        <w:t>Часть II. Коморбидные болезни</w:t>
      </w:r>
    </w:p>
    <w:p w:rsidR="008E3F15" w:rsidRDefault="005F449A">
      <w:pPr>
        <w:spacing w:after="179"/>
        <w:ind w:left="2" w:right="4871"/>
      </w:pPr>
      <w:r>
        <w:t xml:space="preserve">Глава 17. Хроническая болезнь почек </w:t>
      </w:r>
      <w:r>
        <w:rPr>
          <w:b/>
        </w:rP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10144" behindDoc="0" locked="0" layoutInCell="1" allowOverlap="1">
                <wp:simplePos x="0" y="0"/>
                <wp:positionH relativeFrom="column">
                  <wp:posOffset>214164</wp:posOffset>
                </wp:positionH>
                <wp:positionV relativeFrom="paragraph">
                  <wp:posOffset>34727</wp:posOffset>
                </wp:positionV>
                <wp:extent cx="57150" cy="1304925"/>
                <wp:effectExtent l="0" t="0" r="0" b="0"/>
                <wp:wrapSquare wrapText="bothSides"/>
                <wp:docPr id="312975" name="Group 312975"/>
                <wp:cNvGraphicFramePr/>
                <a:graphic xmlns:a="http://schemas.openxmlformats.org/drawingml/2006/main">
                  <a:graphicData uri="http://schemas.microsoft.com/office/word/2010/wordprocessingGroup">
                    <wpg:wgp>
                      <wpg:cNvGrpSpPr/>
                      <wpg:grpSpPr>
                        <a:xfrm>
                          <a:off x="0" y="0"/>
                          <a:ext cx="57150" cy="1304925"/>
                          <a:chOff x="0" y="0"/>
                          <a:chExt cx="57150" cy="1304925"/>
                        </a:xfrm>
                      </wpg:grpSpPr>
                      <wps:wsp>
                        <wps:cNvPr id="19500" name="Shape 19500"/>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158"/>
                                  <a:pt x="32364" y="57150"/>
                                  <a:pt x="28575" y="57150"/>
                                </a:cubicBezTo>
                                <a:cubicBezTo>
                                  <a:pt x="24786" y="57150"/>
                                  <a:pt x="21141" y="56158"/>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02" name="Shape 19502"/>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04" name="Shape 19504"/>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158"/>
                                  <a:pt x="32364" y="57150"/>
                                  <a:pt x="28575" y="57150"/>
                                </a:cubicBezTo>
                                <a:cubicBezTo>
                                  <a:pt x="24786" y="57150"/>
                                  <a:pt x="21141" y="56158"/>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06" name="Shape 19506"/>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08" name="Shape 19508"/>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12" name="Shape 19512"/>
                        <wps:cNvSpPr/>
                        <wps:spPr>
                          <a:xfrm>
                            <a:off x="0" y="7905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14" name="Shape 19514"/>
                        <wps:cNvSpPr/>
                        <wps:spPr>
                          <a:xfrm>
                            <a:off x="0" y="9429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16" name="Shape 19516"/>
                        <wps:cNvSpPr/>
                        <wps:spPr>
                          <a:xfrm>
                            <a:off x="0" y="10953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356"/>
                                  <a:pt x="32364" y="57150"/>
                                  <a:pt x="28575" y="57150"/>
                                </a:cubicBezTo>
                                <a:cubicBezTo>
                                  <a:pt x="24786" y="57150"/>
                                  <a:pt x="21141" y="56356"/>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18" name="Shape 19518"/>
                        <wps:cNvSpPr/>
                        <wps:spPr>
                          <a:xfrm>
                            <a:off x="0" y="1247775"/>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2975" style="width:4.5pt;height:102.75pt;position:absolute;mso-position-horizontal-relative:text;mso-position-horizontal:absolute;margin-left:16.8633pt;mso-position-vertical-relative:text;margin-top:2.73438pt;" coordsize="571,13049">
                <v:shape id="Shape 19500" style="position:absolute;width:571;height:571;left:0;top:0;" coordsize="57150,57150" path="m28575,0c32364,0,36009,595,39510,1984c43011,3572,46101,5556,48781,8334c51460,10716,53525,13891,54975,17264c56425,21034,57150,24805,57150,28575c57150,32345,56425,36116,54975,39489c53525,42863,51460,45839,48781,48816c46101,51197,43011,53181,39510,54769c36009,56158,32364,57150,28575,57150c24786,57150,21141,56158,17640,54769c14139,53181,11049,51197,8369,48816c5690,45839,3625,42863,2175,39291c725,35917,0,32345,0,28575c0,24805,725,21034,2175,17463c3625,13891,5690,10716,8369,8334c11049,5556,14139,3572,17640,1984c21141,595,24786,0,28575,0x">
                  <v:stroke weight="0pt" endcap="flat" joinstyle="miter" miterlimit="10" on="false" color="#000000" opacity="0"/>
                  <v:fill on="true" color="#333333"/>
                </v:shape>
                <v:shape id="Shape 19502" style="position:absolute;width:571;height:571;left:0;top:1524;" coordsize="57150,57150" path="m28575,0c32364,0,36009,794,39510,2183c43011,3572,46101,5755,48781,8334c51460,10914,53525,14089,54975,17463c56425,21034,57150,24805,57150,28575c57150,32345,56425,35917,54975,39291c53525,42863,51460,45839,48781,48816c46101,51197,43011,53380,39510,54769c36009,56158,32364,57150,28575,57150c24786,57150,21141,56158,17640,54769c14139,53380,11049,51197,8369,48816c5690,45839,3625,42863,2175,39291c725,35917,0,32345,0,28575c0,24805,725,21034,2175,17463c3625,14089,5690,10914,8369,8334c11049,5755,14139,3572,17640,2183c21141,794,24786,0,28575,0x">
                  <v:stroke weight="0pt" endcap="flat" joinstyle="miter" miterlimit="10" on="false" color="#000000" opacity="0"/>
                  <v:fill on="true" color="#333333"/>
                </v:shape>
                <v:shape id="Shape 19504" style="position:absolute;width:571;height:571;left:0;top:3048;" coordsize="57150,57150" path="m28575,0c32364,0,36009,595,39510,1984c43011,3572,46101,5556,48781,8334c51460,10914,53525,14089,54975,17463c56425,21034,57150,24805,57150,28575c57150,32345,56425,36116,54975,39489c53525,42863,51460,45839,48781,48816c46101,51197,43011,53181,39510,54769c36009,56158,32364,57150,28575,57150c24786,57150,21141,56158,17640,54769c14139,53181,11049,51197,8369,48816c5690,45839,3625,42863,2175,39291c725,35917,0,32345,0,28575c0,24805,725,21034,2175,17463c3625,14089,5690,10914,8369,8334c11049,5556,14139,3572,17640,1984c21141,595,24786,0,28575,0x">
                  <v:stroke weight="0pt" endcap="flat" joinstyle="miter" miterlimit="10" on="false" color="#000000" opacity="0"/>
                  <v:fill on="true" color="#333333"/>
                </v:shape>
                <v:shape id="Shape 19506" style="position:absolute;width:571;height:571;left:0;top:4572;" coordsize="57150,57150" path="m28575,0c32364,0,36009,794,39510,2183c43011,3572,46101,5755,48781,8334c51460,10914,53525,14089,54975,17463c56425,21034,57150,24805,57150,28575c57150,32345,56425,35917,54975,39291c53525,42863,51460,45839,48781,48816c46101,51197,43011,53380,39510,54769c36009,56158,32364,57150,28575,57150c24786,57150,21141,56158,17640,54769c14139,53380,11049,51197,8369,48816c5690,45839,3625,42863,2175,39291c725,35917,0,32345,0,28575c0,24805,725,21034,2175,17463c3625,14089,5690,10914,8369,8334c11049,5755,14139,3572,17640,2183c21141,794,24786,0,28575,0x">
                  <v:stroke weight="0pt" endcap="flat" joinstyle="miter" miterlimit="10" on="false" color="#000000" opacity="0"/>
                  <v:fill on="true" color="#333333"/>
                </v:shape>
                <v:shape id="Shape 19508" style="position:absolute;width:571;height:571;left:0;top:6096;" coordsize="57150,57150" path="m28575,0c32364,0,36009,595,39510,1984c43011,3572,46101,5556,48781,8334c51460,10914,53525,14089,54975,17463c56425,21034,57150,24805,57150,28575c57150,32345,56425,36116,54975,39489c53525,42863,51460,45839,48781,48816c46101,51197,43011,53380,39510,54769c36009,56356,32364,57150,28575,57150c24786,57150,21141,56356,17640,54967c14139,53380,11049,51197,8369,48816c5690,45839,3625,42863,2175,39291c725,35917,0,32345,0,28575c0,24805,725,21034,2175,17463c3625,14089,5690,10914,8369,8334c11049,5556,14139,3572,17640,1984c21141,595,24786,0,28575,0x">
                  <v:stroke weight="0pt" endcap="flat" joinstyle="miter" miterlimit="10" on="false" color="#000000" opacity="0"/>
                  <v:fill on="true" color="#333333"/>
                </v:shape>
                <v:shape id="Shape 19512" style="position:absolute;width:571;height:571;left:0;top:7905;" coordsize="57150,57150" path="m28575,0c32364,0,36009,794,39510,2183c43011,3572,46101,5556,48781,8334c51460,10914,53525,14089,54975,17661c56425,21034,57150,24805,57150,28575c57150,32345,56425,36116,54975,39489c53525,42863,51460,45839,48781,48816c46101,51197,43011,53380,39510,54769c36009,56356,32364,57150,28575,57150c24786,57150,21141,56356,17640,54769c14139,53380,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514" style="position:absolute;width:571;height:571;left:0;top:9429;" coordsize="57150,57150" path="m28575,0c32364,0,36009,794,39510,2183c43011,3572,46101,5556,48781,8334c51460,10914,53525,14089,54975,17661c56425,21034,57150,24805,57150,28575c57150,32345,56425,35917,54975,39291c53525,42863,51460,45839,48781,48816c46101,51395,43011,53578,39510,54769c36009,56356,32364,57150,28575,57150c24786,57150,21141,56356,17640,54769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516" style="position:absolute;width:571;height:571;left:0;top:10953;" coordsize="57150,57150" path="m28575,0c32364,0,36009,794,39510,2183c43011,3572,46101,5556,48781,8334c51460,10914,53525,14089,54975,17661c56425,21034,57150,24805,57150,28575c57150,32345,56425,36116,54975,39489c53525,42863,51460,45839,48781,48816c46101,51197,43011,53181,39510,54769c36009,56356,32364,57150,28575,57150c24786,57150,21141,56356,17640,54769c14139,53181,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518" style="position:absolute;width:571;height:571;left:0;top:12477;" coordsize="57150,57150" path="m28575,0c32364,0,36009,794,39510,2183c43011,3572,46101,5556,48781,8334c51460,10914,53525,14089,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4089,5690,10914,8369,8334c11049,5556,14139,3572,17640,2183c21141,794,24786,0,28575,0x">
                  <v:stroke weight="0pt" endcap="flat" joinstyle="miter" miterlimit="10" on="false" color="#000000" opacity="0"/>
                  <v:fill on="true" color="#333333"/>
                </v:shape>
                <w10:wrap type="square"/>
              </v:group>
            </w:pict>
          </mc:Fallback>
        </mc:AlternateContent>
      </w:r>
      <w:r>
        <w:t>Креатинин плазмы.</w:t>
      </w:r>
    </w:p>
    <w:p w:rsidR="008E3F15" w:rsidRDefault="005F449A">
      <w:pPr>
        <w:ind w:left="347" w:right="7997"/>
      </w:pPr>
      <w:r>
        <w:t>Цистатин С. рСКФ.</w:t>
      </w:r>
    </w:p>
    <w:p w:rsidR="008E3F15" w:rsidRDefault="005F449A">
      <w:pPr>
        <w:spacing w:after="31"/>
        <w:ind w:left="347" w:right="15"/>
      </w:pPr>
      <w:r>
        <w:t>Шкалы KFRE, MREK, REIN.</w:t>
      </w:r>
    </w:p>
    <w:p w:rsidR="008E3F15" w:rsidRDefault="005F449A">
      <w:pPr>
        <w:spacing w:after="31"/>
        <w:ind w:left="347" w:right="15"/>
      </w:pPr>
      <w:r>
        <w:t>Гликемия, HbA</w:t>
      </w:r>
      <w:r>
        <w:rPr>
          <w:sz w:val="31"/>
          <w:vertAlign w:val="subscript"/>
        </w:rPr>
        <w:t>1</w:t>
      </w:r>
      <w:r>
        <w:rPr>
          <w:sz w:val="20"/>
        </w:rPr>
        <w:t>c</w:t>
      </w:r>
      <w:r>
        <w:t>, глюкозотолерантный тест.</w:t>
      </w:r>
    </w:p>
    <w:p w:rsidR="008E3F15" w:rsidRDefault="005F449A">
      <w:pPr>
        <w:spacing w:after="31"/>
        <w:ind w:left="347" w:right="15"/>
      </w:pPr>
      <w:r>
        <w:t>Липидограмма.</w:t>
      </w:r>
    </w:p>
    <w:p w:rsidR="008E3F15" w:rsidRDefault="005F449A">
      <w:pPr>
        <w:spacing w:after="31"/>
        <w:ind w:left="347" w:right="15"/>
      </w:pPr>
      <w:r>
        <w:t>Калий, натрий, кальций, фосфор, мочевая кислота.</w:t>
      </w:r>
    </w:p>
    <w:p w:rsidR="008E3F15" w:rsidRDefault="005F449A">
      <w:pPr>
        <w:spacing w:after="179"/>
        <w:ind w:left="347" w:right="942"/>
      </w:pPr>
      <w:r>
        <w:t>Общий анализ мочи, протеинурия, отношение альбумин/креатинин. Гемоглобин, ферритин, насыщение трансферрина.</w:t>
      </w:r>
    </w:p>
    <w:p w:rsidR="008E3F15" w:rsidRDefault="005F449A">
      <w:pPr>
        <w:pStyle w:val="Heading2"/>
        <w:ind w:left="2"/>
      </w:pPr>
      <w: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11168"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12977" name="Group 31297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9521" name="Shape 19521"/>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158"/>
                                  <a:pt x="32364" y="57150"/>
                                  <a:pt x="28575" y="57150"/>
                                </a:cubicBezTo>
                                <a:cubicBezTo>
                                  <a:pt x="24786" y="57150"/>
                                  <a:pt x="21141" y="56158"/>
                                  <a:pt x="17640" y="54769"/>
                                </a:cubicBezTo>
                                <a:cubicBezTo>
                                  <a:pt x="14139" y="53380"/>
                                  <a:pt x="11049" y="51395"/>
                                  <a:pt x="8369" y="48816"/>
                                </a:cubicBezTo>
                                <a:cubicBezTo>
                                  <a:pt x="5690" y="46038"/>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23" name="Shape 19523"/>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25" name="Shape 19525"/>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158"/>
                                  <a:pt x="32364" y="57150"/>
                                  <a:pt x="28575" y="57150"/>
                                </a:cubicBezTo>
                                <a:cubicBezTo>
                                  <a:pt x="24786" y="57150"/>
                                  <a:pt x="21141" y="56158"/>
                                  <a:pt x="17640" y="54769"/>
                                </a:cubicBezTo>
                                <a:cubicBezTo>
                                  <a:pt x="14139" y="53380"/>
                                  <a:pt x="11049" y="51395"/>
                                  <a:pt x="8369" y="48816"/>
                                </a:cubicBezTo>
                                <a:cubicBezTo>
                                  <a:pt x="5690" y="46038"/>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27" name="Shape 19527"/>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29" name="Shape 19529"/>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2977" style="width:4.5pt;height:52.5pt;position:absolute;mso-position-horizontal-relative:text;mso-position-horizontal:absolute;margin-left:16.8633pt;mso-position-vertical-relative:text;margin-top:2.73438pt;" coordsize="571,6667">
                <v:shape id="Shape 19521" style="position:absolute;width:571;height:571;left:0;top:0;" coordsize="57150,57150" path="m28575,0c32364,0,36009,794,39510,2183c43011,3572,46101,5755,48781,8334c51460,10914,53525,14089,54975,17463c56425,21034,57150,24805,57150,28575c57150,32345,56425,35917,54975,39291c53525,42863,51460,46038,48781,48816c46101,51395,43011,53380,39510,54769c36009,56158,32364,57150,28575,57150c24786,57150,21141,56158,17640,54769c14139,53380,11049,51395,8369,48816c5690,46038,3625,42863,2175,39291c725,35917,0,32345,0,28575c0,24805,725,21034,2175,17463c3625,14089,5690,10914,8369,8334c11049,5755,14139,3572,17640,2183c21141,794,24786,0,28575,0x">
                  <v:stroke weight="0pt" endcap="flat" joinstyle="miter" miterlimit="10" on="false" color="#000000" opacity="0"/>
                  <v:fill on="true" color="#333333"/>
                </v:shape>
                <v:shape id="Shape 19523" style="position:absolute;width:571;height:571;left:0;top:1524;" coordsize="57150,57150" path="m28575,0c32364,0,36009,595,39510,1984c43011,3572,46101,5556,48781,8334c51460,10914,53525,14089,54975,17463c56425,21034,57150,24805,57150,28575c57150,32345,56425,36116,54975,39489c53525,42863,51460,46038,48781,48816c46101,51395,43011,53578,39510,54967c36009,56356,32364,57150,28575,57150c24786,57150,21141,56356,17640,54967c14139,53578,11049,51395,8369,48816c5690,46038,3625,42863,2175,39489c725,36116,0,32345,0,28575c0,24805,725,21034,2175,17463c3625,14089,5690,10914,8369,8334c11049,5556,14139,3572,17640,1984c21141,595,24786,0,28575,0x">
                  <v:stroke weight="0pt" endcap="flat" joinstyle="miter" miterlimit="10" on="false" color="#000000" opacity="0"/>
                  <v:fill on="true" color="#333333"/>
                </v:shape>
                <v:shape id="Shape 19525" style="position:absolute;width:571;height:571;left:0;top:3048;" coordsize="57150,57150" path="m28575,0c32364,0,36009,794,39510,2183c43011,3572,46101,5755,48781,8334c51460,10914,53525,14089,54975,17463c56425,21034,57150,24805,57150,28575c57150,32345,56425,35917,54975,39291c53525,42863,51460,46038,48781,48816c46101,51395,43011,53380,39510,54769c36009,56158,32364,57150,28575,57150c24786,57150,21141,56158,17640,54769c14139,53380,11049,51395,8369,48816c5690,46038,3625,42863,2175,39291c725,35917,0,32345,0,28575c0,24805,725,21034,2175,17463c3625,14089,5690,10914,8369,8334c11049,5755,14139,3572,17640,2183c21141,794,24786,0,28575,0x">
                  <v:stroke weight="0pt" endcap="flat" joinstyle="miter" miterlimit="10" on="false" color="#000000" opacity="0"/>
                  <v:fill on="true" color="#333333"/>
                </v:shape>
                <v:shape id="Shape 19527" style="position:absolute;width:571;height:571;left:0;top:4572;" coordsize="57150,57150" path="m28575,0c32364,0,36009,595,39510,1984c43011,3572,46101,5556,48781,8334c51460,10914,53525,14089,54975,17463c56425,21034,57150,24805,57150,28575c57150,32345,56425,36116,54975,39489c53525,42863,51460,46038,48781,48816c46101,51395,43011,53578,39510,54967c36009,56356,32364,57150,28575,57150c24786,57150,21141,56356,17640,54967c14139,53578,11049,51395,8369,48816c5690,46038,3625,42863,2175,39489c725,36116,0,32345,0,28575c0,24805,725,21034,2175,17463c3625,14089,5690,10914,8369,8334c11049,5556,14139,3572,17640,1984c21141,595,24786,0,28575,0x">
                  <v:stroke weight="0pt" endcap="flat" joinstyle="miter" miterlimit="10" on="false" color="#000000" opacity="0"/>
                  <v:fill on="true" color="#333333"/>
                </v:shape>
                <v:shape id="Shape 19529" style="position:absolute;width:571;height:571;left:0;top:6096;" coordsize="57150,57150" path="m28575,0c32364,0,36009,794,39510,2183c43011,3572,46101,5755,48781,8334c51460,10914,53525,14089,54975,17463c56425,21034,57150,24805,57150,28575c57150,32147,56425,35719,54975,39291c53525,42863,51460,46038,48781,48816c46101,51395,43011,53578,39510,54967c36009,56356,32364,57150,28575,57150c24786,57150,21141,56356,17640,54967c14139,53578,11049,51395,8369,48816c5690,46038,3625,42863,2175,39291c725,35719,0,32147,0,28575c0,24805,725,21034,2175,17463c3625,14089,5690,10914,8369,8334c11049,5755,14139,3572,17640,2183c21141,794,24786,0,28575,0x">
                  <v:stroke weight="0pt" endcap="flat" joinstyle="miter" miterlimit="10" on="false" color="#000000" opacity="0"/>
                  <v:fill on="true" color="#333333"/>
                </v:shape>
                <w10:wrap type="square"/>
              </v:group>
            </w:pict>
          </mc:Fallback>
        </mc:AlternateContent>
      </w:r>
      <w:r>
        <w:t>иАПФ/БРА, иНГЛТ-2.</w:t>
      </w:r>
    </w:p>
    <w:p w:rsidR="008E3F15" w:rsidRDefault="005F449A">
      <w:pPr>
        <w:spacing w:after="31"/>
        <w:ind w:left="347" w:right="15"/>
      </w:pPr>
      <w:r>
        <w:t>Заместительная терапия (гемоди</w:t>
      </w:r>
      <w:r>
        <w:t>ализ, перитонеальный диализ, трансплантация почки).</w:t>
      </w:r>
    </w:p>
    <w:p w:rsidR="008E3F15" w:rsidRDefault="005F449A">
      <w:pPr>
        <w:spacing w:after="31"/>
        <w:ind w:left="347" w:right="15"/>
      </w:pPr>
      <w:r>
        <w:t>Статины.</w:t>
      </w:r>
    </w:p>
    <w:p w:rsidR="008E3F15" w:rsidRDefault="005F449A">
      <w:pPr>
        <w:spacing w:after="31"/>
        <w:ind w:left="347" w:right="15"/>
      </w:pPr>
      <w:r>
        <w:t>Препараты железа, эпоэтин бета.</w:t>
      </w:r>
    </w:p>
    <w:p w:rsidR="008E3F15" w:rsidRDefault="005F449A">
      <w:pPr>
        <w:spacing w:after="165"/>
        <w:ind w:left="347" w:right="15"/>
      </w:pPr>
      <w:r>
        <w:t>Фосфат-связывающие препараты.</w:t>
      </w:r>
    </w:p>
    <w:p w:rsidR="008E3F15" w:rsidRDefault="005F449A">
      <w:pPr>
        <w:ind w:left="2" w:right="15"/>
      </w:pPr>
      <w:r>
        <w:t>ХБП определяется как повреждение почек или снижение функции почек в течение трех месяцев или более независимо от диагноза.</w:t>
      </w:r>
    </w:p>
    <w:p w:rsidR="008E3F15" w:rsidRDefault="005F449A">
      <w:pPr>
        <w:spacing w:after="165"/>
        <w:ind w:left="2" w:right="15"/>
      </w:pPr>
      <w:r>
        <w:t>Современны</w:t>
      </w:r>
      <w:r>
        <w:t>е критерии ХБП включают (K/DOQI) наличие одного из критериев ≥3 мес.</w:t>
      </w:r>
    </w:p>
    <w:p w:rsidR="008E3F15" w:rsidRDefault="005F449A">
      <w:pPr>
        <w:spacing w:after="31"/>
        <w:ind w:left="617" w:right="15"/>
      </w:pPr>
      <w:r>
        <w:rPr>
          <w:rFonts w:ascii="Calibri" w:eastAsia="Calibri" w:hAnsi="Calibri" w:cs="Calibri"/>
          <w:noProof/>
          <w:color w:val="000000"/>
          <w:sz w:val="22"/>
        </w:rPr>
        <mc:AlternateContent>
          <mc:Choice Requires="wpg">
            <w:drawing>
              <wp:anchor distT="0" distB="0" distL="114300" distR="114300" simplePos="0" relativeHeight="251912192" behindDoc="0" locked="0" layoutInCell="1" allowOverlap="1">
                <wp:simplePos x="0" y="0"/>
                <wp:positionH relativeFrom="column">
                  <wp:posOffset>214164</wp:posOffset>
                </wp:positionH>
                <wp:positionV relativeFrom="paragraph">
                  <wp:posOffset>34727</wp:posOffset>
                </wp:positionV>
                <wp:extent cx="438150" cy="1019175"/>
                <wp:effectExtent l="0" t="0" r="0" b="0"/>
                <wp:wrapSquare wrapText="bothSides"/>
                <wp:docPr id="312979" name="Group 312979"/>
                <wp:cNvGraphicFramePr/>
                <a:graphic xmlns:a="http://schemas.openxmlformats.org/drawingml/2006/main">
                  <a:graphicData uri="http://schemas.microsoft.com/office/word/2010/wordprocessingGroup">
                    <wpg:wgp>
                      <wpg:cNvGrpSpPr/>
                      <wpg:grpSpPr>
                        <a:xfrm>
                          <a:off x="0" y="0"/>
                          <a:ext cx="438150" cy="1019175"/>
                          <a:chOff x="0" y="0"/>
                          <a:chExt cx="438150" cy="1019175"/>
                        </a:xfrm>
                      </wpg:grpSpPr>
                      <wps:wsp>
                        <wps:cNvPr id="19534" name="Shape 1953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805"/>
                                  <a:pt x="725" y="21034"/>
                                  <a:pt x="2175" y="17661"/>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36" name="Shape 19536"/>
                        <wps:cNvSpPr/>
                        <wps:spPr>
                          <a:xfrm>
                            <a:off x="381000" y="1524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70" y="48816"/>
                                </a:cubicBezTo>
                                <a:cubicBezTo>
                                  <a:pt x="5690" y="45839"/>
                                  <a:pt x="3625" y="42863"/>
                                  <a:pt x="2175" y="39291"/>
                                </a:cubicBezTo>
                                <a:cubicBezTo>
                                  <a:pt x="725" y="35917"/>
                                  <a:pt x="0" y="32345"/>
                                  <a:pt x="0" y="28575"/>
                                </a:cubicBezTo>
                                <a:cubicBezTo>
                                  <a:pt x="0" y="24606"/>
                                  <a:pt x="725" y="20836"/>
                                  <a:pt x="2175" y="17463"/>
                                </a:cubicBezTo>
                                <a:cubicBezTo>
                                  <a:pt x="3625" y="14089"/>
                                  <a:pt x="5690" y="10914"/>
                                  <a:pt x="8370"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38" name="Shape 19538"/>
                        <wps:cNvSpPr/>
                        <wps:spPr>
                          <a:xfrm>
                            <a:off x="38100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70" y="48816"/>
                                </a:cubicBezTo>
                                <a:cubicBezTo>
                                  <a:pt x="5690" y="45839"/>
                                  <a:pt x="3625" y="42863"/>
                                  <a:pt x="2175" y="39489"/>
                                </a:cubicBezTo>
                                <a:cubicBezTo>
                                  <a:pt x="725" y="35917"/>
                                  <a:pt x="0" y="32345"/>
                                  <a:pt x="0" y="28575"/>
                                </a:cubicBezTo>
                                <a:cubicBezTo>
                                  <a:pt x="0" y="24805"/>
                                  <a:pt x="725" y="21034"/>
                                  <a:pt x="2175" y="17661"/>
                                </a:cubicBezTo>
                                <a:cubicBezTo>
                                  <a:pt x="3625" y="14089"/>
                                  <a:pt x="5690" y="10914"/>
                                  <a:pt x="8370"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40" name="Shape 19540"/>
                        <wps:cNvSpPr/>
                        <wps:spPr>
                          <a:xfrm>
                            <a:off x="381000" y="4572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70"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70"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42" name="Shape 19542"/>
                        <wps:cNvSpPr/>
                        <wps:spPr>
                          <a:xfrm>
                            <a:off x="38100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70" y="48816"/>
                                </a:cubicBezTo>
                                <a:cubicBezTo>
                                  <a:pt x="5690" y="45839"/>
                                  <a:pt x="3625" y="42863"/>
                                  <a:pt x="2175" y="39489"/>
                                </a:cubicBezTo>
                                <a:cubicBezTo>
                                  <a:pt x="725" y="35917"/>
                                  <a:pt x="0" y="32345"/>
                                  <a:pt x="0" y="28575"/>
                                </a:cubicBezTo>
                                <a:cubicBezTo>
                                  <a:pt x="0" y="24606"/>
                                  <a:pt x="725" y="20836"/>
                                  <a:pt x="2175" y="17463"/>
                                </a:cubicBezTo>
                                <a:cubicBezTo>
                                  <a:pt x="3625" y="13891"/>
                                  <a:pt x="5690" y="10716"/>
                                  <a:pt x="8370"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44" name="Shape 19544"/>
                        <wps:cNvSpPr/>
                        <wps:spPr>
                          <a:xfrm>
                            <a:off x="381000" y="7620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70"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70"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46" name="Shape 19546"/>
                        <wps:cNvSpPr/>
                        <wps:spPr>
                          <a:xfrm>
                            <a:off x="0" y="962025"/>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2979" style="width:34.5pt;height:80.25pt;position:absolute;mso-position-horizontal-relative:text;mso-position-horizontal:absolute;margin-left:16.8633pt;mso-position-vertical-relative:text;margin-top:2.73438pt;" coordsize="4381,10191">
                <v:shape id="Shape 19534" style="position:absolute;width:571;height:571;left:0;top:0;" coordsize="57150,57150" path="m28575,0c32364,0,36009,794,39510,2183c43011,3572,46101,5556,48781,8334c51460,10914,53525,14089,54975,17463c56425,21034,57150,24805,57150,28575c57150,32147,56425,35719,54975,39291c53525,42863,51460,45839,48781,48816c46101,51197,43011,53380,39510,54769c36009,56158,32364,57150,28575,57150c24786,57150,21141,56158,17640,54769c14139,53380,11049,51197,8369,48816c5690,45839,3625,42863,2175,39291c725,35719,0,32147,0,28575c0,24805,725,21034,2175,17661c3625,14089,5690,10914,8369,8334c11049,5556,14139,3572,17640,1984c21141,595,24786,0,28575,0x">
                  <v:stroke weight="0pt" endcap="flat" joinstyle="miter" miterlimit="10" on="false" color="#000000" opacity="0"/>
                  <v:fill on="true" color="#333333"/>
                </v:shape>
                <v:shape id="Shape 19536" style="position:absolute;width:571;height:571;left:3810;top:1524;" coordsize="57150,57150" path="m28575,0c32364,0,36009,595,39510,1984c43011,3572,46101,5556,48781,8334c51460,10914,53525,14089,54975,17463c56425,20836,57150,24606,57150,28575c57150,32345,56425,35917,54975,39489c53525,42863,51460,45839,48781,48816c46101,51197,43011,53380,39510,54769c36009,56356,32364,57150,28575,57150c24786,57150,21141,56356,17640,54967c14139,53380,11049,51197,8370,48816c5690,45839,3625,42863,2175,39291c725,35917,0,32345,0,28575c0,24606,725,20836,2175,17463c3625,14089,5690,10914,8370,8334c11049,5556,14139,3572,17640,1984c21141,595,24786,0,28575,0x">
                  <v:stroke weight="0pt" endcap="flat" joinstyle="miter" miterlimit="10" on="false" color="#000000" opacity="0"/>
                  <v:fill on="true" color="#333333"/>
                </v:shape>
                <v:shape id="Shape 19538" style="position:absolute;width:571;height:571;left:3810;top:3048;" coordsize="57150,57150" path="m28575,0c32364,0,36009,794,39510,2183c43011,3572,46101,5556,48781,8334c51460,10914,53525,14089,54975,17463c56425,21034,57150,24805,57150,28575c57150,32345,56425,35917,54975,39489c53525,42863,51460,45839,48781,48816c46101,51197,43011,53380,39510,54769c36009,56158,32364,57150,28575,57150c24786,57150,21141,56158,17640,54769c14139,53380,11049,51197,8370,48816c5690,45839,3625,42863,2175,39489c725,35917,0,32345,0,28575c0,24805,725,21034,2175,17661c3625,14089,5690,10914,8370,8334c11049,5556,14139,3572,17640,1984c21141,595,24786,0,28575,0x">
                  <v:stroke weight="0pt" endcap="flat" joinstyle="miter" miterlimit="10" on="false" color="#000000" opacity="0"/>
                  <v:fill on="true" color="#333333"/>
                </v:shape>
                <v:shape id="Shape 19540" style="position:absolute;width:571;height:571;left:3810;top:4572;" coordsize="57150,57150" path="m28575,0c32364,0,36009,595,39510,1984c43011,3572,46101,5556,48781,8334c51460,10914,53525,14089,54975,17463c56425,20836,57150,24606,57150,28575c57150,32345,56425,35917,54975,39489c53525,42863,51460,46038,48781,48816c46101,51197,43011,53380,39510,54769c36009,56356,32364,57150,28575,57150c24786,57150,21141,56356,17640,54967c14139,53380,11049,51197,8370,48816c5690,46038,3625,42863,2175,39489c725,35917,0,32345,0,28575c0,24606,725,20836,2175,17463c3625,14089,5690,10914,8370,8334c11049,5556,14139,3572,17640,1984c21141,595,24786,0,28575,0x">
                  <v:stroke weight="0pt" endcap="flat" joinstyle="miter" miterlimit="10" on="false" color="#000000" opacity="0"/>
                  <v:fill on="true" color="#333333"/>
                </v:shape>
                <v:shape id="Shape 19542" style="position:absolute;width:571;height:571;left:3810;top:6096;" coordsize="57150,57150" path="m28575,0c32364,0,36009,794,39510,2183c43011,3572,46101,5556,48781,8334c51460,10716,53525,13891,54975,17463c56425,20836,57150,24606,57150,28575c57150,32345,56425,35917,54975,39489c53525,42863,51460,45839,48781,48816c46101,51197,43011,53380,39510,54769c36009,56158,32364,57150,28575,57150c24786,57150,21141,56158,17640,54769c14139,53380,11049,51197,8370,48816c5690,45839,3625,42863,2175,39489c725,35917,0,32345,0,28575c0,24606,725,20836,2175,17463c3625,13891,5690,10716,8370,8334c11049,5556,14139,3572,17640,1984c21141,595,24786,0,28575,0x">
                  <v:stroke weight="0pt" endcap="flat" joinstyle="miter" miterlimit="10" on="false" color="#000000" opacity="0"/>
                  <v:fill on="true" color="#333333"/>
                </v:shape>
                <v:shape id="Shape 19544" style="position:absolute;width:571;height:571;left:3810;top:7620;" coordsize="57150,57150" path="m28575,0c32364,0,36009,595,39510,1984c43011,3572,46101,5556,48781,8334c51460,10914,53525,14089,54975,17463c56425,20836,57150,24606,57150,28575c57150,32345,56425,35917,54975,39489c53525,42863,51460,46038,48781,48816c46101,51197,43011,53380,39510,54769c36009,56356,32364,57150,28575,57150c24786,57150,21141,56356,17640,54967c14139,53380,11049,51197,8370,48816c5690,46038,3625,42863,2175,39489c725,35917,0,32345,0,28575c0,24606,725,20836,2175,17463c3625,14089,5690,10914,8370,8334c11049,5556,14139,3572,17640,1984c21141,595,24786,0,28575,0x">
                  <v:stroke weight="0pt" endcap="flat" joinstyle="miter" miterlimit="10" on="false" color="#000000" opacity="0"/>
                  <v:fill on="true" color="#333333"/>
                </v:shape>
                <v:shape id="Shape 19546" style="position:absolute;width:571;height:571;left:0;top:9620;" coordsize="57150,57150" path="m28575,0c32364,0,36009,794,39510,2183c43011,3572,46101,5755,48781,8334c51460,10914,53525,14089,54975,17463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463c3625,14089,5690,10914,8369,8334c11049,5755,14139,3572,17640,2183c21141,794,24786,0,28575,0x">
                  <v:stroke weight="0pt" endcap="flat" joinstyle="miter" miterlimit="10" on="false" color="#000000" opacity="0"/>
                  <v:fill on="true" color="#333333"/>
                </v:shape>
                <w10:wrap type="square"/>
              </v:group>
            </w:pict>
          </mc:Fallback>
        </mc:AlternateContent>
      </w:r>
      <w:r>
        <w:t>Повреждение почек, проявляющееся хотя бы одним признаком:</w:t>
      </w:r>
    </w:p>
    <w:p w:rsidR="008E3F15" w:rsidRDefault="005F449A">
      <w:pPr>
        <w:ind w:left="347" w:right="5392"/>
      </w:pPr>
      <w:r>
        <w:t>альбуминурия ≥30 мг/сут; аномалия осадка мочи;</w:t>
      </w:r>
    </w:p>
    <w:p w:rsidR="008E3F15" w:rsidRDefault="005F449A">
      <w:pPr>
        <w:spacing w:after="36"/>
        <w:ind w:left="347" w:right="3305"/>
      </w:pPr>
      <w:r>
        <w:t>электролитные нарушения при поражении канальцев; структурные аномалии при визуализации; изменения гистологии.</w:t>
      </w:r>
    </w:p>
    <w:p w:rsidR="008E3F15" w:rsidRDefault="005F449A">
      <w:pPr>
        <w:spacing w:after="113"/>
        <w:ind w:left="617" w:right="15"/>
      </w:pPr>
      <w:r>
        <w:t>рСКФ &lt;60 мл/мин/1,73 м</w:t>
      </w:r>
      <w:r>
        <w:rPr>
          <w:sz w:val="31"/>
          <w:vertAlign w:val="superscript"/>
        </w:rPr>
        <w:t>2</w:t>
      </w:r>
      <w:r>
        <w:t>.</w:t>
      </w:r>
    </w:p>
    <w:p w:rsidR="008E3F15" w:rsidRDefault="005F449A">
      <w:pPr>
        <w:ind w:left="2" w:right="15"/>
      </w:pPr>
      <w:r>
        <w:t>По данным крупных популяционных регистров (NHANES III, Okinawa Study), распространенность ХБП составляет не менее 10%, до</w:t>
      </w:r>
      <w:r>
        <w:t xml:space="preserve">стигая более 20% у отдельных категорий лиц (пожилые, СД 2-го типа). Динамика доли пожилых пациентов с ХБП, по данным регистра USRDS, показана на </w:t>
      </w:r>
      <w:r>
        <w:rPr>
          <w:b/>
        </w:rPr>
        <w:t>рис. 17.1</w:t>
      </w:r>
      <w:r>
        <w:t>.</w:t>
      </w:r>
    </w:p>
    <w:p w:rsidR="008E3F15" w:rsidRDefault="005F449A">
      <w:pPr>
        <w:spacing w:after="65" w:line="259" w:lineRule="auto"/>
        <w:ind w:left="7" w:right="0" w:firstLine="0"/>
      </w:pPr>
      <w:r>
        <w:rPr>
          <w:noProof/>
        </w:rPr>
        <w:drawing>
          <wp:inline distT="0" distB="0" distL="0" distR="0">
            <wp:extent cx="5057775" cy="2838450"/>
            <wp:effectExtent l="0" t="0" r="0" b="0"/>
            <wp:docPr id="19574" name="Picture 19574"/>
            <wp:cNvGraphicFramePr/>
            <a:graphic xmlns:a="http://schemas.openxmlformats.org/drawingml/2006/main">
              <a:graphicData uri="http://schemas.openxmlformats.org/drawingml/2006/picture">
                <pic:pic xmlns:pic="http://schemas.openxmlformats.org/drawingml/2006/picture">
                  <pic:nvPicPr>
                    <pic:cNvPr id="19574" name="Picture 19574"/>
                    <pic:cNvPicPr/>
                  </pic:nvPicPr>
                  <pic:blipFill>
                    <a:blip r:embed="rId172"/>
                    <a:stretch>
                      <a:fillRect/>
                    </a:stretch>
                  </pic:blipFill>
                  <pic:spPr>
                    <a:xfrm>
                      <a:off x="0" y="0"/>
                      <a:ext cx="5057775" cy="2838450"/>
                    </a:xfrm>
                    <a:prstGeom prst="rect">
                      <a:avLst/>
                    </a:prstGeom>
                  </pic:spPr>
                </pic:pic>
              </a:graphicData>
            </a:graphic>
          </wp:inline>
        </w:drawing>
      </w:r>
    </w:p>
    <w:p w:rsidR="008E3F15" w:rsidRDefault="005F449A">
      <w:pPr>
        <w:spacing w:after="359"/>
        <w:ind w:left="2" w:right="15"/>
      </w:pPr>
      <w:r>
        <w:rPr>
          <w:b/>
        </w:rPr>
        <w:t xml:space="preserve">Рис. 17.1. </w:t>
      </w:r>
      <w:r>
        <w:t>Распространенность хронической болезни почек у пожилых (NHANES 2015–18) Оценить истинно</w:t>
      </w:r>
      <w:r>
        <w:t>е число пациентов с нетерминальной ХБП непросто, так как обычно для статистического учета кодируют основное заболевание, например СД или хронический гломерулонефрит.</w:t>
      </w:r>
    </w:p>
    <w:p w:rsidR="008E3F15" w:rsidRDefault="005F449A">
      <w:pPr>
        <w:pStyle w:val="Heading1"/>
        <w:ind w:left="2"/>
      </w:pPr>
      <w:r>
        <w:t>Часть II. Коморбидные болезни</w:t>
      </w:r>
    </w:p>
    <w:p w:rsidR="008E3F15" w:rsidRDefault="005F449A">
      <w:pPr>
        <w:spacing w:after="31"/>
        <w:ind w:left="2" w:right="15"/>
      </w:pPr>
      <w:r>
        <w:t>Причины и факторы риска</w:t>
      </w:r>
    </w:p>
    <w:p w:rsidR="008E3F15" w:rsidRDefault="005F449A">
      <w:pPr>
        <w:ind w:left="2" w:right="15"/>
      </w:pPr>
      <w:r>
        <w:t>Чаще всего ХБП вызывается артериальн</w:t>
      </w:r>
      <w:r>
        <w:t>ой гипертензией, СД или их сочетанием, намного реже — другими заболеваниями (</w:t>
      </w:r>
      <w:r>
        <w:rPr>
          <w:b/>
        </w:rPr>
        <w:t>рис. 17.2</w:t>
      </w:r>
      <w:r>
        <w:t>).</w:t>
      </w:r>
    </w:p>
    <w:p w:rsidR="008E3F15" w:rsidRDefault="005F449A">
      <w:pPr>
        <w:spacing w:after="65" w:line="259" w:lineRule="auto"/>
        <w:ind w:left="7" w:right="0" w:firstLine="0"/>
      </w:pPr>
      <w:r>
        <w:rPr>
          <w:noProof/>
        </w:rPr>
        <w:drawing>
          <wp:inline distT="0" distB="0" distL="0" distR="0">
            <wp:extent cx="5057775" cy="2924175"/>
            <wp:effectExtent l="0" t="0" r="0" b="0"/>
            <wp:docPr id="19587" name="Picture 19587"/>
            <wp:cNvGraphicFramePr/>
            <a:graphic xmlns:a="http://schemas.openxmlformats.org/drawingml/2006/main">
              <a:graphicData uri="http://schemas.openxmlformats.org/drawingml/2006/picture">
                <pic:pic xmlns:pic="http://schemas.openxmlformats.org/drawingml/2006/picture">
                  <pic:nvPicPr>
                    <pic:cNvPr id="19587" name="Picture 19587"/>
                    <pic:cNvPicPr/>
                  </pic:nvPicPr>
                  <pic:blipFill>
                    <a:blip r:embed="rId173"/>
                    <a:stretch>
                      <a:fillRect/>
                    </a:stretch>
                  </pic:blipFill>
                  <pic:spPr>
                    <a:xfrm>
                      <a:off x="0" y="0"/>
                      <a:ext cx="5057775" cy="2924175"/>
                    </a:xfrm>
                    <a:prstGeom prst="rect">
                      <a:avLst/>
                    </a:prstGeom>
                  </pic:spPr>
                </pic:pic>
              </a:graphicData>
            </a:graphic>
          </wp:inline>
        </w:drawing>
      </w:r>
    </w:p>
    <w:p w:rsidR="008E3F15" w:rsidRDefault="005F449A">
      <w:pPr>
        <w:spacing w:after="179"/>
        <w:ind w:left="2" w:right="563"/>
      </w:pPr>
      <w:r>
        <w:rPr>
          <w:b/>
        </w:rPr>
        <w:t xml:space="preserve">Рис. 17.2. </w:t>
      </w:r>
      <w:r>
        <w:t xml:space="preserve">Причины терминальной почечной недостаточности (USRDS, 2022) </w:t>
      </w:r>
      <w:r>
        <w:rPr>
          <w:i/>
        </w:rPr>
        <w:t>Заболевания, приводящие к ХБП:</w:t>
      </w:r>
    </w:p>
    <w:p w:rsidR="008E3F15" w:rsidRDefault="005F449A">
      <w:pPr>
        <w:ind w:left="347" w:right="418"/>
      </w:pPr>
      <w:r>
        <w:rPr>
          <w:rFonts w:ascii="Calibri" w:eastAsia="Calibri" w:hAnsi="Calibri" w:cs="Calibri"/>
          <w:noProof/>
          <w:color w:val="000000"/>
          <w:sz w:val="22"/>
        </w:rPr>
        <mc:AlternateContent>
          <mc:Choice Requires="wpg">
            <w:drawing>
              <wp:anchor distT="0" distB="0" distL="114300" distR="114300" simplePos="0" relativeHeight="251913216" behindDoc="0" locked="0" layoutInCell="1" allowOverlap="1">
                <wp:simplePos x="0" y="0"/>
                <wp:positionH relativeFrom="column">
                  <wp:posOffset>214164</wp:posOffset>
                </wp:positionH>
                <wp:positionV relativeFrom="paragraph">
                  <wp:posOffset>34727</wp:posOffset>
                </wp:positionV>
                <wp:extent cx="57150" cy="1276350"/>
                <wp:effectExtent l="0" t="0" r="0" b="0"/>
                <wp:wrapSquare wrapText="bothSides"/>
                <wp:docPr id="316751" name="Group 316751"/>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9591" name="Shape 19591"/>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93" name="Shape 1959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719"/>
                                  <a:pt x="0" y="32345"/>
                                  <a:pt x="0" y="28575"/>
                                </a:cubicBezTo>
                                <a:cubicBezTo>
                                  <a:pt x="0" y="24606"/>
                                  <a:pt x="725" y="20836"/>
                                  <a:pt x="2175" y="17463"/>
                                </a:cubicBezTo>
                                <a:cubicBezTo>
                                  <a:pt x="3625" y="14089"/>
                                  <a:pt x="5690" y="10914"/>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96" name="Shape 19596"/>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598" name="Shape 19598"/>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600" name="Shape 19600"/>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602" name="Shape 19602"/>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617"/>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604" name="Shape 19604"/>
                        <wps:cNvSpPr/>
                        <wps:spPr>
                          <a:xfrm>
                            <a:off x="0" y="1066800"/>
                            <a:ext cx="57150" cy="57150"/>
                          </a:xfrm>
                          <a:custGeom>
                            <a:avLst/>
                            <a:gdLst/>
                            <a:ahLst/>
                            <a:cxnLst/>
                            <a:rect l="0" t="0" r="0" b="0"/>
                            <a:pathLst>
                              <a:path w="57150" h="57150">
                                <a:moveTo>
                                  <a:pt x="28575" y="0"/>
                                </a:moveTo>
                                <a:cubicBezTo>
                                  <a:pt x="32364" y="0"/>
                                  <a:pt x="36009" y="794"/>
                                  <a:pt x="39510" y="2183"/>
                                </a:cubicBezTo>
                                <a:cubicBezTo>
                                  <a:pt x="43011" y="3572"/>
                                  <a:pt x="46101" y="5358"/>
                                  <a:pt x="48781" y="8334"/>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5839"/>
                                  <a:pt x="48781" y="48617"/>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617"/>
                                </a:cubicBezTo>
                                <a:cubicBezTo>
                                  <a:pt x="5690" y="45839"/>
                                  <a:pt x="3625" y="42664"/>
                                  <a:pt x="2175" y="39291"/>
                                </a:cubicBezTo>
                                <a:cubicBezTo>
                                  <a:pt x="725" y="35719"/>
                                  <a:pt x="0" y="32345"/>
                                  <a:pt x="0" y="28575"/>
                                </a:cubicBezTo>
                                <a:cubicBezTo>
                                  <a:pt x="0" y="24606"/>
                                  <a:pt x="725" y="20836"/>
                                  <a:pt x="2175" y="17463"/>
                                </a:cubicBezTo>
                                <a:cubicBezTo>
                                  <a:pt x="3625" y="13891"/>
                                  <a:pt x="5690" y="10716"/>
                                  <a:pt x="8369" y="8334"/>
                                </a:cubicBezTo>
                                <a:cubicBezTo>
                                  <a:pt x="11049" y="5358"/>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606" name="Shape 19606"/>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692"/>
                                  <a:pt x="54975" y="17463"/>
                                </a:cubicBezTo>
                                <a:cubicBezTo>
                                  <a:pt x="56425" y="20836"/>
                                  <a:pt x="57150" y="24606"/>
                                  <a:pt x="57150" y="28575"/>
                                </a:cubicBezTo>
                                <a:cubicBezTo>
                                  <a:pt x="57150" y="32147"/>
                                  <a:pt x="56425" y="35719"/>
                                  <a:pt x="54975" y="39291"/>
                                </a:cubicBezTo>
                                <a:cubicBezTo>
                                  <a:pt x="53525" y="42863"/>
                                  <a:pt x="51460" y="45839"/>
                                  <a:pt x="48781" y="48617"/>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617"/>
                                </a:cubicBezTo>
                                <a:cubicBezTo>
                                  <a:pt x="5690" y="45839"/>
                                  <a:pt x="3625" y="42863"/>
                                  <a:pt x="2175" y="39291"/>
                                </a:cubicBezTo>
                                <a:cubicBezTo>
                                  <a:pt x="725" y="35719"/>
                                  <a:pt x="0" y="32147"/>
                                  <a:pt x="0" y="28575"/>
                                </a:cubicBezTo>
                                <a:cubicBezTo>
                                  <a:pt x="0" y="24606"/>
                                  <a:pt x="725" y="20836"/>
                                  <a:pt x="2175" y="17463"/>
                                </a:cubicBezTo>
                                <a:cubicBezTo>
                                  <a:pt x="3625" y="13692"/>
                                  <a:pt x="5690" y="10716"/>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6751" style="width:4.5pt;height:100.5pt;position:absolute;mso-position-horizontal-relative:text;mso-position-horizontal:absolute;margin-left:16.8633pt;mso-position-vertical-relative:text;margin-top:2.73438pt;" coordsize="571,12763">
                <v:shape id="Shape 19591" style="position:absolute;width:571;height:571;left:0;top:0;" coordsize="57150,57150" path="m28575,0c32364,0,36009,794,39510,2183c43011,3572,46101,5358,48781,8334c51460,10716,53525,13692,54975,17463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463c3625,13692,5690,10716,8369,8334c11049,5358,14139,3373,17640,1984c21141,595,24786,0,28575,0x">
                  <v:stroke weight="0pt" endcap="flat" joinstyle="miter" miterlimit="10" on="false" color="#000000" opacity="0"/>
                  <v:fill on="true" color="#333333"/>
                </v:shape>
                <v:shape id="Shape 19593" style="position:absolute;width:571;height:571;left:0;top:1524;" coordsize="57150,57150" path="m28575,0c32364,0,36009,794,39510,2183c43011,3572,46101,5358,48781,8334c51460,10914,53525,14089,54975,17463c56425,20836,57150,24606,57150,28575c57150,32345,56425,35917,54975,39291c53525,42863,51460,45839,48781,48816c46101,51197,43011,53380,39510,54769c36009,56356,32364,57150,28575,57150c24786,57150,21141,56356,17640,54769c14139,53380,11049,51197,8369,48816c5690,45839,3625,42863,2175,39291c725,35719,0,32345,0,28575c0,24606,725,20836,2175,17463c3625,14089,5690,10914,8369,8334c11049,5358,14139,3572,17640,2183c21141,794,24786,0,28575,0x">
                  <v:stroke weight="0pt" endcap="flat" joinstyle="miter" miterlimit="10" on="false" color="#000000" opacity="0"/>
                  <v:fill on="true" color="#333333"/>
                </v:shape>
                <v:shape id="Shape 19596" style="position:absolute;width:571;height:571;left:0;top:4572;" coordsize="57150,57150" path="m28575,0c32364,0,36009,794,39510,2183c43011,3572,46101,5358,48781,8334c51460,10716,53525,13891,54975,17463c56425,20836,57150,24606,57150,28575c57150,32345,56425,35917,54975,39291c53525,42863,51460,45839,48781,48816c46101,51197,43011,53380,39510,54769c36009,56356,32364,57150,28575,57150c24786,57150,21141,56356,17640,54769c14139,53380,11049,51197,8369,48816c5690,45839,3625,42863,2175,39291c725,35719,0,32345,0,28575c0,24606,725,20836,2175,17463c3625,13891,5690,10716,8369,8334c11049,5358,14139,3572,17640,2183c21141,794,24786,0,28575,0x">
                  <v:stroke weight="0pt" endcap="flat" joinstyle="miter" miterlimit="10" on="false" color="#000000" opacity="0"/>
                  <v:fill on="true" color="#333333"/>
                </v:shape>
                <v:shape id="Shape 19598" style="position:absolute;width:571;height:571;left:0;top:6096;" coordsize="57150,57150" path="m28575,0c32364,0,36009,794,39510,2183c43011,3572,46101,5556,48781,8334c51460,10716,53525,13692,54975,17463c56425,20836,57150,24606,57150,28575c57150,32147,56425,35719,54975,39291c53525,42863,51460,45839,48781,48816c46101,51197,43011,53380,39510,54769c36009,56356,32364,57150,28575,57150c24786,57150,21141,56356,17640,54769c14139,53380,11049,51197,8369,48816c5690,45839,3625,42863,2175,39291c725,35719,0,32147,0,28575c0,24606,725,20836,2175,17463c3625,13692,5690,10716,8369,8334c11049,5556,14139,3572,17640,2183c21141,794,24786,0,28575,0x">
                  <v:stroke weight="0pt" endcap="flat" joinstyle="miter" miterlimit="10" on="false" color="#000000" opacity="0"/>
                  <v:fill on="true" color="#333333"/>
                </v:shape>
                <v:shape id="Shape 19600" style="position:absolute;width:571;height:571;left:0;top:7620;" coordsize="57150,57150" path="m28575,0c32364,0,36009,794,39510,2183c43011,3572,46101,5358,48781,8334c51460,10716,53525,13891,54975,17463c56425,20836,57150,24606,57150,28575c57150,32345,56425,35917,54975,39291c53525,42863,51460,45839,48781,48816c46101,51395,43011,53578,39510,54769c36009,56356,32364,57150,28575,57150c24786,57150,21141,56356,17640,54769c14139,53578,11049,51395,8369,48816c5690,45839,3625,42863,2175,39291c725,35719,0,32345,0,28575c0,24606,725,20836,2175,17463c3625,13891,5690,10716,8369,8334c11049,5358,14139,3572,17640,2183c21141,794,24786,0,28575,0x">
                  <v:stroke weight="0pt" endcap="flat" joinstyle="miter" miterlimit="10" on="false" color="#000000" opacity="0"/>
                  <v:fill on="true" color="#333333"/>
                </v:shape>
                <v:shape id="Shape 19602" style="position:absolute;width:571;height:571;left:0;top:9144;" coordsize="57150,57150" path="m28575,0c32364,0,36009,794,39510,2183c43011,3572,46101,5556,48781,8334c51460,10716,53525,13692,54975,17463c56425,20836,57150,24606,57150,28575c57150,32147,56425,35719,54975,39291c53525,42863,51460,45839,48781,48617c46101,51197,43011,53380,39510,54769c36009,56356,32364,57150,28575,57150c24786,57150,21141,56356,17640,54769c14139,53380,11049,51197,8369,48617c5690,45839,3625,42863,2175,39291c725,35719,0,32147,0,28575c0,24606,725,20836,2175,17463c3625,13692,5690,10716,8369,8334c11049,5556,14139,3572,17640,2183c21141,794,24786,0,28575,0x">
                  <v:stroke weight="0pt" endcap="flat" joinstyle="miter" miterlimit="10" on="false" color="#000000" opacity="0"/>
                  <v:fill on="true" color="#333333"/>
                </v:shape>
                <v:shape id="Shape 19604" style="position:absolute;width:571;height:571;left:0;top:10668;" coordsize="57150,57150" path="m28575,0c32364,0,36009,794,39510,2183c43011,3572,46101,5358,48781,8334c51460,10716,53525,13891,54975,17463c56425,20836,57150,24606,57150,28575c57150,32345,56425,35917,54975,39291c53525,42863,51460,45839,48781,48617c46101,51197,43011,53380,39510,54769c36009,56356,32364,57150,28575,57150c24786,57150,21141,56356,17640,54769c14139,53380,11049,51197,8369,48617c5690,45839,3625,42664,2175,39291c725,35719,0,32345,0,28575c0,24606,725,20836,2175,17463c3625,13891,5690,10716,8369,8334c11049,5358,14139,3572,17640,2183c21141,794,24786,0,28575,0x">
                  <v:stroke weight="0pt" endcap="flat" joinstyle="miter" miterlimit="10" on="false" color="#000000" opacity="0"/>
                  <v:fill on="true" color="#333333"/>
                </v:shape>
                <v:shape id="Shape 19606" style="position:absolute;width:571;height:571;left:0;top:12192;" coordsize="57150,57150" path="m28575,0c32364,0,36009,794,39510,2183c43011,3572,46101,5556,48781,8334c51460,10716,53525,13692,54975,17463c56425,20836,57150,24606,57150,28575c57150,32147,56425,35719,54975,39291c53525,42863,51460,45839,48781,48617c46101,51197,43011,53380,39510,54769c36009,56356,32364,57150,28575,57150c24786,57150,21141,56356,17640,54769c14139,53380,11049,51197,8369,48617c5690,45839,3625,42863,2175,39291c725,35719,0,32147,0,28575c0,24606,725,20836,2175,17463c3625,13692,5690,10716,8369,8334c11049,5556,14139,3572,17640,2183c21141,794,24786,0,28575,0x">
                  <v:stroke weight="0pt" endcap="flat" joinstyle="miter" miterlimit="10" on="false" color="#000000" opacity="0"/>
                  <v:fill on="true" color="#333333"/>
                </v:shape>
                <w10:wrap type="square"/>
              </v:group>
            </w:pict>
          </mc:Fallback>
        </mc:AlternateContent>
      </w:r>
      <w:r>
        <w:t>заболевания почек: болезни почечных клубочков, тубулоинтерстиц</w:t>
      </w:r>
      <w:r>
        <w:t>иальные болезни; ревматические болезни: системная красная волчанка, васкулиты (ассоциированные с ANCA, IgA);</w:t>
      </w:r>
    </w:p>
    <w:p w:rsidR="008E3F15" w:rsidRDefault="005F449A">
      <w:pPr>
        <w:ind w:left="347" w:right="1018"/>
      </w:pPr>
      <w:r>
        <w:t>болезни обмена веществ: СД, амилоидоз, подагра, гипероксалурия; врожденные аномалии почек: поликистоз, гипоплазия почек;</w:t>
      </w:r>
    </w:p>
    <w:p w:rsidR="008E3F15" w:rsidRDefault="005F449A">
      <w:pPr>
        <w:spacing w:after="179"/>
        <w:ind w:left="347" w:right="356"/>
      </w:pPr>
      <w:r>
        <w:t>первичные поражения сосудов: артериальная гипертензия, стеноз почечных артерий; обструктивные нефропатии: мочекаменная болезнь, опухоли мочеполовой системы; лекарственные нефропатии: ненаркотические анальгетики, НПВП; токсические нефропатии: свинцовая, кад</w:t>
      </w:r>
      <w:r>
        <w:t>миевая, кремниевая, алкогольная.</w:t>
      </w:r>
    </w:p>
    <w:p w:rsidR="008E3F15" w:rsidRDefault="005F449A">
      <w:pPr>
        <w:ind w:left="2" w:right="204"/>
      </w:pPr>
      <w:r>
        <w:t>Большинство хронических заболеваний почек имеют единый механизм прогрессирования. В результате гибели части нефронов в оставшихся непораженными нефронах развиваются компенсаторные структурные и функциональные изменения. Эти изменения представлены внутриклу</w:t>
      </w:r>
      <w:r>
        <w:t>бочковой гипертензией, гиперфильтрацией, гипертрофией нефронов в результате активации внутрипочечной (тканевой) ренин-ангиотензиновой системы.</w:t>
      </w:r>
    </w:p>
    <w:p w:rsidR="008E3F15" w:rsidRDefault="005F449A">
      <w:pPr>
        <w:ind w:left="2" w:right="15"/>
      </w:pPr>
      <w:r>
        <w:t>На ранних этапах формирования почечной недостаточности отмечается снижение функционального резерва почки, в частн</w:t>
      </w:r>
      <w:r>
        <w:t>ости уменьшение способности к росту рСКФ в ответ на белковую нагрузку. На этом этапе течение почечной дисфункции бессимптомно. Дальнейшая потеря функционирующих нефронов (до 30% от нормы) приводит к более выраженным нарушениям функции почек — повышению кон</w:t>
      </w:r>
      <w:r>
        <w:t>центрации азотистых метаболитов (мочевины, креатинина), нарушению баланса электролитов, анемии и т.д.</w:t>
      </w:r>
    </w:p>
    <w:p w:rsidR="008E3F15" w:rsidRDefault="005F449A">
      <w:pPr>
        <w:pStyle w:val="Heading2"/>
        <w:spacing w:after="0"/>
        <w:ind w:left="2"/>
      </w:pPr>
      <w:r>
        <w:t>Классификация</w:t>
      </w:r>
    </w:p>
    <w:p w:rsidR="008E3F15" w:rsidRDefault="005F449A">
      <w:pPr>
        <w:ind w:left="2" w:right="15"/>
      </w:pPr>
      <w:r>
        <w:t>У пациентов с наличием заболеваний, вызывающих повреждение почек, или признаками повреждения почек оценивают рСКФ и соответствующую стадию Х</w:t>
      </w:r>
      <w:r>
        <w:t>БП (</w:t>
      </w:r>
      <w:r>
        <w:rPr>
          <w:b/>
        </w:rPr>
        <w:t>табл. 17.1</w:t>
      </w:r>
      <w:r>
        <w:t xml:space="preserve">, </w:t>
      </w:r>
      <w:r>
        <w:rPr>
          <w:b/>
        </w:rPr>
        <w:t>17.2</w:t>
      </w:r>
      <w:r>
        <w:t>).</w:t>
      </w:r>
    </w:p>
    <w:p w:rsidR="008E3F15" w:rsidRDefault="005F449A">
      <w:pPr>
        <w:spacing w:after="31"/>
        <w:ind w:left="2" w:right="15"/>
      </w:pPr>
      <w:r>
        <w:rPr>
          <w:b/>
        </w:rPr>
        <w:t xml:space="preserve">Таблица 17.1. </w:t>
      </w:r>
      <w:r>
        <w:t>Классификация хронической болезни почек (K/DOQI)</w:t>
      </w:r>
    </w:p>
    <w:tbl>
      <w:tblPr>
        <w:tblStyle w:val="TableGrid"/>
        <w:tblW w:w="10485" w:type="dxa"/>
        <w:tblInd w:w="37" w:type="dxa"/>
        <w:tblCellMar>
          <w:top w:w="80" w:type="dxa"/>
          <w:left w:w="40" w:type="dxa"/>
          <w:bottom w:w="0" w:type="dxa"/>
          <w:right w:w="50" w:type="dxa"/>
        </w:tblCellMar>
        <w:tblLook w:val="04A0" w:firstRow="1" w:lastRow="0" w:firstColumn="1" w:lastColumn="0" w:noHBand="0" w:noVBand="1"/>
      </w:tblPr>
      <w:tblGrid>
        <w:gridCol w:w="915"/>
        <w:gridCol w:w="3345"/>
        <w:gridCol w:w="1770"/>
        <w:gridCol w:w="4455"/>
      </w:tblGrid>
      <w:tr w:rsidR="008E3F15">
        <w:trPr>
          <w:trHeight w:val="63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jc w:val="both"/>
            </w:pPr>
            <w:r>
              <w:rPr>
                <w:b/>
              </w:rPr>
              <w:t>Стадия</w:t>
            </w:r>
          </w:p>
        </w:tc>
        <w:tc>
          <w:tcPr>
            <w:tcW w:w="3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Характеристика</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rPr>
                <w:b/>
              </w:rPr>
              <w:t>рСКФ, мл/ мин/ 1,73 м</w:t>
            </w:r>
            <w:r>
              <w:rPr>
                <w:b/>
                <w:sz w:val="31"/>
                <w:vertAlign w:val="superscript"/>
              </w:rPr>
              <w:t>2</w:t>
            </w:r>
          </w:p>
        </w:tc>
        <w:tc>
          <w:tcPr>
            <w:tcW w:w="44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Рекомендуемые мероприятия</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С1</w:t>
            </w:r>
          </w:p>
        </w:tc>
        <w:tc>
          <w:tcPr>
            <w:tcW w:w="3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589" w:firstLine="0"/>
            </w:pPr>
            <w:r>
              <w:t>Повреждение почек с нормальной или ↑СКФ</w:t>
            </w:r>
          </w:p>
        </w:tc>
        <w:tc>
          <w:tcPr>
            <w:tcW w:w="17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≥90</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Лечение основного заболевания, контроль факторов риска</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С2</w:t>
            </w:r>
          </w:p>
        </w:tc>
        <w:tc>
          <w:tcPr>
            <w:tcW w:w="3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874" w:firstLine="0"/>
            </w:pPr>
            <w:r>
              <w:t>Повреждение почек с легким ↓СКФ</w:t>
            </w:r>
          </w:p>
        </w:tc>
        <w:tc>
          <w:tcPr>
            <w:tcW w:w="17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60–89</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 оценка скорости прогрессирования, замедление темпов ↓СКФ</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С3а</w:t>
            </w:r>
          </w:p>
        </w:tc>
        <w:tc>
          <w:tcPr>
            <w:tcW w:w="3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Умеренное ↓СКФ</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45–59</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 оценка и снижение риска ССЗ</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С3б</w:t>
            </w:r>
          </w:p>
        </w:tc>
        <w:tc>
          <w:tcPr>
            <w:tcW w:w="3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Существенное ↓СКФ</w:t>
            </w:r>
          </w:p>
        </w:tc>
        <w:tc>
          <w:tcPr>
            <w:tcW w:w="17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30–44</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 активная профилактика и лечение</w:t>
            </w:r>
          </w:p>
          <w:p w:rsidR="008E3F15" w:rsidRDefault="005F449A">
            <w:pPr>
              <w:spacing w:after="0" w:line="259" w:lineRule="auto"/>
              <w:ind w:left="6" w:right="0" w:firstLine="0"/>
            </w:pPr>
            <w:r>
              <w:t>ССЗ</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С4</w:t>
            </w:r>
          </w:p>
        </w:tc>
        <w:tc>
          <w:tcPr>
            <w:tcW w:w="3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Выраженное ↓СКФ</w:t>
            </w:r>
          </w:p>
        </w:tc>
        <w:tc>
          <w:tcPr>
            <w:tcW w:w="17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9" w:right="0" w:firstLine="0"/>
            </w:pPr>
            <w:r>
              <w:t>15–29</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 подготовка к заместительной терапии</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С5</w:t>
            </w:r>
          </w:p>
        </w:tc>
        <w:tc>
          <w:tcPr>
            <w:tcW w:w="3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Почечная недостаточность</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&lt;15</w:t>
            </w:r>
          </w:p>
        </w:tc>
        <w:tc>
          <w:tcPr>
            <w:tcW w:w="44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Почечная заместительная терапия</w:t>
            </w:r>
          </w:p>
        </w:tc>
      </w:tr>
    </w:tbl>
    <w:p w:rsidR="008E3F15" w:rsidRDefault="005F449A">
      <w:pPr>
        <w:spacing w:after="31"/>
        <w:ind w:left="2" w:right="15"/>
      </w:pPr>
      <w:r>
        <w:rPr>
          <w:b/>
        </w:rPr>
        <w:t xml:space="preserve">Таблица 17.2. </w:t>
      </w:r>
      <w:r>
        <w:t>Кодировка хронической болезни почек в Международной классификации болезней 10-го пересмотра</w:t>
      </w:r>
    </w:p>
    <w:tbl>
      <w:tblPr>
        <w:tblStyle w:val="TableGrid"/>
        <w:tblW w:w="10485" w:type="dxa"/>
        <w:tblInd w:w="37" w:type="dxa"/>
        <w:tblCellMar>
          <w:top w:w="80" w:type="dxa"/>
          <w:left w:w="40" w:type="dxa"/>
          <w:bottom w:w="0" w:type="dxa"/>
          <w:right w:w="115" w:type="dxa"/>
        </w:tblCellMar>
        <w:tblLook w:val="04A0" w:firstRow="1" w:lastRow="0" w:firstColumn="1" w:lastColumn="0" w:noHBand="0" w:noVBand="1"/>
      </w:tblPr>
      <w:tblGrid>
        <w:gridCol w:w="9195"/>
        <w:gridCol w:w="1290"/>
      </w:tblGrid>
      <w:tr w:rsidR="008E3F15">
        <w:trPr>
          <w:trHeight w:val="570"/>
        </w:trPr>
        <w:tc>
          <w:tcPr>
            <w:tcW w:w="91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rPr>
                <w:b/>
              </w:rPr>
              <w:t>Описание</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15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w:t>
            </w:r>
          </w:p>
          <w:p w:rsidR="008E3F15" w:rsidRDefault="005F449A">
            <w:pPr>
              <w:spacing w:after="0" w:line="216" w:lineRule="auto"/>
              <w:ind w:left="5" w:right="0" w:firstLine="0"/>
            </w:pPr>
            <w:r>
              <w:t>Включено: хроническая уремия, диффузный склерозирующий гломерулонефрит. Исключено: хроническая почечная недостаточность с артериальной гипертензией (I12.0).</w:t>
            </w:r>
          </w:p>
          <w:p w:rsidR="008E3F15" w:rsidRDefault="005F449A">
            <w:pPr>
              <w:spacing w:after="0" w:line="259" w:lineRule="auto"/>
              <w:ind w:left="5" w:right="0" w:firstLine="0"/>
            </w:pPr>
            <w:r>
              <w:t>Используйте дополнительный код, если необходимо, для идентификации основного заболевания или артериальной гипертензии</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w:t>
            </w:r>
          </w:p>
        </w:tc>
      </w:tr>
      <w:tr w:rsidR="008E3F15">
        <w:trPr>
          <w:trHeight w:val="645"/>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стадия 1</w:t>
            </w:r>
          </w:p>
          <w:p w:rsidR="008E3F15" w:rsidRDefault="005F449A">
            <w:pPr>
              <w:spacing w:after="0" w:line="259" w:lineRule="auto"/>
              <w:ind w:left="5" w:right="0" w:firstLine="0"/>
            </w:pPr>
            <w:r>
              <w:t>Повреждение почек с нормальной или повышенной рСКФ (&gt;90 мл/мин/1,73 м</w:t>
            </w:r>
            <w:r>
              <w:rPr>
                <w:sz w:val="31"/>
                <w:vertAlign w:val="superscript"/>
              </w:rPr>
              <w:t>2</w:t>
            </w:r>
            <w:r>
              <w:t>)</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N18.1</w:t>
            </w:r>
          </w:p>
        </w:tc>
      </w:tr>
      <w:tr w:rsidR="008E3F15">
        <w:trPr>
          <w:trHeight w:val="6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стадия 2</w:t>
            </w:r>
          </w:p>
          <w:p w:rsidR="008E3F15" w:rsidRDefault="005F449A">
            <w:pPr>
              <w:spacing w:after="0" w:line="259" w:lineRule="auto"/>
              <w:ind w:left="5" w:right="0" w:firstLine="0"/>
            </w:pPr>
            <w:r>
              <w:t>Повреждение почек с легким снижением рСКФ (60–89 мл/мин/1,73 м</w:t>
            </w:r>
            <w:r>
              <w:rPr>
                <w:sz w:val="31"/>
                <w:vertAlign w:val="superscript"/>
              </w:rPr>
              <w:t>2</w:t>
            </w:r>
            <w:r>
              <w:t>)</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N18.2</w:t>
            </w:r>
          </w:p>
        </w:tc>
      </w:tr>
      <w:tr w:rsidR="008E3F15">
        <w:trPr>
          <w:trHeight w:val="63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стадия 3</w:t>
            </w:r>
          </w:p>
          <w:p w:rsidR="008E3F15" w:rsidRDefault="005F449A">
            <w:pPr>
              <w:spacing w:after="0" w:line="259" w:lineRule="auto"/>
              <w:ind w:left="5" w:right="0" w:firstLine="0"/>
            </w:pPr>
            <w:r>
              <w:t>Повреждение почек с умеренным снижением рСКФ (30–59 мл/мин/1,73 м</w:t>
            </w:r>
            <w:r>
              <w:rPr>
                <w:sz w:val="31"/>
                <w:vertAlign w:val="superscript"/>
              </w:rPr>
              <w:t>2</w:t>
            </w:r>
            <w:r>
              <w:t>)</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N18.3</w:t>
            </w:r>
          </w:p>
        </w:tc>
      </w:tr>
      <w:tr w:rsidR="008E3F15">
        <w:trPr>
          <w:trHeight w:val="645"/>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стадия 4</w:t>
            </w:r>
          </w:p>
          <w:p w:rsidR="008E3F15" w:rsidRDefault="005F449A">
            <w:pPr>
              <w:spacing w:after="0" w:line="259" w:lineRule="auto"/>
              <w:ind w:left="5" w:right="0" w:firstLine="0"/>
            </w:pPr>
            <w:r>
              <w:t>Болезнь почек с выраженным снижением рСКФ (15–29 мл/мин/1,73 м</w:t>
            </w:r>
            <w:r>
              <w:rPr>
                <w:sz w:val="31"/>
                <w:vertAlign w:val="superscript"/>
              </w:rPr>
              <w:t>2</w:t>
            </w:r>
            <w:r>
              <w:t>)</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N18.4</w:t>
            </w:r>
          </w:p>
        </w:tc>
      </w:tr>
      <w:tr w:rsidR="008E3F15">
        <w:trPr>
          <w:trHeight w:val="87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стадия 5</w:t>
            </w:r>
          </w:p>
          <w:p w:rsidR="008E3F15" w:rsidRDefault="005F449A">
            <w:pPr>
              <w:spacing w:after="0" w:line="259" w:lineRule="auto"/>
              <w:ind w:left="5" w:right="0" w:firstLine="0"/>
            </w:pPr>
            <w:r>
              <w:t>Почечная недостаточность (&lt;15 мл/мин/1,73 м</w:t>
            </w:r>
            <w:r>
              <w:rPr>
                <w:sz w:val="31"/>
                <w:vertAlign w:val="superscript"/>
              </w:rPr>
              <w:t>2</w:t>
            </w:r>
            <w:r>
              <w:t xml:space="preserve"> или диализ).</w:t>
            </w:r>
          </w:p>
          <w:p w:rsidR="008E3F15" w:rsidRDefault="005F449A">
            <w:pPr>
              <w:spacing w:after="0" w:line="259" w:lineRule="auto"/>
              <w:ind w:left="5" w:right="0" w:firstLine="0"/>
            </w:pPr>
            <w:r>
              <w:t>Включено: хроническая уремия, терминальная стадия болезни почек</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N18.5</w:t>
            </w:r>
          </w:p>
        </w:tc>
      </w:tr>
      <w:tr w:rsidR="008E3F15">
        <w:trPr>
          <w:trHeight w:val="810"/>
        </w:trPr>
        <w:tc>
          <w:tcPr>
            <w:tcW w:w="91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rPr>
                <w:i/>
              </w:rPr>
              <w:t>ХБП, неуточненная</w:t>
            </w:r>
          </w:p>
          <w:p w:rsidR="008E3F15" w:rsidRDefault="005F449A">
            <w:pPr>
              <w:spacing w:after="0" w:line="259" w:lineRule="auto"/>
              <w:ind w:left="5" w:right="0" w:firstLine="0"/>
            </w:pPr>
            <w:r>
              <w:t>Включено: почечная недостаточность неуточненная, уремия неуточненная.</w:t>
            </w:r>
          </w:p>
          <w:p w:rsidR="008E3F15" w:rsidRDefault="005F449A">
            <w:pPr>
              <w:spacing w:after="0" w:line="259" w:lineRule="auto"/>
              <w:ind w:left="5" w:right="0" w:firstLine="0"/>
            </w:pPr>
            <w:r>
              <w:t>Исключено: почечная недостаточность с артериальной гипертензией (I12.0)</w:t>
            </w:r>
          </w:p>
        </w:tc>
        <w:tc>
          <w:tcPr>
            <w:tcW w:w="129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N18.9</w:t>
            </w:r>
          </w:p>
        </w:tc>
      </w:tr>
    </w:tbl>
    <w:p w:rsidR="008E3F15" w:rsidRDefault="005F449A">
      <w:pPr>
        <w:spacing w:after="38"/>
        <w:ind w:left="2" w:right="15"/>
      </w:pPr>
      <w:r>
        <w:t>Показатель рСКФ на уровне 90 мл/мин/1,73 м</w:t>
      </w:r>
      <w:r>
        <w:rPr>
          <w:sz w:val="31"/>
          <w:vertAlign w:val="superscript"/>
        </w:rPr>
        <w:t>2</w:t>
      </w:r>
      <w:r>
        <w:t xml:space="preserve"> принят как нижняя граница нормы. Состояния со СКФ в диапазоне от 60 до 89 мл/мин/1,73 м</w:t>
      </w:r>
      <w:r>
        <w:rPr>
          <w:sz w:val="31"/>
          <w:vertAlign w:val="superscript"/>
        </w:rPr>
        <w:t xml:space="preserve">2 </w:t>
      </w:r>
      <w:r>
        <w:t>при отсутствии признаков повреждения почек к</w:t>
      </w:r>
      <w:r>
        <w:t>лассифицируют как «снижение рСКФ», которое целесообразно отразить в диагнозе. Легкое снижение рСКФ у пожилых лиц без инициирующих факторов риска ХБП расценивается как возрастная норма.</w:t>
      </w:r>
    </w:p>
    <w:p w:rsidR="008E3F15" w:rsidRDefault="005F449A">
      <w:pPr>
        <w:ind w:left="2" w:right="15"/>
      </w:pPr>
      <w:r>
        <w:t>Когда в течение 3 и более мес рСКФ не достигает 60 мл/мин/1,73 м</w:t>
      </w:r>
      <w:r>
        <w:rPr>
          <w:sz w:val="31"/>
          <w:vertAlign w:val="superscript"/>
        </w:rPr>
        <w:t>2</w:t>
      </w:r>
      <w:r>
        <w:t>, неза</w:t>
      </w:r>
      <w:r>
        <w:t>висимо от того, имеются ли при этом другие признаки нефропатии, следует диагностировать ХБП соответствующей стадии.</w:t>
      </w:r>
    </w:p>
    <w:p w:rsidR="008E3F15" w:rsidRDefault="005F449A">
      <w:pPr>
        <w:spacing w:after="359"/>
        <w:ind w:left="2" w:right="15"/>
      </w:pPr>
      <w:r>
        <w:t>В связи с редким переходом пациентов из 3-й в 4-ю стадию, с учетом значительного возрастания риска ССЗ, 3-ю стадию было предложено разделить</w:t>
      </w:r>
      <w:r>
        <w:t xml:space="preserve"> на подстадии «а» и «б» (Abutaleb N., 2007; KDIGO).</w:t>
      </w:r>
    </w:p>
    <w:p w:rsidR="008E3F15" w:rsidRDefault="005F449A">
      <w:pPr>
        <w:pStyle w:val="Heading1"/>
        <w:ind w:left="2"/>
      </w:pPr>
      <w:r>
        <w:t>Часть II. Коморбидные болезни</w:t>
      </w:r>
    </w:p>
    <w:p w:rsidR="008E3F15" w:rsidRDefault="005F449A">
      <w:pPr>
        <w:ind w:left="2" w:right="15"/>
      </w:pPr>
      <w:r>
        <w:t xml:space="preserve">В целях сохранения общепринятой структуры диагноза рекомендуется диагноз ХБП указывать после основного заболевания. Кодировка болезни устанавливается в соответствии с МКБ-10 </w:t>
      </w:r>
      <w:r>
        <w:t>по основному заболеванию, а при невозможности выявления последнего — рубриками N18.1–9.</w:t>
      </w:r>
    </w:p>
    <w:p w:rsidR="008E3F15" w:rsidRDefault="005F449A">
      <w:pPr>
        <w:ind w:left="2" w:right="15"/>
      </w:pPr>
      <w:r>
        <w:t>В случае проведения диализа или трансплантированной почки рекомендуют делать соответствующие отметки в диагнозе, например «стадия 5Д» или «стадия 3T» соответственно. Примеры некоторых распространенных клинических диагнозов, основанные на российских рекомен</w:t>
      </w:r>
      <w:r>
        <w:t xml:space="preserve">дациях и согласованные ведущими специалистами и практикующими врачами, приведены в </w:t>
      </w:r>
      <w:r>
        <w:rPr>
          <w:b/>
        </w:rPr>
        <w:t>табл. 17.3</w:t>
      </w:r>
      <w:r>
        <w:t>.</w:t>
      </w:r>
    </w:p>
    <w:p w:rsidR="008E3F15" w:rsidRDefault="005F449A">
      <w:pPr>
        <w:spacing w:after="31"/>
        <w:ind w:left="2" w:right="15"/>
      </w:pPr>
      <w:r>
        <w:rPr>
          <w:b/>
        </w:rPr>
        <w:t xml:space="preserve">Таблица 17.3. </w:t>
      </w:r>
      <w:r>
        <w:t>Примеры оформления диагноза</w:t>
      </w:r>
    </w:p>
    <w:tbl>
      <w:tblPr>
        <w:tblStyle w:val="TableGrid"/>
        <w:tblW w:w="10485" w:type="dxa"/>
        <w:tblInd w:w="37" w:type="dxa"/>
        <w:tblCellMar>
          <w:top w:w="80" w:type="dxa"/>
          <w:left w:w="43" w:type="dxa"/>
          <w:bottom w:w="0" w:type="dxa"/>
          <w:right w:w="115" w:type="dxa"/>
        </w:tblCellMar>
        <w:tblLook w:val="04A0" w:firstRow="1" w:lastRow="0" w:firstColumn="1" w:lastColumn="0" w:noHBand="0" w:noVBand="1"/>
      </w:tblPr>
      <w:tblGrid>
        <w:gridCol w:w="9300"/>
        <w:gridCol w:w="1185"/>
      </w:tblGrid>
      <w:tr w:rsidR="008E3F15">
        <w:trPr>
          <w:trHeight w:val="570"/>
        </w:trPr>
        <w:tc>
          <w:tcPr>
            <w:tcW w:w="93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rPr>
                <w:b/>
              </w:rPr>
              <w:t>Диагноз</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Хронический гломерулонефрит, мочевой синдром, ХБП 2 стадия</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N03.9</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Хронический гломерулонефрит, мембрано-пролиферативный, нефротический синдром, обострение, ХБП С3аА1</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N03.5</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Сахарный диабет 2 типа, ХБП С5Д (2018)</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Е11.2</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Гипертоническая болезнь, ХБП 3б стадия</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I12.0</w:t>
            </w:r>
          </w:p>
        </w:tc>
      </w:tr>
      <w:tr w:rsidR="008E3F15">
        <w:trPr>
          <w:trHeight w:val="81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Системная красная волчанка, подострое течение, активность II степени, полиартрит, правосторонний экссудативный плеврит, мембранопролиферативный гломерулонефрит, ХБП С4А2</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M32</w:t>
            </w:r>
          </w:p>
        </w:tc>
      </w:tr>
      <w:tr w:rsidR="008E3F15">
        <w:trPr>
          <w:trHeight w:val="57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Хронический тубулоинтерстициальный нефрит, вызванный парацетамолом, ХБП С2</w:t>
            </w:r>
          </w:p>
        </w:tc>
        <w:tc>
          <w:tcPr>
            <w:tcW w:w="11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N14</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Хроническая болезнь почек, неуточненная, С4А1</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N18.9</w:t>
            </w:r>
          </w:p>
        </w:tc>
      </w:tr>
      <w:tr w:rsidR="008E3F15">
        <w:trPr>
          <w:trHeight w:val="330"/>
        </w:trPr>
        <w:tc>
          <w:tcPr>
            <w:tcW w:w="93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Поликистоз почек, ХБП С1</w:t>
            </w:r>
          </w:p>
        </w:tc>
        <w:tc>
          <w:tcPr>
            <w:tcW w:w="11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Q61.2</w:t>
            </w:r>
          </w:p>
        </w:tc>
      </w:tr>
    </w:tbl>
    <w:p w:rsidR="008E3F15" w:rsidRDefault="005F449A">
      <w:pPr>
        <w:spacing w:after="46"/>
        <w:ind w:left="2" w:right="15"/>
      </w:pPr>
      <w:r>
        <w:t>Напомним, что при отсутствии признаков повреждения почек и рСКФ 60–89 мл/мин/1,73 м</w:t>
      </w:r>
      <w:r>
        <w:rPr>
          <w:sz w:val="31"/>
          <w:vertAlign w:val="superscript"/>
        </w:rPr>
        <w:t xml:space="preserve">2 </w:t>
      </w:r>
      <w:r>
        <w:t>стадия ХБП не устанавливается, а в диагнозе отмечается «снижение рСКФ». У пожилых лиц</w:t>
      </w:r>
    </w:p>
    <w:p w:rsidR="008E3F15" w:rsidRDefault="005F449A">
      <w:pPr>
        <w:spacing w:after="359"/>
        <w:ind w:left="2" w:right="15"/>
      </w:pPr>
      <w:r>
        <w:t>(&gt; 65 лет) показатели рСКФ в пределах 60–89 мл/мин/1,73 м</w:t>
      </w:r>
      <w:r>
        <w:rPr>
          <w:sz w:val="31"/>
          <w:vertAlign w:val="superscript"/>
        </w:rPr>
        <w:t>2</w:t>
      </w:r>
      <w:r>
        <w:t xml:space="preserve"> расцениваются как вариант нормы. Пациентам на диализе устанавливают 5-ю стадию ХБП.</w:t>
      </w:r>
    </w:p>
    <w:p w:rsidR="008E3F15" w:rsidRDefault="005F449A">
      <w:pPr>
        <w:pStyle w:val="Heading1"/>
        <w:ind w:left="2"/>
      </w:pPr>
      <w:r>
        <w:t>Часть II. Коморбидные болезни</w:t>
      </w:r>
    </w:p>
    <w:p w:rsidR="008E3F15" w:rsidRDefault="005F449A">
      <w:pPr>
        <w:spacing w:after="31"/>
        <w:ind w:left="2" w:right="15"/>
      </w:pPr>
      <w:r>
        <w:t>Диагностика</w:t>
      </w:r>
    </w:p>
    <w:p w:rsidR="008E3F15" w:rsidRDefault="005F449A">
      <w:pPr>
        <w:ind w:left="2" w:right="274"/>
      </w:pPr>
      <w:r>
        <w:rPr>
          <w:b/>
        </w:rPr>
        <w:t xml:space="preserve">Маркеры повреждения почек. </w:t>
      </w:r>
      <w:r>
        <w:t>Хроническое повреждение почек определяется к</w:t>
      </w:r>
      <w:r>
        <w:t>ак структурные аномалии почек, которые могут привести к снижению почечной функции. Экспертами предложены маркеры повреждения почек, используемые для постановки диагноза ХБП (KDIGO): альбуминурия/протеинурия, аномалии осадка мочи, электролитные и другие нар</w:t>
      </w:r>
      <w:r>
        <w:t>ушения при поражении канальцев, гистологические изменения, структурные аномалии при визуальных тестах, анамнез трансплантации почек.</w:t>
      </w:r>
    </w:p>
    <w:p w:rsidR="008E3F15" w:rsidRDefault="005F449A">
      <w:pPr>
        <w:ind w:left="2" w:right="518"/>
      </w:pPr>
      <w:r>
        <w:rPr>
          <w:i/>
        </w:rPr>
        <w:t>Протеинурия</w:t>
      </w:r>
      <w:r>
        <w:t xml:space="preserve"> является ранним и чувствительным маркером почечного повреждения при многих нефропатиях. При этом основным белко</w:t>
      </w:r>
      <w:r>
        <w:t>м мочи, как правило, является альбумин с малым молекулярным весом.</w:t>
      </w:r>
    </w:p>
    <w:p w:rsidR="008E3F15" w:rsidRDefault="005F449A">
      <w:pPr>
        <w:ind w:left="2" w:right="15"/>
      </w:pPr>
      <w:r>
        <w:rPr>
          <w:i/>
        </w:rPr>
        <w:t>Альбуминурия.</w:t>
      </w:r>
      <w:r>
        <w:t xml:space="preserve"> В норме у взрослых экскреция альбумина с мочой составляет &lt;30 мг/сут. Микроальбуминурия (30–300 мг/сут) является ранним маркером повреждения почек. В связи с вариативностью ал</w:t>
      </w:r>
      <w:r>
        <w:t>ьбуминурии необходимо получить не менее двух положительных тестов из трех (UKRA).</w:t>
      </w:r>
    </w:p>
    <w:p w:rsidR="008E3F15" w:rsidRDefault="005F449A">
      <w:pPr>
        <w:ind w:left="2" w:right="15"/>
      </w:pPr>
      <w:r>
        <w:rPr>
          <w:i/>
        </w:rPr>
        <w:t>Отношение альбумин/креатинин</w:t>
      </w:r>
      <w:r>
        <w:t xml:space="preserve"> устраняет влияние изменения концентрации мочи, которое в равной мере воздействует на содержание в моче альбумина и креатинина. Динамика отношения</w:t>
      </w:r>
      <w:r>
        <w:t xml:space="preserve"> альбумин/креатинин тесно ассоциируется с развитием терминальной почечной недостаточности и смерти (SCREAM). В случаях невозможности оценки альбумина для расчета показателя альбумин/креатинин предложен калькулятор, использующий уровень белка в моче (Sumida</w:t>
      </w:r>
      <w:r>
        <w:t xml:space="preserve"> K. et al., 2020).</w:t>
      </w:r>
    </w:p>
    <w:p w:rsidR="008E3F15" w:rsidRDefault="005F449A">
      <w:pPr>
        <w:ind w:left="2" w:right="15"/>
      </w:pPr>
      <w:r>
        <w:t>Экспертами NKF-KDIGO предложено с целью уточнения прогноза разделить альбуминурию на основании суточной экскреции или отношения альбумин/креатинин на три категории:</w:t>
      </w:r>
    </w:p>
    <w:p w:rsidR="008E3F15" w:rsidRDefault="005F449A">
      <w:pPr>
        <w:spacing w:after="179"/>
        <w:ind w:left="347" w:right="3553"/>
      </w:pPr>
      <w:r>
        <w:rPr>
          <w:rFonts w:ascii="Calibri" w:eastAsia="Calibri" w:hAnsi="Calibri" w:cs="Calibri"/>
          <w:noProof/>
          <w:color w:val="000000"/>
          <w:sz w:val="22"/>
        </w:rPr>
        <mc:AlternateContent>
          <mc:Choice Requires="wpg">
            <w:drawing>
              <wp:anchor distT="0" distB="0" distL="114300" distR="114300" simplePos="0" relativeHeight="251914240"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17405" name="Group 31740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19911" name="Shape 19911"/>
                        <wps:cNvSpPr/>
                        <wps:spPr>
                          <a:xfrm>
                            <a:off x="0" y="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917"/>
                                  <a:pt x="0" y="32345"/>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13" name="Shape 1991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716"/>
                                  <a:pt x="53525" y="13891"/>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158"/>
                                  <a:pt x="32364" y="57150"/>
                                  <a:pt x="28575" y="57150"/>
                                </a:cubicBezTo>
                                <a:cubicBezTo>
                                  <a:pt x="24786" y="57150"/>
                                  <a:pt x="21141" y="56158"/>
                                  <a:pt x="17640" y="54769"/>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3891"/>
                                  <a:pt x="5690" y="10716"/>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15" name="Shape 19915"/>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7405" style="width:4.5pt;height:28.5pt;position:absolute;mso-position-horizontal-relative:text;mso-position-horizontal:absolute;margin-left:16.8633pt;mso-position-vertical-relative:text;margin-top:2.73438pt;" coordsize="571,3619">
                <v:shape id="Shape 19911" style="position:absolute;width:571;height:571;left:0;top:0;" coordsize="57150,57150" path="m28575,0c32364,0,36009,595,39510,1984c43011,3572,46101,5556,48781,8334c51460,10716,53525,13891,54975,17264c56425,20836,57150,24606,57150,28575c57150,32345,56425,35917,54975,39489c53525,42863,51460,45839,48781,48816c46101,51197,43011,53380,39510,54769c36009,56356,32364,57150,28575,57150c24786,57150,21141,56356,17640,54967c14139,53380,11049,51197,8369,48816c5690,45839,3625,42863,2175,39291c725,35917,0,32345,0,28575c0,24606,725,20836,2175,17463c3625,13891,5690,10716,8369,8334c11049,5556,14139,3572,17640,1984c21141,595,24786,0,28575,0x">
                  <v:stroke weight="0pt" endcap="flat" joinstyle="miter" miterlimit="10" on="false" color="#000000" opacity="0"/>
                  <v:fill on="true" color="#333333"/>
                </v:shape>
                <v:shape id="Shape 19913" style="position:absolute;width:571;height:571;left:0;top:1524;" coordsize="57150,57150" path="m28575,0c32364,0,36009,794,39510,2183c43011,3572,46101,5556,48781,8334c51460,10716,53525,13891,54975,17463c56425,20836,57150,24606,57150,28575c57150,32147,56425,35719,54975,39291c53525,42863,51460,45839,48781,48816c46101,51197,43011,53380,39510,54769c36009,56158,32364,57150,28575,57150c24786,57150,21141,56158,17640,54769c14139,53380,11049,51197,8369,48816c5690,45839,3625,42863,2175,39291c725,35719,0,32147,0,28575c0,24606,725,20836,2175,17463c3625,13891,5690,10716,8369,8334c11049,5556,14139,3572,17640,1984c21141,595,24786,0,28575,0x">
                  <v:stroke weight="0pt" endcap="flat" joinstyle="miter" miterlimit="10" on="false" color="#000000" opacity="0"/>
                  <v:fill on="true" color="#333333"/>
                </v:shape>
                <v:shape id="Shape 19915" style="position:absolute;width:571;height:571;left:0;top:3048;" coordsize="57150,57150" path="m28575,0c32364,0,36009,595,39510,1984c43011,3572,46101,5556,48781,8334c51460,10914,53525,14089,54975,17463c56425,20836,57150,24606,57150,28575c57150,32147,56425,35719,54975,39291c53525,42863,51460,45839,48781,48816c46101,51197,43011,53380,39510,54769c36009,56356,32364,57150,28575,57150c24786,57150,21141,56356,17640,54967c14139,53380,11049,51197,8369,48816c5690,45839,3625,42863,2175,39291c725,35719,0,32147,0,28575c0,24606,725,20836,2175,17463c3625,14089,5690,10914,8369,8334c11049,5556,14139,3572,17640,1984c21141,595,24786,0,28575,0x">
                  <v:stroke weight="0pt" endcap="flat" joinstyle="miter" miterlimit="10" on="false" color="#000000" opacity="0"/>
                  <v:fill on="true" color="#333333"/>
                </v:shape>
                <w10:wrap type="square"/>
              </v:group>
            </w:pict>
          </mc:Fallback>
        </mc:AlternateContent>
      </w:r>
      <w:r>
        <w:t>А1 (нормальная, слабо повышенная): &lt;30 мг/сут или мг/г; А2 (умеренно по</w:t>
      </w:r>
      <w:r>
        <w:t>вышенная): 30–300 мг/сут или мг/г; А3 (высокая): &gt;300 мг/сут или мг/г.</w:t>
      </w:r>
    </w:p>
    <w:p w:rsidR="008E3F15" w:rsidRDefault="005F449A">
      <w:pPr>
        <w:ind w:left="2" w:right="15"/>
      </w:pPr>
      <w:r>
        <w:t>В отечественных рекомендациях градация альбуминурии расширена за счет нефротической (≥2 г/сут, А4) альбуминурии.</w:t>
      </w:r>
    </w:p>
    <w:p w:rsidR="008E3F15" w:rsidRDefault="005F449A">
      <w:pPr>
        <w:ind w:left="2" w:right="15"/>
      </w:pPr>
      <w:r>
        <w:rPr>
          <w:i/>
        </w:rPr>
        <w:t xml:space="preserve">Микрогематурия </w:t>
      </w:r>
      <w:r>
        <w:t xml:space="preserve">в сочетании с изменением морфологии эритроцитов (анизоцитоз) характерна для поражения базальной мембраны почек. При микрогематурии требуется исключить инфекцию мочевыводящих путей, а у пациентов после 40 лет — рак почки. Если микрогематурия сопровождается </w:t>
      </w:r>
      <w:r>
        <w:t>протеинурией и снижением рСКФ, то высока вероятность гломерулярного или сосудистого поражения почек.</w:t>
      </w:r>
    </w:p>
    <w:p w:rsidR="008E3F15" w:rsidRDefault="005F449A">
      <w:pPr>
        <w:ind w:left="2" w:right="1602"/>
      </w:pPr>
      <w:r>
        <w:t xml:space="preserve">При поражении почек нередко выявляются </w:t>
      </w:r>
      <w:r>
        <w:rPr>
          <w:i/>
        </w:rPr>
        <w:t>цилиндры:</w:t>
      </w:r>
      <w:r>
        <w:t xml:space="preserve"> эритроцитарные — при пролиферативном гломерулонефрите, лейкоцитарные — при пиелонефрите или интерстициальн</w:t>
      </w:r>
      <w:r>
        <w:t>ом нефрите.</w:t>
      </w:r>
    </w:p>
    <w:p w:rsidR="008E3F15" w:rsidRDefault="005F449A">
      <w:pPr>
        <w:ind w:left="2" w:right="15"/>
      </w:pPr>
      <w:r>
        <w:t>К маркерам повреждения почек относят канальцевые нарушения: канальцевый ацидоз, нефрогенный несахарный СД, потерю калия/магния, цистинурию, синдром Фанкони, неальмубиновую протеинурию.</w:t>
      </w:r>
    </w:p>
    <w:p w:rsidR="008E3F15" w:rsidRDefault="005F449A">
      <w:pPr>
        <w:ind w:left="2" w:right="192"/>
      </w:pPr>
      <w:r>
        <w:t xml:space="preserve">Важнейшую информацию может дать </w:t>
      </w:r>
      <w:r>
        <w:rPr>
          <w:i/>
        </w:rPr>
        <w:t xml:space="preserve">биопсия почек, </w:t>
      </w:r>
      <w:r>
        <w:t xml:space="preserve">позволяющая </w:t>
      </w:r>
      <w:r>
        <w:t>выявить гломерулярные, сосудистые, тубулоинтерстициальные болезни почек и улучшить прогноз, особенно у пациентов с протеинурией &gt;1 г/сут (Zhang T. et al., 2023).</w:t>
      </w:r>
    </w:p>
    <w:p w:rsidR="008E3F15" w:rsidRDefault="005F449A">
      <w:pPr>
        <w:spacing w:after="179"/>
        <w:ind w:left="2" w:right="15"/>
      </w:pPr>
      <w:r>
        <w:rPr>
          <w:i/>
        </w:rPr>
        <w:t>Визуальные маркеры повреждения почек</w:t>
      </w:r>
      <w:r>
        <w:t xml:space="preserve"> определяются при ультразвуковом исследовании, КТ или магн</w:t>
      </w:r>
      <w:r>
        <w:t>итно-резонансной томографии, изотопной сцинтиграфии, ангиографии:</w:t>
      </w:r>
    </w:p>
    <w:p w:rsidR="008E3F15" w:rsidRDefault="005F449A">
      <w:pPr>
        <w:ind w:left="347" w:right="6771"/>
      </w:pPr>
      <w:r>
        <w:rPr>
          <w:rFonts w:ascii="Calibri" w:eastAsia="Calibri" w:hAnsi="Calibri" w:cs="Calibri"/>
          <w:noProof/>
          <w:color w:val="000000"/>
          <w:sz w:val="22"/>
        </w:rPr>
        <mc:AlternateContent>
          <mc:Choice Requires="wpg">
            <w:drawing>
              <wp:anchor distT="0" distB="0" distL="114300" distR="114300" simplePos="0" relativeHeight="251915264" behindDoc="0" locked="0" layoutInCell="1" allowOverlap="1">
                <wp:simplePos x="0" y="0"/>
                <wp:positionH relativeFrom="column">
                  <wp:posOffset>214164</wp:posOffset>
                </wp:positionH>
                <wp:positionV relativeFrom="paragraph">
                  <wp:posOffset>34727</wp:posOffset>
                </wp:positionV>
                <wp:extent cx="57150" cy="1276350"/>
                <wp:effectExtent l="0" t="0" r="0" b="0"/>
                <wp:wrapSquare wrapText="bothSides"/>
                <wp:docPr id="317406" name="Group 317406"/>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19941" name="Shape 19941"/>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356"/>
                                  <a:pt x="32364" y="57150"/>
                                  <a:pt x="28575" y="57150"/>
                                </a:cubicBezTo>
                                <a:cubicBezTo>
                                  <a:pt x="24786" y="57150"/>
                                  <a:pt x="21141" y="56356"/>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43" name="Shape 1994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5839"/>
                                  <a:pt x="48781" y="48816"/>
                                </a:cubicBezTo>
                                <a:cubicBezTo>
                                  <a:pt x="46101" y="51395"/>
                                  <a:pt x="43011" y="53578"/>
                                  <a:pt x="39510" y="54769"/>
                                </a:cubicBezTo>
                                <a:cubicBezTo>
                                  <a:pt x="36009" y="56356"/>
                                  <a:pt x="32364" y="57150"/>
                                  <a:pt x="28575" y="57150"/>
                                </a:cubicBezTo>
                                <a:cubicBezTo>
                                  <a:pt x="24786" y="57150"/>
                                  <a:pt x="21141" y="56356"/>
                                  <a:pt x="17640" y="54769"/>
                                </a:cubicBezTo>
                                <a:cubicBezTo>
                                  <a:pt x="14139" y="53578"/>
                                  <a:pt x="11049" y="51395"/>
                                  <a:pt x="8369" y="48816"/>
                                </a:cubicBezTo>
                                <a:cubicBezTo>
                                  <a:pt x="5690" y="45839"/>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45" name="Shape 19945"/>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816"/>
                                </a:cubicBezTo>
                                <a:cubicBezTo>
                                  <a:pt x="46101" y="51197"/>
                                  <a:pt x="43011" y="53181"/>
                                  <a:pt x="39510" y="54769"/>
                                </a:cubicBezTo>
                                <a:cubicBezTo>
                                  <a:pt x="36009" y="56356"/>
                                  <a:pt x="32364" y="57150"/>
                                  <a:pt x="28575" y="57150"/>
                                </a:cubicBezTo>
                                <a:cubicBezTo>
                                  <a:pt x="24786" y="57150"/>
                                  <a:pt x="21141" y="56356"/>
                                  <a:pt x="17640" y="54769"/>
                                </a:cubicBezTo>
                                <a:cubicBezTo>
                                  <a:pt x="14139" y="53181"/>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47" name="Shape 1994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50" name="Shape 19950"/>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863"/>
                                  <a:pt x="51460" y="45839"/>
                                  <a:pt x="48781" y="48816"/>
                                </a:cubicBezTo>
                                <a:cubicBezTo>
                                  <a:pt x="46101" y="51197"/>
                                  <a:pt x="43011" y="53380"/>
                                  <a:pt x="39510" y="54769"/>
                                </a:cubicBezTo>
                                <a:cubicBezTo>
                                  <a:pt x="36009" y="56356"/>
                                  <a:pt x="32364" y="57150"/>
                                  <a:pt x="28575" y="57150"/>
                                </a:cubicBezTo>
                                <a:cubicBezTo>
                                  <a:pt x="24786" y="57150"/>
                                  <a:pt x="21141" y="56356"/>
                                  <a:pt x="17640" y="54769"/>
                                </a:cubicBezTo>
                                <a:cubicBezTo>
                                  <a:pt x="14139" y="53380"/>
                                  <a:pt x="11049" y="51197"/>
                                  <a:pt x="8369" y="48816"/>
                                </a:cubicBezTo>
                                <a:cubicBezTo>
                                  <a:pt x="5690" y="45839"/>
                                  <a:pt x="3625" y="42863"/>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53" name="Shape 19953"/>
                        <wps:cNvSpPr/>
                        <wps:spPr>
                          <a:xfrm>
                            <a:off x="0" y="10668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380"/>
                                  <a:pt x="39510" y="54769"/>
                                </a:cubicBezTo>
                                <a:cubicBezTo>
                                  <a:pt x="36009" y="56158"/>
                                  <a:pt x="32364" y="57150"/>
                                  <a:pt x="28575" y="57150"/>
                                </a:cubicBezTo>
                                <a:cubicBezTo>
                                  <a:pt x="24786" y="57150"/>
                                  <a:pt x="21141" y="56158"/>
                                  <a:pt x="17640" y="54769"/>
                                </a:cubicBezTo>
                                <a:cubicBezTo>
                                  <a:pt x="14139" y="53380"/>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55" name="Shape 19955"/>
                        <wps:cNvSpPr/>
                        <wps:spPr>
                          <a:xfrm>
                            <a:off x="0" y="1219200"/>
                            <a:ext cx="57150" cy="57150"/>
                          </a:xfrm>
                          <a:custGeom>
                            <a:avLst/>
                            <a:gdLst/>
                            <a:ahLst/>
                            <a:cxnLst/>
                            <a:rect l="0" t="0" r="0" b="0"/>
                            <a:pathLst>
                              <a:path w="57150" h="57150">
                                <a:moveTo>
                                  <a:pt x="28575" y="0"/>
                                </a:moveTo>
                                <a:cubicBezTo>
                                  <a:pt x="32364" y="0"/>
                                  <a:pt x="36009" y="595"/>
                                  <a:pt x="39510" y="1984"/>
                                </a:cubicBezTo>
                                <a:cubicBezTo>
                                  <a:pt x="43011" y="3572"/>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578"/>
                                  <a:pt x="39510" y="54967"/>
                                </a:cubicBezTo>
                                <a:cubicBezTo>
                                  <a:pt x="36009" y="56356"/>
                                  <a:pt x="32364" y="57150"/>
                                  <a:pt x="28575" y="57150"/>
                                </a:cubicBezTo>
                                <a:cubicBezTo>
                                  <a:pt x="24786" y="57150"/>
                                  <a:pt x="21141" y="56356"/>
                                  <a:pt x="17640" y="54967"/>
                                </a:cubicBezTo>
                                <a:cubicBezTo>
                                  <a:pt x="14139" y="53578"/>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572"/>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7406" style="width:4.5pt;height:100.5pt;position:absolute;mso-position-horizontal-relative:text;mso-position-horizontal:absolute;margin-left:16.8633pt;mso-position-vertical-relative:text;margin-top:2.73438pt;" coordsize="571,12763">
                <v:shape id="Shape 19941" style="position:absolute;width:571;height:571;left:0;top:0;" coordsize="57150,57150" path="m28575,0c32364,0,36009,794,39510,2183c43011,3572,46101,5556,48781,8334c51460,10914,53525,14089,54975,17661c56425,21034,57150,24805,57150,28575c57150,32345,56425,36116,54975,39489c53525,42863,51460,45839,48781,48816c46101,51197,43011,53181,39510,54769c36009,56356,32364,57150,28575,57150c24786,57150,21141,56356,17640,54769c14139,53181,11049,51197,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943" style="position:absolute;width:571;height:571;left:0;top:1524;" coordsize="57150,57150" path="m28575,0c32364,0,36009,794,39510,2183c43011,3572,46101,5556,48781,8334c51460,10914,53525,14089,54975,17661c56425,21034,57150,24805,57150,28575c57150,32345,56425,35917,54975,39291c53525,42863,51460,45839,48781,48816c46101,51395,43011,53578,39510,54769c36009,56356,32364,57150,28575,57150c24786,57150,21141,56356,17640,54769c14139,53578,11049,51395,8369,48816c5690,45839,3625,42863,2175,39291c725,35917,0,32345,0,28575c0,24805,725,21034,2175,17661c3625,14089,5690,10914,8369,8334c11049,5556,14139,3572,17640,2183c21141,794,24786,0,28575,0x">
                  <v:stroke weight="0pt" endcap="flat" joinstyle="miter" miterlimit="10" on="false" color="#000000" opacity="0"/>
                  <v:fill on="true" color="#333333"/>
                </v:shape>
                <v:shape id="Shape 19945" style="position:absolute;width:571;height:571;left:0;top:3048;" coordsize="57150,57150" path="m28575,0c32364,0,36009,794,39510,2183c43011,3572,46101,5556,48781,8334c51460,10914,53525,14089,54975,17463c56425,21034,57150,24805,57150,28575c57150,32345,56425,36116,54975,39489c53525,42863,51460,45839,48781,48816c46101,51197,43011,53181,39510,54769c36009,56356,32364,57150,28575,57150c24786,57150,21141,56356,17640,54769c14139,53181,11049,51197,8369,48816c5690,45839,3625,42863,2175,39291c725,35917,0,32345,0,28575c0,24805,725,21034,2175,17463c3625,14089,5690,10914,8369,8334c11049,5556,14139,3572,17640,2183c21141,794,24786,0,28575,0x">
                  <v:stroke weight="0pt" endcap="flat" joinstyle="miter" miterlimit="10" on="false" color="#000000" opacity="0"/>
                  <v:fill on="true" color="#333333"/>
                </v:shape>
                <v:shape id="Shape 19947" style="position:absolute;width:571;height:571;left:0;top:4572;" coordsize="57150,57150" path="m28575,0c32364,0,36009,794,39510,2183c43011,3572,46101,5556,48781,8334c51460,10914,53525,14089,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4089,5690,10914,8369,8334c11049,5556,14139,3572,17640,2183c21141,794,24786,0,28575,0x">
                  <v:stroke weight="0pt" endcap="flat" joinstyle="miter" miterlimit="10" on="false" color="#000000" opacity="0"/>
                  <v:fill on="true" color="#333333"/>
                </v:shape>
                <v:shape id="Shape 19950" style="position:absolute;width:571;height:571;left:0;top:7620;" coordsize="57150,57150" path="m28575,0c32364,0,36009,595,39510,1984c43011,3572,46101,5556,48781,8334c51460,10914,53525,14089,54975,17463c56425,21034,57150,24805,57150,28575c57150,32345,56425,35917,54975,39291c53525,42863,51460,45839,48781,48816c46101,51197,43011,53380,39510,54769c36009,56356,32364,57150,28575,57150c24786,57150,21141,56356,17640,54769c14139,53380,11049,51197,8369,48816c5690,45839,3625,42863,2175,39291c725,35917,0,32345,0,28575c0,24805,725,21034,2175,17463c3625,14089,5690,10914,8369,8334c11049,5556,14139,3572,17640,1984c21141,595,24786,0,28575,0x">
                  <v:stroke weight="0pt" endcap="flat" joinstyle="miter" miterlimit="10" on="false" color="#000000" opacity="0"/>
                  <v:fill on="true" color="#333333"/>
                </v:shape>
                <v:shape id="Shape 19953" style="position:absolute;width:571;height:571;left:0;top:10668;" coordsize="57150,57150" path="m28575,0c32364,0,36009,794,39510,2183c43011,3572,46101,5755,48781,8334c51460,10914,53525,14089,54975,17463c56425,21034,57150,24805,57150,28575c57150,32345,56425,36116,54975,39489c53525,42863,51460,46038,48781,48816c46101,51395,43011,53380,39510,54769c36009,56158,32364,57150,28575,57150c24786,57150,21141,56158,17640,54769c14139,53380,11049,51395,8369,48816c5690,46038,3625,42863,2175,39489c725,36116,0,32345,0,28575c0,24805,725,21034,2175,17463c3625,14089,5690,10914,8369,8334c11049,5755,14139,3572,17640,2183c21141,794,24786,0,28575,0x">
                  <v:stroke weight="0pt" endcap="flat" joinstyle="miter" miterlimit="10" on="false" color="#000000" opacity="0"/>
                  <v:fill on="true" color="#333333"/>
                </v:shape>
                <v:shape id="Shape 19955" style="position:absolute;width:571;height:571;left:0;top:12192;" coordsize="57150,57150" path="m28575,0c32364,0,36009,595,39510,1984c43011,3572,46101,5556,48781,8334c51460,10914,53525,14089,54975,17463c56425,21034,57150,24805,57150,28575c57150,32345,56425,36116,54975,39489c53525,42863,51460,46038,48781,48816c46101,51395,43011,53578,39510,54967c36009,56356,32364,57150,28575,57150c24786,57150,21141,56356,17640,54967c14139,53578,11049,51395,8369,48816c5690,46038,3625,42863,2175,39489c725,36116,0,32345,0,28575c0,24805,725,21034,2175,17463c3625,14089,5690,10914,8369,8334c11049,5556,14139,3572,17640,1984c21141,595,24786,0,28575,0x">
                  <v:stroke weight="0pt" endcap="flat" joinstyle="miter" miterlimit="10" on="false" color="#000000" opacity="0"/>
                  <v:fill on="true" color="#333333"/>
                </v:shape>
                <w10:wrap type="square"/>
              </v:group>
            </w:pict>
          </mc:Fallback>
        </mc:AlternateContent>
      </w:r>
      <w:r>
        <w:t>поликистоз почек; дисплазия почек;</w:t>
      </w:r>
    </w:p>
    <w:p w:rsidR="008E3F15" w:rsidRDefault="005F449A">
      <w:pPr>
        <w:spacing w:after="31"/>
        <w:ind w:left="347" w:right="15"/>
      </w:pPr>
      <w:r>
        <w:t>гидронефроз вследствие обструкции;</w:t>
      </w:r>
    </w:p>
    <w:p w:rsidR="008E3F15" w:rsidRDefault="005F449A">
      <w:pPr>
        <w:ind w:left="347" w:right="830"/>
      </w:pPr>
      <w:r>
        <w:t>кортикальные рубцы вследствие инфаркта, пиелонефрита или ассоциированные с везико-уретеральным рефлюксом;</w:t>
      </w:r>
    </w:p>
    <w:p w:rsidR="008E3F15" w:rsidRDefault="005F449A">
      <w:pPr>
        <w:ind w:left="347" w:right="1400"/>
      </w:pPr>
      <w:r>
        <w:t>объемные образования или увеличение почек вследствие инфильтративных заболеваний; стеноз почечной артерии;</w:t>
      </w:r>
    </w:p>
    <w:p w:rsidR="008E3F15" w:rsidRDefault="005F449A">
      <w:pPr>
        <w:spacing w:after="179"/>
        <w:ind w:left="347" w:right="15"/>
      </w:pPr>
      <w:r>
        <w:t>маленькие и гиперэхогенные почки (тяжелая ХБП при многих паренхиматозных заболеваниях почек).</w:t>
      </w:r>
    </w:p>
    <w:p w:rsidR="008E3F15" w:rsidRDefault="005F449A">
      <w:pPr>
        <w:spacing w:after="165"/>
        <w:ind w:left="2" w:right="15"/>
      </w:pPr>
      <w:r>
        <w:t>Повреждение почек может проявляться также клинико-лабор</w:t>
      </w:r>
      <w:r>
        <w:t>аторными синдромами:</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16288"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17407" name="Group 31740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19959" name="Shape 19959"/>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863"/>
                                  <a:pt x="51460" y="45839"/>
                                  <a:pt x="48781" y="48816"/>
                                </a:cubicBezTo>
                                <a:cubicBezTo>
                                  <a:pt x="46101" y="51197"/>
                                  <a:pt x="43011" y="53380"/>
                                  <a:pt x="39510" y="54967"/>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62" name="Shape 19962"/>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863"/>
                                  <a:pt x="51460" y="45839"/>
                                  <a:pt x="48781" y="48816"/>
                                </a:cubicBezTo>
                                <a:cubicBezTo>
                                  <a:pt x="46101" y="51197"/>
                                  <a:pt x="43011" y="53380"/>
                                  <a:pt x="39510" y="54967"/>
                                </a:cubicBezTo>
                                <a:cubicBezTo>
                                  <a:pt x="36009" y="56356"/>
                                  <a:pt x="32364" y="57150"/>
                                  <a:pt x="28575" y="57150"/>
                                </a:cubicBezTo>
                                <a:cubicBezTo>
                                  <a:pt x="24786" y="57150"/>
                                  <a:pt x="21141" y="56356"/>
                                  <a:pt x="17640" y="54967"/>
                                </a:cubicBezTo>
                                <a:cubicBezTo>
                                  <a:pt x="14139" y="53380"/>
                                  <a:pt x="11049" y="51197"/>
                                  <a:pt x="8369" y="48816"/>
                                </a:cubicBezTo>
                                <a:cubicBezTo>
                                  <a:pt x="5690" y="45839"/>
                                  <a:pt x="3625" y="42863"/>
                                  <a:pt x="2175" y="39291"/>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65" name="Shape 19965"/>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967"/>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661"/>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7407" style="width:4.5pt;height:52.5pt;position:absolute;mso-position-horizontal-relative:text;mso-position-horizontal:absolute;margin-left:16.8633pt;mso-position-vertical-relative:text;margin-top:2.73438pt;" coordsize="571,6667">
                <v:shape id="Shape 19959" style="position:absolute;width:571;height:571;left:0;top:0;" coordsize="57150,57150" path="m28575,0c32364,0,36009,794,39510,2183c43011,3572,46101,5755,48781,8334c51460,10914,53525,14089,54975,17463c56425,21034,57150,24805,57150,28575c57150,32147,56425,35719,54975,39291c53525,42863,51460,45839,48781,48816c46101,51197,43011,53380,39510,54967c36009,56356,32364,57150,28575,57150c24786,57150,21141,56356,17640,54967c14139,53380,11049,51197,8369,48816c5690,45839,3625,42863,2175,39291c725,35719,0,32147,0,28575c0,24805,725,21034,2175,17463c3625,14089,5690,10914,8369,8334c11049,5755,14139,3572,17640,2183c21141,794,24786,0,28575,0x">
                  <v:stroke weight="0pt" endcap="flat" joinstyle="miter" miterlimit="10" on="false" color="#000000" opacity="0"/>
                  <v:fill on="true" color="#333333"/>
                </v:shape>
                <v:shape id="Shape 19962" style="position:absolute;width:571;height:571;left:0;top:3048;" coordsize="57150,57150" path="m28575,0c32364,0,36009,794,39510,2183c43011,3572,46101,5755,48781,8334c51460,10914,53525,14089,54975,17463c56425,20836,57150,24606,57150,28575c57150,32147,56425,35719,54975,39291c53525,42863,51460,45839,48781,48816c46101,51197,43011,53380,39510,54967c36009,56356,32364,57150,28575,57150c24786,57150,21141,56356,17640,54967c14139,53380,11049,51197,8369,48816c5690,45839,3625,42863,2175,39291c725,35719,0,32147,0,28575c0,24606,725,20836,2175,17463c3625,14089,5690,10914,8369,8334c11049,5755,14139,3572,17640,2183c21141,794,24786,0,28575,0x">
                  <v:stroke weight="0pt" endcap="flat" joinstyle="miter" miterlimit="10" on="false" color="#000000" opacity="0"/>
                  <v:fill on="true" color="#333333"/>
                </v:shape>
                <v:shape id="Shape 19965" style="position:absolute;width:571;height:571;left:0;top:6096;" coordsize="57150,57150" path="m28575,0c32364,0,36009,794,39510,2183c43011,3373,46101,5556,48781,8136c51460,10914,53525,14089,54975,17463c56425,21034,57150,24805,57150,28575c57150,32147,56425,35719,54975,39291c53525,42664,51460,45839,48781,48617c46101,51197,43011,53380,39510,54967c36009,56356,32364,56952,28575,57150c24786,56952,21141,56356,17640,54967c14139,53380,11049,51197,8369,48617c5690,45839,3625,42664,2175,39291c725,35719,0,32147,0,28575c0,24805,725,21034,2175,17661c3625,14089,5690,10914,8369,8136c11049,5556,14139,3373,17640,1984c21141,595,24786,0,28575,0x">
                  <v:stroke weight="0pt" endcap="flat" joinstyle="miter" miterlimit="10" on="false" color="#000000" opacity="0"/>
                  <v:fill on="true" color="#333333"/>
                </v:shape>
                <w10:wrap type="square"/>
              </v:group>
            </w:pict>
          </mc:Fallback>
        </mc:AlternateContent>
      </w:r>
      <w:r>
        <w:t>нефротический синдром: протеинурия &gt;3,5 г/сут, гипоальбуминемия, гиперлипидемия, отеки;</w:t>
      </w:r>
    </w:p>
    <w:p w:rsidR="008E3F15" w:rsidRDefault="005F449A">
      <w:pPr>
        <w:ind w:left="347" w:right="15"/>
      </w:pPr>
      <w:r>
        <w:t>нефритический синдром: гематурия, эритроцитарные цилиндры, протеинурия &gt;1,5 г/сут, отеки, артериальная гипертензия;</w:t>
      </w:r>
    </w:p>
    <w:p w:rsidR="008E3F15" w:rsidRDefault="005F449A">
      <w:pPr>
        <w:spacing w:after="179"/>
        <w:ind w:left="347" w:right="15"/>
      </w:pPr>
      <w:r>
        <w:t>тубулоинтерстициальный синдром</w:t>
      </w:r>
      <w:r>
        <w:t>: снижение плотности мочи, электролитные нарушения, протеинурия &lt;1,5 г/сут.</w:t>
      </w:r>
    </w:p>
    <w:p w:rsidR="008E3F15" w:rsidRDefault="005F449A">
      <w:pPr>
        <w:spacing w:after="179"/>
        <w:ind w:left="2" w:right="15"/>
      </w:pPr>
      <w:r>
        <w:rPr>
          <w:b/>
        </w:rPr>
        <w:t xml:space="preserve">Оценка функции почек. </w:t>
      </w:r>
      <w:r>
        <w:t>В общетерапевтической практике функция почек обычно оценивается с помощью следующих показателей:</w:t>
      </w:r>
    </w:p>
    <w:p w:rsidR="008E3F15" w:rsidRDefault="005F449A">
      <w:pPr>
        <w:spacing w:after="31"/>
        <w:ind w:left="617" w:right="15"/>
      </w:pPr>
      <w:r>
        <w:t>СКФ:</w:t>
      </w:r>
    </w:p>
    <w:p w:rsidR="008E3F15" w:rsidRDefault="005F449A">
      <w:pPr>
        <w:ind w:left="1217" w:right="6130"/>
      </w:pPr>
      <w:r>
        <w:t>расчетные формулы; клиренс креатинина;</w:t>
      </w:r>
    </w:p>
    <w:p w:rsidR="008E3F15" w:rsidRDefault="005F449A">
      <w:pPr>
        <w:spacing w:after="179"/>
        <w:ind w:left="617" w:right="6107"/>
      </w:pPr>
      <w:r>
        <w:rPr>
          <w:rFonts w:ascii="Calibri" w:eastAsia="Calibri" w:hAnsi="Calibri" w:cs="Calibri"/>
          <w:noProof/>
          <w:color w:val="000000"/>
          <w:sz w:val="22"/>
        </w:rPr>
        <mc:AlternateContent>
          <mc:Choice Requires="wpg">
            <w:drawing>
              <wp:anchor distT="0" distB="0" distL="114300" distR="114300" simplePos="0" relativeHeight="251917312" behindDoc="1" locked="0" layoutInCell="1" allowOverlap="1">
                <wp:simplePos x="0" y="0"/>
                <wp:positionH relativeFrom="column">
                  <wp:posOffset>214164</wp:posOffset>
                </wp:positionH>
                <wp:positionV relativeFrom="paragraph">
                  <wp:posOffset>-422472</wp:posOffset>
                </wp:positionV>
                <wp:extent cx="438150" cy="666750"/>
                <wp:effectExtent l="0" t="0" r="0" b="0"/>
                <wp:wrapNone/>
                <wp:docPr id="317408" name="Group 317408"/>
                <wp:cNvGraphicFramePr/>
                <a:graphic xmlns:a="http://schemas.openxmlformats.org/drawingml/2006/main">
                  <a:graphicData uri="http://schemas.microsoft.com/office/word/2010/wordprocessingGroup">
                    <wpg:wgp>
                      <wpg:cNvGrpSpPr/>
                      <wpg:grpSpPr>
                        <a:xfrm>
                          <a:off x="0" y="0"/>
                          <a:ext cx="438150" cy="666750"/>
                          <a:chOff x="0" y="0"/>
                          <a:chExt cx="438150" cy="666750"/>
                        </a:xfrm>
                      </wpg:grpSpPr>
                      <wps:wsp>
                        <wps:cNvPr id="19971" name="Shape 19971"/>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863"/>
                                  <a:pt x="2175" y="39489"/>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73" name="Shape 19973"/>
                        <wps:cNvSpPr/>
                        <wps:spPr>
                          <a:xfrm>
                            <a:off x="38100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70"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70"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75" name="Shape 19975"/>
                        <wps:cNvSpPr/>
                        <wps:spPr>
                          <a:xfrm>
                            <a:off x="38100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70"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70"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77" name="Shape 1997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19979" name="Shape 19979"/>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7408" style="width:34.5pt;height:52.5pt;position:absolute;z-index:-2147483584;mso-position-horizontal-relative:text;mso-position-horizontal:absolute;margin-left:16.8633pt;mso-position-vertical-relative:text;margin-top:-33.2656pt;" coordsize="4381,6667">
                <v:shape id="Shape 19971" style="position:absolute;width:571;height:571;left:0;top:0;" coordsize="57150,57150" path="m28575,0c32364,0,36009,794,39510,2183c43011,3373,46101,5556,48781,8136c51460,10716,53525,13891,54975,17463c56425,20836,57150,24606,57150,28575c57150,32345,56425,35917,54975,39489c53525,42863,51460,45839,48781,48617c46101,51197,43011,53380,39510,54570c36009,56158,32364,56952,28575,57150c24786,56952,21141,56158,17640,54570c14139,53380,11049,51197,8369,48617c5690,45839,3625,42863,2175,39489c725,35917,0,32345,0,28575c0,24606,725,20836,2175,17463c3625,13891,5690,10716,8369,8136c11049,5556,14139,3373,17640,1984c21141,595,24786,0,28575,0x">
                  <v:stroke weight="0pt" endcap="flat" joinstyle="miter" miterlimit="10" on="false" color="#000000" opacity="0"/>
                  <v:fill on="true" color="#333333"/>
                </v:shape>
                <v:shape id="Shape 19973" style="position:absolute;width:571;height:571;left:3810;top:1524;" coordsize="57150,57150" path="m28575,0c32364,0,36009,595,39510,1984c43011,3373,46101,5358,48781,8136c51460,10914,53525,14089,54975,17463c56425,20836,57150,24606,57150,28575c57150,32345,56425,35917,54975,39489c53525,42863,51460,46038,48781,48617c46101,51197,43011,53380,39510,54570c36009,56356,32364,56952,28575,57150c24786,56952,21141,56356,17640,54769c14139,53380,11049,51197,8370,48617c5690,46038,3625,42863,2175,39489c725,35917,0,32345,0,28575c0,24606,725,20836,2175,17463c3625,14089,5690,10914,8370,8136c11049,5358,14139,3373,17640,1984c21141,595,24786,0,28575,0x">
                  <v:stroke weight="0pt" endcap="flat" joinstyle="miter" miterlimit="10" on="false" color="#000000" opacity="0"/>
                  <v:fill on="true" color="#333333"/>
                </v:shape>
                <v:shape id="Shape 19975" style="position:absolute;width:571;height:571;left:3810;top:3048;"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70,48617c5690,45839,3625,42664,2175,39291c725,35917,0,32345,0,28575c0,24606,725,20836,2175,17463c3625,13692,5690,10716,8370,8136c11049,5358,14139,3373,17640,1984c21141,595,24786,0,28575,0x">
                  <v:stroke weight="0pt" endcap="flat" joinstyle="miter" miterlimit="10" on="false" color="#000000" opacity="0"/>
                  <v:fill on="true" color="#333333"/>
                </v:shape>
                <v:shape id="Shape 19977" style="position:absolute;width:571;height:571;left:0;top:4572;" coordsize="57150,57150" path="m28575,0c32364,0,36009,794,39510,2183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2183c21141,794,24786,0,28575,0x">
                  <v:stroke weight="0pt" endcap="flat" joinstyle="miter" miterlimit="10" on="false" color="#000000" opacity="0"/>
                  <v:fill on="true" color="#333333"/>
                </v:shape>
                <v:shape id="Shape 19979" style="position:absolute;width:571;height:571;left:0;top:6096;" coordsize="57150,57150" path="m28575,0c32364,0,36009,794,39510,2183c43011,3373,46101,5556,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556,14139,3373,17640,2183c21141,794,24786,0,28575,0x">
                  <v:stroke weight="0pt" endcap="flat" joinstyle="miter" miterlimit="10" on="false" color="#000000" opacity="0"/>
                  <v:fill on="true" color="#333333"/>
                </v:shape>
              </v:group>
            </w:pict>
          </mc:Fallback>
        </mc:AlternateContent>
      </w:r>
      <w:r>
        <w:t>креатинин плазмы крови; цистатин С.</w:t>
      </w:r>
    </w:p>
    <w:p w:rsidR="008E3F15" w:rsidRDefault="005F449A">
      <w:pPr>
        <w:ind w:left="2" w:right="84"/>
      </w:pPr>
      <w:r>
        <w:rPr>
          <w:i/>
        </w:rPr>
        <w:t>рСКФ.</w:t>
      </w:r>
      <w:r>
        <w:t xml:space="preserve"> Для быстрой оценки и мониторинга функции почек рекомендуют оценивать величину рСКФ, которая достаточно информативно отражает состояние почек. Между уровнем рСКФ и наличием тех или иных проявлений или осложнений ХБП</w:t>
      </w:r>
      <w:r>
        <w:t xml:space="preserve"> существует тесная связь. Однако снижение рСКФ до 20–30 мл/мин/1,73 м</w:t>
      </w:r>
      <w:r>
        <w:rPr>
          <w:sz w:val="31"/>
          <w:vertAlign w:val="superscript"/>
        </w:rPr>
        <w:t>2</w:t>
      </w:r>
      <w:r>
        <w:t xml:space="preserve"> обычно не проявляется клиническими симптомами. При выявлении сниженной СКФ необходимо повторить тест через 2 нед, а затем через &gt;90 дней для оценки стабильности изменений показателя (UK</w:t>
      </w:r>
      <w:r>
        <w:t>RA).</w:t>
      </w:r>
    </w:p>
    <w:p w:rsidR="008E3F15" w:rsidRDefault="005F449A">
      <w:pPr>
        <w:ind w:left="2" w:right="15"/>
      </w:pPr>
      <w:r>
        <w:t>Необходимо отметить, что использование рСКФ как основной меры тяжести ХБП, а не более привычного многим практическим врачам сывороточного креатинина, предпочтительнее, так как взаимоотношения между концентрацией креатинина и рСКФ нелинейны. Поэтому на</w:t>
      </w:r>
      <w:r>
        <w:t xml:space="preserve"> ранних стадиях хронических заболеваний почек при очень близких значениях уровней сывороточного креатинина величины рСКФ могут различаться почти в два раза. В этой связи рСКФ следует рассматривать как более чувствительный показатель функционального состоян</w:t>
      </w:r>
      <w:r>
        <w:t>ия почек.</w:t>
      </w:r>
    </w:p>
    <w:p w:rsidR="008E3F15" w:rsidRDefault="005F449A">
      <w:pPr>
        <w:ind w:left="2" w:right="232"/>
      </w:pPr>
      <w:r>
        <w:t>При ХБП снижение рСКФ отражает уменьшение числа действующих нефронов, то есть является показателем сохранности массы функционирующей почечной паренхимы. Вместе с тем расчетная рСКФ недостаточно точно отражает концентрацию уремических токсинов</w:t>
      </w:r>
    </w:p>
    <w:p w:rsidR="008E3F15" w:rsidRDefault="005F449A">
      <w:pPr>
        <w:spacing w:after="345"/>
        <w:ind w:left="2" w:right="15"/>
      </w:pPr>
      <w:r>
        <w:t>(El</w:t>
      </w:r>
      <w:r>
        <w:t>oot S. et al., 2011).</w:t>
      </w:r>
    </w:p>
    <w:p w:rsidR="008E3F15" w:rsidRDefault="005F449A">
      <w:pPr>
        <w:pStyle w:val="Heading1"/>
        <w:ind w:left="2"/>
      </w:pPr>
      <w:r>
        <w:t>Часть II. Коморбидные болезни</w:t>
      </w:r>
    </w:p>
    <w:p w:rsidR="008E3F15" w:rsidRDefault="005F449A">
      <w:pPr>
        <w:ind w:left="2" w:right="15"/>
      </w:pPr>
      <w:r>
        <w:t>Для широкой практики рекомендуются расчетные методы оценки рСКФ на основе креатинина плазмы. Наиболее удобно использовать калькуляторы рСКФ для мобильных устройств. В целом расчетная рСКФ менее надежна на</w:t>
      </w:r>
      <w:r>
        <w:t xml:space="preserve"> 1–2-й стадиях ХБП, когда возможны гиперфильтрация и гипертрофия действующих нефронов, что и поддерживает нормальный уровень суммарной СКФ.</w:t>
      </w:r>
    </w:p>
    <w:p w:rsidR="008E3F15" w:rsidRDefault="005F449A">
      <w:pPr>
        <w:ind w:left="2" w:right="15"/>
      </w:pPr>
      <w:r>
        <w:t>Среди методов расчета рСКФ предпочтение отдают формулам CKD-EPI, которые точнее оценивают риск терминальной почечной</w:t>
      </w:r>
      <w:r>
        <w:t xml:space="preserve"> недостаточности и смертности, чем формула MDRD. Новые формулы 2021 CKD-EPI не включают расу и немного (на 3–5 мл/мин/1,73 м</w:t>
      </w:r>
      <w:r>
        <w:rPr>
          <w:sz w:val="31"/>
          <w:vertAlign w:val="superscript"/>
        </w:rPr>
        <w:t>2</w:t>
      </w:r>
      <w:r>
        <w:t>) повышают рСКФ, что приводит к реклассификации СД 2-го типа 3а–5-й стадий на менее тяжелую почти у 30% пациентов (Fu E. et al., 20</w:t>
      </w:r>
      <w:r>
        <w:t>23). Формула с креатинином и цистатином более точна, чем формула на основе оценки только креатинина (Inker L. et al., 2021). Для европейской популяции более точными могут быть формулы EKFC, предложенные European Kidney Function Consortium (Pottel H. et al.</w:t>
      </w:r>
      <w:r>
        <w:t xml:space="preserve">, 2021; </w:t>
      </w:r>
      <w:r>
        <w:rPr>
          <w:b/>
        </w:rPr>
        <w:t>рис. 17.3</w:t>
      </w:r>
      <w:r>
        <w:t>).</w:t>
      </w:r>
    </w:p>
    <w:p w:rsidR="008E3F15" w:rsidRDefault="005F449A">
      <w:pPr>
        <w:spacing w:after="65" w:line="259" w:lineRule="auto"/>
        <w:ind w:left="7" w:right="0" w:firstLine="0"/>
      </w:pPr>
      <w:r>
        <w:rPr>
          <w:noProof/>
        </w:rPr>
        <w:drawing>
          <wp:inline distT="0" distB="0" distL="0" distR="0">
            <wp:extent cx="5057775" cy="2581275"/>
            <wp:effectExtent l="0" t="0" r="0" b="0"/>
            <wp:docPr id="20030" name="Picture 20030"/>
            <wp:cNvGraphicFramePr/>
            <a:graphic xmlns:a="http://schemas.openxmlformats.org/drawingml/2006/main">
              <a:graphicData uri="http://schemas.openxmlformats.org/drawingml/2006/picture">
                <pic:pic xmlns:pic="http://schemas.openxmlformats.org/drawingml/2006/picture">
                  <pic:nvPicPr>
                    <pic:cNvPr id="20030" name="Picture 20030"/>
                    <pic:cNvPicPr/>
                  </pic:nvPicPr>
                  <pic:blipFill>
                    <a:blip r:embed="rId174"/>
                    <a:stretch>
                      <a:fillRect/>
                    </a:stretch>
                  </pic:blipFill>
                  <pic:spPr>
                    <a:xfrm>
                      <a:off x="0" y="0"/>
                      <a:ext cx="5057775" cy="2581275"/>
                    </a:xfrm>
                    <a:prstGeom prst="rect">
                      <a:avLst/>
                    </a:prstGeom>
                  </pic:spPr>
                </pic:pic>
              </a:graphicData>
            </a:graphic>
          </wp:inline>
        </w:drawing>
      </w:r>
    </w:p>
    <w:p w:rsidR="008E3F15" w:rsidRDefault="005F449A">
      <w:pPr>
        <w:ind w:left="2" w:right="316"/>
      </w:pPr>
      <w:r>
        <w:rPr>
          <w:b/>
        </w:rPr>
        <w:t xml:space="preserve">Рис. 17.3. </w:t>
      </w:r>
      <w:r>
        <w:t>Отклонение разных формул расчетной скорости клубочковой фильтрации от измеренной у белых европейцев (Delanaye P. et al., 2023). иСКФ — измеренная расчетная скорость клубочковой фильтрации</w:t>
      </w:r>
    </w:p>
    <w:p w:rsidR="008E3F15" w:rsidRDefault="005F449A">
      <w:pPr>
        <w:ind w:left="2" w:right="15"/>
      </w:pPr>
      <w:r>
        <w:t>Расчетный клиренс креатинина по фор</w:t>
      </w:r>
      <w:r>
        <w:t>муле Кокрофта–Голта пока считается стандартом для коррекции доз лекарственных препаратов, выводящихся через почки. Также можно использовать расчет СКФ в мл/мин, деиндексированной по площади поверхности тела (Европейское агентство по лекарственным средствам</w:t>
      </w:r>
      <w:r>
        <w:t>, Управление по контролю качества пищевых продуктов и лекарственных средств).</w:t>
      </w:r>
    </w:p>
    <w:p w:rsidR="008E3F15" w:rsidRDefault="005F449A">
      <w:pPr>
        <w:ind w:left="2" w:right="130"/>
      </w:pPr>
      <w:r>
        <w:t>За 12 ч до оценки креатинина плазмы пациент не должен употреблять мясо; необходимо отменить препараты, влияющие на концентрацию креатинина (например, триметоприм, который секрети</w:t>
      </w:r>
      <w:r>
        <w:t>руется канальцами и может конкурировать с креатинином). Оценка рСКФ по клиренсу креатинина (лучше инулина, который не секретируется канальцами) предпочтительнее, чем вышеописанные расчетные формулы, в начальных стадиях дисфункции почек, при быстром изменен</w:t>
      </w:r>
      <w:r>
        <w:t>ии функции почек, кахексии или ожирении, заболеваниях мышц, параплегии, диете с ограничением или избытком креатина, приеме нефротоксичных препаратов, диализе.</w:t>
      </w:r>
    </w:p>
    <w:p w:rsidR="008E3F15" w:rsidRDefault="005F449A">
      <w:pPr>
        <w:ind w:left="2" w:right="15"/>
      </w:pPr>
      <w:r>
        <w:rPr>
          <w:i/>
        </w:rPr>
        <w:t xml:space="preserve">Креатинин плазмы крови. </w:t>
      </w:r>
      <w:r>
        <w:t>Общепринятая оценка нормы креатинина плазмы крови отсутствует. Уровень кр</w:t>
      </w:r>
      <w:r>
        <w:t>еатинина существенно зависит от пола (у женщин на 15% ниже), расы, массы тела, хронических заболеваний, диеты (вегетарианцы или обильное употребление мяса), и это снижает диагностическую ценность метода.</w:t>
      </w:r>
    </w:p>
    <w:p w:rsidR="008E3F15" w:rsidRDefault="005F449A">
      <w:pPr>
        <w:ind w:left="2" w:right="15"/>
      </w:pPr>
      <w:r>
        <w:rPr>
          <w:i/>
        </w:rPr>
        <w:t>Цистатин С</w:t>
      </w:r>
      <w:r>
        <w:t xml:space="preserve"> — ингибитор цистеин-протеазы, вырабатываемый всеми ядросодержащими клетками и поступающий в кровоток с постоянной скоростью. Низкий молекулярный вес позволяет свободно фильтроваться в клубочках, далее цистатин С полностью реабсорбируется без канальцевой с</w:t>
      </w:r>
      <w:r>
        <w:t>екреции и катаболизируется.</w:t>
      </w:r>
    </w:p>
    <w:p w:rsidR="008E3F15" w:rsidRDefault="005F449A">
      <w:pPr>
        <w:ind w:left="2" w:right="15"/>
      </w:pPr>
      <w:r>
        <w:t>У пациентов без нарушения функции почек уровень цистатина С составляет 0,50–0,95 мг/л (коэффициент перевода в нмоль/л = 75).</w:t>
      </w:r>
    </w:p>
    <w:p w:rsidR="008E3F15" w:rsidRDefault="005F449A">
      <w:pPr>
        <w:ind w:left="2" w:right="15"/>
      </w:pPr>
      <w:r>
        <w:t>На уровень цистатина С могут повлиять нарушение функции щитовидной железы, прием глюкокортикоидов, но н</w:t>
      </w:r>
      <w:r>
        <w:t>е мышечная масса.</w:t>
      </w:r>
    </w:p>
    <w:p w:rsidR="008E3F15" w:rsidRDefault="005F449A">
      <w:pPr>
        <w:spacing w:after="53"/>
        <w:ind w:left="2" w:right="278"/>
      </w:pPr>
      <w:r>
        <w:t xml:space="preserve">Для оценки функции почек рекомендуется использовать не уровень цистатина С, а рСКФ на его основе (Inker L. et al., 2012). Снижение рСКФ, рассчитанной по цистатину, показывает более высокий риск неблагоприятных исходов, чем при расчете по </w:t>
      </w:r>
      <w:r>
        <w:t>креатинину (Carrero J. et al., 2023)</w:t>
      </w:r>
    </w:p>
    <w:p w:rsidR="008E3F15" w:rsidRDefault="005F449A">
      <w:pPr>
        <w:ind w:left="2" w:right="368"/>
      </w:pPr>
      <w:r>
        <w:t>Если требуется подтвердить ХБП у пациентов с рСКФ 45</w:t>
      </w:r>
      <w:r>
        <w:rPr>
          <w:b/>
        </w:rPr>
        <w:t>–</w:t>
      </w:r>
      <w:r>
        <w:t>59 мл/мин/ 1,73 м</w:t>
      </w:r>
      <w:r>
        <w:rPr>
          <w:sz w:val="31"/>
          <w:vertAlign w:val="superscript"/>
        </w:rPr>
        <w:t>2</w:t>
      </w:r>
      <w:r>
        <w:t>, определенной по креатинину, при отсутствии маркеров повреждения почек можно использовать рСКФ на основе оценки цистатина С (KDIGO).</w:t>
      </w:r>
    </w:p>
    <w:p w:rsidR="008E3F15" w:rsidRDefault="005F449A">
      <w:pPr>
        <w:spacing w:after="31"/>
        <w:ind w:left="2" w:right="15"/>
      </w:pPr>
      <w:r>
        <w:rPr>
          <w:b/>
        </w:rPr>
        <w:t xml:space="preserve">Прогноз. </w:t>
      </w:r>
      <w:r>
        <w:t>На ос</w:t>
      </w:r>
      <w:r>
        <w:t>новании оценки рСКФ и альбуминурии предложена классификация прогноза</w:t>
      </w:r>
    </w:p>
    <w:p w:rsidR="008E3F15" w:rsidRDefault="005F449A">
      <w:pPr>
        <w:ind w:left="2" w:right="97"/>
      </w:pPr>
      <w:r>
        <w:t>ХБП (KDIGO). Протеинурия и рСКФ являются независимыми предикторами риска прогрессирования ХБП, острого повреждения почек, ССЗ и смерти. Следует отметить повышенную краткосрочную вариабель</w:t>
      </w:r>
      <w:r>
        <w:t>ность уровня альбуминурии в отличие от креатинина и цистатина С плазмы, что может привести к неточной классификации (Selvin E. et al., 2013). В оценке риска также должны учитываться основное заболевание почек, коморбидность и другие факторы риска.</w:t>
      </w:r>
    </w:p>
    <w:p w:rsidR="008E3F15" w:rsidRDefault="005F449A">
      <w:pPr>
        <w:ind w:left="2" w:right="217"/>
      </w:pPr>
      <w:r>
        <w:t>Выделяют низкий, умеренно повышенный, высокий и очень высокий сердечно-сосудистые и почечные риски, связанные с заболеванием почек (</w:t>
      </w:r>
      <w:r>
        <w:rPr>
          <w:b/>
        </w:rPr>
        <w:t>табл. 17.4</w:t>
      </w:r>
      <w:r>
        <w:t>).</w:t>
      </w:r>
    </w:p>
    <w:p w:rsidR="008E3F15" w:rsidRDefault="005F449A">
      <w:pPr>
        <w:spacing w:after="31"/>
        <w:ind w:left="2" w:right="2029"/>
      </w:pPr>
      <w:r>
        <w:rPr>
          <w:b/>
        </w:rPr>
        <w:t xml:space="preserve">Таблица 17.4. </w:t>
      </w:r>
      <w:r>
        <w:t>Градация рисков смерти, сердечно-сосудистых заболеваний и прогрессирования заболевания почек (KDI</w:t>
      </w:r>
      <w:r>
        <w:t>GO)</w:t>
      </w:r>
    </w:p>
    <w:tbl>
      <w:tblPr>
        <w:tblStyle w:val="TableGrid"/>
        <w:tblW w:w="7515" w:type="dxa"/>
        <w:tblInd w:w="37" w:type="dxa"/>
        <w:tblCellMar>
          <w:top w:w="58" w:type="dxa"/>
          <w:left w:w="38" w:type="dxa"/>
          <w:bottom w:w="0" w:type="dxa"/>
          <w:right w:w="49" w:type="dxa"/>
        </w:tblCellMar>
        <w:tblLook w:val="04A0" w:firstRow="1" w:lastRow="0" w:firstColumn="1" w:lastColumn="0" w:noHBand="0" w:noVBand="1"/>
      </w:tblPr>
      <w:tblGrid>
        <w:gridCol w:w="870"/>
        <w:gridCol w:w="735"/>
        <w:gridCol w:w="1965"/>
        <w:gridCol w:w="1965"/>
        <w:gridCol w:w="1980"/>
      </w:tblGrid>
      <w:tr w:rsidR="008E3F15">
        <w:trPr>
          <w:trHeight w:val="375"/>
        </w:trPr>
        <w:tc>
          <w:tcPr>
            <w:tcW w:w="7515" w:type="dxa"/>
            <w:gridSpan w:val="5"/>
            <w:tcBorders>
              <w:top w:val="single" w:sz="6" w:space="0" w:color="000000"/>
              <w:left w:val="single" w:sz="6" w:space="0" w:color="000000"/>
              <w:bottom w:val="nil"/>
              <w:right w:val="single" w:sz="6" w:space="0" w:color="000000"/>
            </w:tcBorders>
          </w:tcPr>
          <w:p w:rsidR="008E3F15" w:rsidRDefault="005F449A">
            <w:pPr>
              <w:spacing w:after="0" w:line="259" w:lineRule="auto"/>
              <w:ind w:left="8" w:right="0" w:firstLine="0"/>
              <w:jc w:val="both"/>
            </w:pPr>
            <w:r>
              <w:rPr>
                <w:b/>
                <w:bdr w:val="single" w:sz="12" w:space="0" w:color="000000"/>
              </w:rPr>
              <w:t>Тяжесть ХБП Персистирующая альбуминурия, мг/сут или мг/г</w:t>
            </w:r>
          </w:p>
        </w:tc>
      </w:tr>
      <w:tr w:rsidR="008E3F15">
        <w:trPr>
          <w:trHeight w:val="308"/>
        </w:trPr>
        <w:tc>
          <w:tcPr>
            <w:tcW w:w="1605" w:type="dxa"/>
            <w:gridSpan w:val="2"/>
            <w:tcBorders>
              <w:top w:val="nil"/>
              <w:left w:val="single" w:sz="6" w:space="0" w:color="000000"/>
              <w:bottom w:val="single" w:sz="6" w:space="0" w:color="000000"/>
              <w:right w:val="nil"/>
            </w:tcBorders>
          </w:tcPr>
          <w:p w:rsidR="008E3F15" w:rsidRDefault="005F449A">
            <w:pPr>
              <w:spacing w:after="0" w:line="259" w:lineRule="auto"/>
              <w:ind w:left="8" w:right="0" w:firstLine="0"/>
              <w:jc w:val="both"/>
            </w:pPr>
            <w:r>
              <w:rPr>
                <w:bdr w:val="single" w:sz="12" w:space="0" w:color="000000"/>
              </w:rPr>
              <w:t>Стадия рСКФ</w:t>
            </w:r>
          </w:p>
        </w:tc>
        <w:tc>
          <w:tcPr>
            <w:tcW w:w="196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&lt;30</w:t>
            </w:r>
          </w:p>
        </w:tc>
        <w:tc>
          <w:tcPr>
            <w:tcW w:w="19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30–300</w:t>
            </w:r>
          </w:p>
        </w:tc>
        <w:tc>
          <w:tcPr>
            <w:tcW w:w="198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4" w:right="0" w:firstLine="0"/>
            </w:pPr>
            <w:r>
              <w:t>&gt;300</w:t>
            </w:r>
          </w:p>
        </w:tc>
      </w:tr>
      <w:tr w:rsidR="008E3F15">
        <w:trPr>
          <w:trHeight w:val="330"/>
        </w:trPr>
        <w:tc>
          <w:tcPr>
            <w:tcW w:w="87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С1</w:t>
            </w:r>
          </w:p>
        </w:tc>
        <w:tc>
          <w:tcPr>
            <w:tcW w:w="73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≥90</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Низкий</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Умеренный</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4" w:right="0" w:firstLine="0"/>
            </w:pPr>
            <w:r>
              <w:t>Высокий</w:t>
            </w:r>
          </w:p>
        </w:tc>
      </w:tr>
      <w:tr w:rsidR="008E3F15">
        <w:trPr>
          <w:trHeight w:val="330"/>
        </w:trPr>
        <w:tc>
          <w:tcPr>
            <w:tcW w:w="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t>С2</w:t>
            </w:r>
          </w:p>
        </w:tc>
        <w:tc>
          <w:tcPr>
            <w:tcW w:w="735" w:type="dxa"/>
            <w:vMerge w:val="restart"/>
            <w:tcBorders>
              <w:top w:val="single" w:sz="6" w:space="0" w:color="000000"/>
              <w:left w:val="nil"/>
              <w:bottom w:val="single" w:sz="6" w:space="0" w:color="000000"/>
              <w:right w:val="nil"/>
            </w:tcBorders>
          </w:tcPr>
          <w:p w:rsidR="008E3F15" w:rsidRDefault="005F449A">
            <w:pPr>
              <w:spacing w:after="0" w:line="259" w:lineRule="auto"/>
              <w:ind w:left="0" w:right="0" w:firstLine="0"/>
              <w:jc w:val="both"/>
            </w:pPr>
            <w:r>
              <w:rPr>
                <w:bdr w:val="single" w:sz="12" w:space="0" w:color="000000"/>
              </w:rPr>
              <w:t>60–89</w:t>
            </w:r>
          </w:p>
          <w:p w:rsidR="008E3F15" w:rsidRDefault="005F449A">
            <w:pPr>
              <w:spacing w:after="0" w:line="259" w:lineRule="auto"/>
              <w:ind w:left="0" w:right="0" w:firstLine="0"/>
              <w:jc w:val="both"/>
            </w:pPr>
            <w:r>
              <w:rPr>
                <w:bdr w:val="single" w:sz="12" w:space="0" w:color="000000"/>
              </w:rPr>
              <w:t>45–59</w:t>
            </w:r>
          </w:p>
          <w:p w:rsidR="008E3F15" w:rsidRDefault="005F449A">
            <w:pPr>
              <w:spacing w:after="0" w:line="259" w:lineRule="auto"/>
              <w:ind w:left="0" w:right="0" w:firstLine="0"/>
              <w:jc w:val="both"/>
            </w:pPr>
            <w:r>
              <w:rPr>
                <w:bdr w:val="single" w:sz="12" w:space="0" w:color="000000"/>
              </w:rPr>
              <w:t>30–44</w:t>
            </w:r>
          </w:p>
          <w:p w:rsidR="008E3F15" w:rsidRDefault="005F449A">
            <w:pPr>
              <w:spacing w:after="0" w:line="259" w:lineRule="auto"/>
              <w:ind w:left="0" w:right="0" w:firstLine="0"/>
              <w:jc w:val="both"/>
            </w:pPr>
            <w:r>
              <w:rPr>
                <w:bdr w:val="single" w:sz="12" w:space="0" w:color="000000"/>
              </w:rPr>
              <w:t>15–29</w:t>
            </w:r>
          </w:p>
        </w:tc>
        <w:tc>
          <w:tcPr>
            <w:tcW w:w="196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Низкий</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Умеренный</w:t>
            </w:r>
          </w:p>
        </w:tc>
        <w:tc>
          <w:tcPr>
            <w:tcW w:w="19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4" w:right="0" w:firstLine="0"/>
            </w:pPr>
            <w:r>
              <w:t>Высокий</w:t>
            </w:r>
          </w:p>
        </w:tc>
      </w:tr>
      <w:tr w:rsidR="008E3F15">
        <w:trPr>
          <w:trHeight w:val="330"/>
        </w:trPr>
        <w:tc>
          <w:tcPr>
            <w:tcW w:w="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t>С3а</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96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3" w:right="0" w:firstLine="0"/>
            </w:pPr>
            <w:r>
              <w:t>Умеренный</w:t>
            </w:r>
          </w:p>
        </w:tc>
        <w:tc>
          <w:tcPr>
            <w:tcW w:w="1965"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8" w:right="0" w:firstLine="0"/>
            </w:pPr>
            <w:r>
              <w:t>Высокий</w:t>
            </w:r>
          </w:p>
        </w:tc>
        <w:tc>
          <w:tcPr>
            <w:tcW w:w="1980"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14" w:right="0" w:firstLine="0"/>
            </w:pPr>
            <w:r>
              <w:rPr>
                <w:bdr w:val="single" w:sz="12" w:space="0" w:color="000000"/>
              </w:rPr>
              <w:t>Очень высокий</w:t>
            </w:r>
          </w:p>
          <w:p w:rsidR="008E3F15" w:rsidRDefault="005F449A">
            <w:pPr>
              <w:spacing w:after="0" w:line="259" w:lineRule="auto"/>
              <w:ind w:left="14" w:right="0" w:firstLine="0"/>
            </w:pPr>
            <w:r>
              <w:rPr>
                <w:bdr w:val="single" w:sz="12" w:space="0" w:color="000000"/>
              </w:rPr>
              <w:t>Очень высокий</w:t>
            </w:r>
          </w:p>
          <w:p w:rsidR="008E3F15" w:rsidRDefault="005F449A">
            <w:pPr>
              <w:spacing w:after="0" w:line="259" w:lineRule="auto"/>
              <w:ind w:left="14" w:right="0" w:firstLine="0"/>
            </w:pPr>
            <w:r>
              <w:rPr>
                <w:bdr w:val="single" w:sz="12" w:space="0" w:color="000000"/>
              </w:rPr>
              <w:t>Очень высокий</w:t>
            </w:r>
          </w:p>
          <w:p w:rsidR="008E3F15" w:rsidRDefault="005F449A">
            <w:pPr>
              <w:spacing w:after="0" w:line="259" w:lineRule="auto"/>
              <w:ind w:left="14" w:right="0" w:firstLine="0"/>
            </w:pPr>
            <w:r>
              <w:rPr>
                <w:bdr w:val="single" w:sz="12" w:space="0" w:color="000000"/>
              </w:rPr>
              <w:t>Очень высокий</w:t>
            </w:r>
          </w:p>
        </w:tc>
      </w:tr>
      <w:tr w:rsidR="008E3F15">
        <w:trPr>
          <w:trHeight w:val="330"/>
        </w:trPr>
        <w:tc>
          <w:tcPr>
            <w:tcW w:w="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t>С3б</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1965" w:type="dxa"/>
            <w:tcBorders>
              <w:top w:val="double" w:sz="6" w:space="0" w:color="000000"/>
              <w:left w:val="single" w:sz="6" w:space="0" w:color="000000"/>
              <w:bottom w:val="single" w:sz="6" w:space="0" w:color="000000"/>
              <w:right w:val="single" w:sz="6" w:space="0" w:color="000000"/>
            </w:tcBorders>
          </w:tcPr>
          <w:p w:rsidR="008E3F15" w:rsidRDefault="005F449A">
            <w:pPr>
              <w:spacing w:after="0" w:line="259" w:lineRule="auto"/>
              <w:ind w:left="3" w:right="0" w:firstLine="0"/>
            </w:pPr>
            <w:r>
              <w:t>Высокий</w:t>
            </w:r>
          </w:p>
        </w:tc>
        <w:tc>
          <w:tcPr>
            <w:tcW w:w="1965" w:type="dxa"/>
            <w:vMerge w:val="restart"/>
            <w:tcBorders>
              <w:top w:val="single" w:sz="6" w:space="0" w:color="000000"/>
              <w:left w:val="nil"/>
              <w:bottom w:val="single" w:sz="6" w:space="0" w:color="000000"/>
              <w:right w:val="nil"/>
            </w:tcBorders>
          </w:tcPr>
          <w:p w:rsidR="008E3F15" w:rsidRDefault="005F449A">
            <w:pPr>
              <w:spacing w:after="0" w:line="259" w:lineRule="auto"/>
              <w:ind w:left="8" w:right="0" w:firstLine="0"/>
            </w:pPr>
            <w:r>
              <w:rPr>
                <w:bdr w:val="single" w:sz="12" w:space="0" w:color="000000"/>
              </w:rPr>
              <w:t>Очень высокий</w:t>
            </w:r>
          </w:p>
          <w:p w:rsidR="008E3F15" w:rsidRDefault="005F449A">
            <w:pPr>
              <w:spacing w:after="0" w:line="259" w:lineRule="auto"/>
              <w:ind w:left="8" w:right="0" w:firstLine="0"/>
            </w:pPr>
            <w:r>
              <w:rPr>
                <w:bdr w:val="single" w:sz="12" w:space="0" w:color="000000"/>
              </w:rPr>
              <w:t>Очень высокий</w:t>
            </w:r>
          </w:p>
          <w:p w:rsidR="008E3F15" w:rsidRDefault="005F449A">
            <w:pPr>
              <w:spacing w:after="0" w:line="259" w:lineRule="auto"/>
              <w:ind w:left="8" w:right="0" w:firstLine="0"/>
            </w:pPr>
            <w:r>
              <w:rPr>
                <w:bdr w:val="single" w:sz="12" w:space="0" w:color="000000"/>
              </w:rPr>
              <w:t>Очень высокий</w:t>
            </w:r>
          </w:p>
        </w:tc>
        <w:tc>
          <w:tcPr>
            <w:tcW w:w="0" w:type="auto"/>
            <w:vMerge/>
            <w:tcBorders>
              <w:top w:val="nil"/>
              <w:left w:val="nil"/>
              <w:bottom w:val="nil"/>
              <w:right w:val="single" w:sz="6" w:space="0" w:color="000000"/>
            </w:tcBorders>
          </w:tcPr>
          <w:p w:rsidR="008E3F15" w:rsidRDefault="008E3F15">
            <w:pPr>
              <w:spacing w:after="160" w:line="259" w:lineRule="auto"/>
              <w:ind w:left="0" w:right="0" w:firstLine="0"/>
            </w:pPr>
          </w:p>
        </w:tc>
      </w:tr>
      <w:tr w:rsidR="008E3F15">
        <w:trPr>
          <w:trHeight w:val="330"/>
        </w:trPr>
        <w:tc>
          <w:tcPr>
            <w:tcW w:w="87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t>С4</w:t>
            </w:r>
          </w:p>
        </w:tc>
        <w:tc>
          <w:tcPr>
            <w:tcW w:w="0" w:type="auto"/>
            <w:vMerge/>
            <w:tcBorders>
              <w:top w:val="nil"/>
              <w:left w:val="nil"/>
              <w:bottom w:val="single" w:sz="6" w:space="0" w:color="000000"/>
              <w:right w:val="nil"/>
            </w:tcBorders>
          </w:tcPr>
          <w:p w:rsidR="008E3F15" w:rsidRDefault="008E3F15">
            <w:pPr>
              <w:spacing w:after="160" w:line="259" w:lineRule="auto"/>
              <w:ind w:left="0" w:right="0" w:firstLine="0"/>
            </w:pPr>
          </w:p>
        </w:tc>
        <w:tc>
          <w:tcPr>
            <w:tcW w:w="1965" w:type="dxa"/>
            <w:vMerge w:val="restart"/>
            <w:tcBorders>
              <w:top w:val="single" w:sz="6" w:space="0" w:color="000000"/>
              <w:left w:val="nil"/>
              <w:bottom w:val="single" w:sz="6" w:space="0" w:color="000000"/>
              <w:right w:val="nil"/>
            </w:tcBorders>
          </w:tcPr>
          <w:p w:rsidR="008E3F15" w:rsidRDefault="005F449A">
            <w:pPr>
              <w:spacing w:after="0" w:line="259" w:lineRule="auto"/>
              <w:ind w:left="3" w:right="0" w:firstLine="0"/>
            </w:pPr>
            <w:r>
              <w:rPr>
                <w:bdr w:val="single" w:sz="12" w:space="0" w:color="000000"/>
              </w:rPr>
              <w:t>Очень высокий</w:t>
            </w:r>
          </w:p>
          <w:p w:rsidR="008E3F15" w:rsidRDefault="005F449A">
            <w:pPr>
              <w:spacing w:after="0" w:line="259" w:lineRule="auto"/>
              <w:ind w:left="3" w:right="0" w:firstLine="0"/>
            </w:pPr>
            <w:r>
              <w:rPr>
                <w:bdr w:val="single" w:sz="12" w:space="0" w:color="000000"/>
              </w:rPr>
              <w:t>Очень высокий</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0" w:type="auto"/>
            <w:vMerge/>
            <w:tcBorders>
              <w:top w:val="nil"/>
              <w:left w:val="nil"/>
              <w:bottom w:val="nil"/>
              <w:right w:val="single" w:sz="6" w:space="0" w:color="000000"/>
            </w:tcBorders>
          </w:tcPr>
          <w:p w:rsidR="008E3F15" w:rsidRDefault="008E3F15">
            <w:pPr>
              <w:spacing w:after="160" w:line="259" w:lineRule="auto"/>
              <w:ind w:left="0" w:right="0" w:firstLine="0"/>
            </w:pPr>
          </w:p>
        </w:tc>
      </w:tr>
      <w:tr w:rsidR="008E3F15">
        <w:trPr>
          <w:trHeight w:val="330"/>
        </w:trPr>
        <w:tc>
          <w:tcPr>
            <w:tcW w:w="8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С5</w:t>
            </w:r>
          </w:p>
        </w:tc>
        <w:tc>
          <w:tcPr>
            <w:tcW w:w="735"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&lt;15</w:t>
            </w:r>
          </w:p>
        </w:tc>
        <w:tc>
          <w:tcPr>
            <w:tcW w:w="0" w:type="auto"/>
            <w:vMerge/>
            <w:tcBorders>
              <w:top w:val="nil"/>
              <w:left w:val="nil"/>
              <w:bottom w:val="single" w:sz="6" w:space="0" w:color="000000"/>
              <w:right w:val="nil"/>
            </w:tcBorders>
          </w:tcPr>
          <w:p w:rsidR="008E3F15" w:rsidRDefault="008E3F15">
            <w:pPr>
              <w:spacing w:after="160" w:line="259" w:lineRule="auto"/>
              <w:ind w:left="0" w:right="0" w:firstLine="0"/>
            </w:pPr>
          </w:p>
        </w:tc>
        <w:tc>
          <w:tcPr>
            <w:tcW w:w="0" w:type="auto"/>
            <w:vMerge/>
            <w:tcBorders>
              <w:top w:val="nil"/>
              <w:left w:val="nil"/>
              <w:bottom w:val="single" w:sz="6" w:space="0" w:color="000000"/>
              <w:right w:val="nil"/>
            </w:tcBorders>
          </w:tcPr>
          <w:p w:rsidR="008E3F15" w:rsidRDefault="008E3F15">
            <w:pPr>
              <w:spacing w:after="160" w:line="259" w:lineRule="auto"/>
              <w:ind w:left="0" w:right="0" w:firstLine="0"/>
            </w:pP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bl>
    <w:p w:rsidR="008E3F15" w:rsidRDefault="005F449A">
      <w:pPr>
        <w:ind w:left="2" w:right="15"/>
      </w:pPr>
      <w:r>
        <w:t>На основании оценки риска определяются частота контроля состояния пациентов, сроки направления к нефрологу, объем медицинской помощи.</w:t>
      </w:r>
    </w:p>
    <w:p w:rsidR="008E3F15" w:rsidRDefault="005F449A">
      <w:pPr>
        <w:spacing w:after="359"/>
        <w:ind w:left="2" w:right="15"/>
      </w:pPr>
      <w:r>
        <w:t>Для разработки оптимальной стратегии лечения у пациентов без заместительной терапии рекомендуют шкалы KFRE и MREK, позволяющие оценить риски прогрессирования ХБП от от 3-й до 5-й стадии и смерти в течение 5 лет.</w:t>
      </w:r>
    </w:p>
    <w:p w:rsidR="008E3F15" w:rsidRDefault="005F449A">
      <w:pPr>
        <w:pStyle w:val="Heading1"/>
        <w:ind w:left="2"/>
      </w:pPr>
      <w:r>
        <w:t>Часть II. Коморбидные болезни</w:t>
      </w:r>
    </w:p>
    <w:p w:rsidR="008E3F15" w:rsidRDefault="005F449A">
      <w:pPr>
        <w:spacing w:after="359"/>
        <w:ind w:left="2" w:right="15"/>
      </w:pPr>
      <w:r>
        <w:rPr>
          <w:b/>
        </w:rPr>
        <w:t>Сердечные биом</w:t>
      </w:r>
      <w:r>
        <w:rPr>
          <w:b/>
        </w:rPr>
        <w:t xml:space="preserve">аркеры. </w:t>
      </w:r>
      <w:r>
        <w:t xml:space="preserve">Пациенты с ХБП имеют повышенный риск ССЗ. В этой связи нужно учитывать, что нарушение функции почек сопровождается повышением концентрации сердечных биомаркеров в крови: уровень NT-proBNP превышает верхний референтный уровень у 40% пациентов (3592 </w:t>
      </w:r>
      <w:r>
        <w:t>пг/мл в среднем), тропонина Т у 43% пациентов (126 нг/л в среднем) (Bansal N. et al., 2022).</w:t>
      </w:r>
    </w:p>
    <w:p w:rsidR="008E3F15" w:rsidRDefault="005F449A">
      <w:pPr>
        <w:pStyle w:val="Heading1"/>
        <w:ind w:left="2"/>
      </w:pPr>
      <w:r>
        <w:t>Часть II. Коморбидные болезни</w:t>
      </w:r>
    </w:p>
    <w:p w:rsidR="008E3F15" w:rsidRDefault="005F449A">
      <w:pPr>
        <w:spacing w:after="31"/>
        <w:ind w:left="2" w:right="15"/>
      </w:pPr>
      <w:r>
        <w:t>Лечение</w:t>
      </w:r>
    </w:p>
    <w:p w:rsidR="008E3F15" w:rsidRDefault="005F449A">
      <w:pPr>
        <w:spacing w:after="179"/>
        <w:ind w:left="2" w:right="415"/>
      </w:pPr>
      <w:r>
        <w:rPr>
          <w:b/>
        </w:rPr>
        <w:t>Замедление прогрессирования дисфункции почек.</w:t>
      </w:r>
      <w:r>
        <w:t xml:space="preserve"> Основная цель лечения пациентов с ХБП — замедление темпов прогрессирования дисфункции почек и отдаление времени начала заместительной почечной терапии. Достижение этой цели требует проведения комплекса мероприятий (KDIGO):</w:t>
      </w:r>
    </w:p>
    <w:p w:rsidR="008E3F15" w:rsidRDefault="005F449A">
      <w:pPr>
        <w:spacing w:after="179"/>
        <w:ind w:left="347" w:right="5646"/>
      </w:pPr>
      <w:r>
        <w:rPr>
          <w:rFonts w:ascii="Calibri" w:eastAsia="Calibri" w:hAnsi="Calibri" w:cs="Calibri"/>
          <w:noProof/>
          <w:color w:val="000000"/>
          <w:sz w:val="22"/>
        </w:rPr>
        <mc:AlternateContent>
          <mc:Choice Requires="wpg">
            <w:drawing>
              <wp:anchor distT="0" distB="0" distL="114300" distR="114300" simplePos="0" relativeHeight="251918336"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25373" name="Group 325373"/>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0198" name="Shape 20198"/>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0200" name="Shape 20200"/>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0202" name="Shape 20202"/>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0204" name="Shape 20204"/>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0206" name="Shape 20206"/>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5373" style="width:4.5pt;height:52.5pt;position:absolute;mso-position-horizontal-relative:text;mso-position-horizontal:absolute;margin-left:16.8633pt;mso-position-vertical-relative:text;margin-top:2.73438pt;" coordsize="571,6667">
                <v:shape id="Shape 20198" style="position:absolute;width:571;height:571;left:0;top:0;" coordsize="57150,57150" path="m28575,0c32364,0,36009,794,39510,2183c43011,3373,46101,5556,48781,8136c51460,10716,53525,13692,54975,17463c56425,20836,57150,24606,57150,28575c57150,32147,56425,35719,54975,39092c53525,42664,51460,45839,48781,48617c46101,51197,43011,53380,39510,54769c36009,56356,32364,56952,28575,57150c24786,56952,21141,56356,17640,54769c14139,53380,11049,51197,8369,48617c5690,45839,3625,42664,2175,39092c725,35719,0,32147,0,28575c0,24606,725,20836,2175,17463c3625,13692,5690,10716,8369,8136c11049,5556,14139,3373,17640,2183c21141,794,24786,0,28575,0x">
                  <v:stroke weight="0pt" endcap="flat" joinstyle="miter" miterlimit="4" on="false" color="#000000" opacity="0"/>
                  <v:fill on="true" color="#333333"/>
                </v:shape>
                <v:shape id="Shape 20200" style="position:absolute;width:571;height:571;left:0;top:1524;" coordsize="57150,57150" path="m28575,0c32364,0,36009,794,39510,2183c43011,3373,46101,5358,48781,8136c51460,10716,53525,13891,54975,17463c56425,20836,57150,24606,57150,28575c57150,32345,56425,35917,54975,39291c53525,42664,51460,45641,48781,48617c46101,51197,43011,53380,39510,54769c36009,56356,32364,56952,28575,57150c24786,56952,21141,56356,17640,54769c14139,53380,11049,51197,8369,48617c5690,45641,3625,42664,2175,39092c725,35719,0,32345,0,28575c0,24606,725,20836,2175,17463c3625,13891,5690,10716,8369,8136c11049,5358,14139,3373,17640,2183c21141,794,24786,0,28575,0x">
                  <v:stroke weight="0pt" endcap="flat" joinstyle="miter" miterlimit="4" on="false" color="#000000" opacity="0"/>
                  <v:fill on="true" color="#333333"/>
                </v:shape>
                <v:shape id="Shape 20202" style="position:absolute;width:571;height:571;left:0;top:3048;" coordsize="57150,57150" path="m28575,0c32364,0,36009,794,39510,2183c43011,3373,46101,5556,48781,8136c51460,10716,53525,13692,54975,17463c56425,20836,57150,24606,57150,28575c57150,32147,56425,35719,54975,39092c53525,42664,51460,45839,48781,48617c46101,51197,43011,53380,39510,54570c36009,56356,32364,56952,28575,57150c24786,56952,21141,56356,17640,54570c14139,53380,11049,51197,8369,48617c5690,45839,3625,42664,2175,39092c725,35719,0,32147,0,28575c0,24606,725,20836,2175,17463c3625,13692,5690,10716,8369,8136c11049,5556,14139,3373,17640,2183c21141,794,24786,0,28575,0x">
                  <v:stroke weight="0pt" endcap="flat" joinstyle="miter" miterlimit="4" on="false" color="#000000" opacity="0"/>
                  <v:fill on="true" color="#333333"/>
                </v:shape>
                <v:shape id="Shape 20204" style="position:absolute;width:571;height:571;left:0;top:4572;" coordsize="57150,57150" path="m28575,0c32364,0,36009,794,39510,2183c43011,3373,46101,5358,48781,8136c51460,10716,53525,13891,54975,17463c56425,20836,57150,24606,57150,28575c57150,32345,56425,35917,54975,39291c53525,42664,51460,45641,48781,48617c46101,51197,43011,53380,39510,54769c36009,56356,32364,56952,28575,57150c24786,56952,21141,56356,17640,54769c14139,53380,11049,51197,8369,48617c5690,45641,3625,42664,2175,39092c725,35719,0,32345,0,28575c0,24606,725,20836,2175,17463c3625,13891,5690,10716,8369,8136c11049,5358,14139,3373,17640,2183c21141,794,24786,0,28575,0x">
                  <v:stroke weight="0pt" endcap="flat" joinstyle="miter" miterlimit="4" on="false" color="#000000" opacity="0"/>
                  <v:fill on="true" color="#333333"/>
                </v:shape>
                <v:shape id="Shape 20206" style="position:absolute;width:571;height:571;left:0;top:6096;" coordsize="57150,57150" path="m28575,0c32364,0,36009,794,39510,2183c43011,3373,46101,5556,48781,8136c51460,10716,53525,13891,54975,17463c56425,21034,57150,24805,57150,28575c57150,32147,56425,35719,54975,39092c53525,42664,51460,45839,48781,48617c46101,51197,43011,53380,39510,54570c36009,56356,32364,56952,28575,57150c24786,56952,21141,56356,17640,54570c14139,53380,11049,51197,8369,48617c5690,45839,3625,42664,2175,39092c725,35719,0,32147,0,28575c0,24805,725,21034,2175,17661c3625,13891,5690,10716,8369,8136c11049,5556,14139,3373,17640,2183c21141,794,24786,0,28575,0x">
                  <v:stroke weight="0pt" endcap="flat" joinstyle="miter" miterlimit="4" on="false" color="#000000" opacity="0"/>
                  <v:fill on="true" color="#333333"/>
                </v:shape>
                <w10:wrap type="square"/>
              </v:group>
            </w:pict>
          </mc:Fallback>
        </mc:AlternateContent>
      </w:r>
      <w:r>
        <w:t>контроль артериальной гипертенз</w:t>
      </w:r>
      <w:r>
        <w:t>ии; контроль гликемии у пациентов с СД; ограничение белка в диете; применение иАПФ/БРА, иНГЛТ-2; отказ от курения.</w:t>
      </w:r>
    </w:p>
    <w:p w:rsidR="008E3F15" w:rsidRDefault="005F449A">
      <w:pPr>
        <w:ind w:left="2" w:right="15"/>
      </w:pPr>
      <w:r>
        <w:t>У взрослых без СД с ХБП 3–5-й стадии и метаболически стабильных для снижения риска терминальной почечной недостаточности рекомендуется ограни</w:t>
      </w:r>
      <w:r>
        <w:t>чение белка в диете до 0,55– 0,60 г/кг (</w:t>
      </w:r>
      <w:r>
        <w:rPr>
          <w:b/>
        </w:rPr>
        <w:t>табл. 17.5</w:t>
      </w:r>
      <w:r>
        <w:t>), поскольку способствует снижению фильтрационной нагрузки на почки</w:t>
      </w:r>
    </w:p>
    <w:p w:rsidR="008E3F15" w:rsidRDefault="005F449A">
      <w:pPr>
        <w:ind w:left="2" w:right="15"/>
      </w:pPr>
      <w:r>
        <w:t>и фиброза. Если имеется СД, при котором существуют ограничения в диете, содержание белка — 0,6–0,8 г/кг (KDIGO).</w:t>
      </w:r>
    </w:p>
    <w:p w:rsidR="008E3F15" w:rsidRDefault="005F449A">
      <w:pPr>
        <w:spacing w:after="31"/>
        <w:ind w:left="2" w:right="15"/>
      </w:pPr>
      <w:r>
        <w:rPr>
          <w:b/>
        </w:rPr>
        <w:t xml:space="preserve">Таблица 17.5. </w:t>
      </w:r>
      <w:r>
        <w:t xml:space="preserve">Содержание </w:t>
      </w:r>
      <w:r>
        <w:t>белка в пищевых продуктах</w:t>
      </w:r>
    </w:p>
    <w:tbl>
      <w:tblPr>
        <w:tblStyle w:val="TableGrid"/>
        <w:tblW w:w="5775" w:type="dxa"/>
        <w:tblInd w:w="37" w:type="dxa"/>
        <w:tblCellMar>
          <w:top w:w="80" w:type="dxa"/>
          <w:left w:w="45" w:type="dxa"/>
          <w:bottom w:w="0" w:type="dxa"/>
          <w:right w:w="39" w:type="dxa"/>
        </w:tblCellMar>
        <w:tblLook w:val="04A0" w:firstRow="1" w:lastRow="0" w:firstColumn="1" w:lastColumn="0" w:noHBand="0" w:noVBand="1"/>
      </w:tblPr>
      <w:tblGrid>
        <w:gridCol w:w="4725"/>
        <w:gridCol w:w="1050"/>
      </w:tblGrid>
      <w:tr w:rsidR="008E3F15">
        <w:trPr>
          <w:trHeight w:val="330"/>
        </w:trPr>
        <w:tc>
          <w:tcPr>
            <w:tcW w:w="472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Продукты</w:t>
            </w:r>
          </w:p>
        </w:tc>
        <w:tc>
          <w:tcPr>
            <w:tcW w:w="1050" w:type="dxa"/>
            <w:tcBorders>
              <w:top w:val="single" w:sz="6" w:space="0" w:color="000000"/>
              <w:left w:val="nil"/>
              <w:bottom w:val="single" w:sz="6" w:space="0" w:color="000000"/>
              <w:right w:val="single" w:sz="6" w:space="0" w:color="000000"/>
            </w:tcBorders>
          </w:tcPr>
          <w:p w:rsidR="008E3F15" w:rsidRDefault="005F449A">
            <w:pPr>
              <w:spacing w:after="0" w:line="259" w:lineRule="auto"/>
              <w:ind w:left="6" w:right="0" w:firstLine="0"/>
              <w:jc w:val="both"/>
            </w:pPr>
            <w:r>
              <w:rPr>
                <w:b/>
                <w:bdr w:val="single" w:sz="12" w:space="0" w:color="000000"/>
              </w:rPr>
              <w:t>Белок, г</w:t>
            </w:r>
          </w:p>
        </w:tc>
      </w:tr>
      <w:tr w:rsidR="008E3F15">
        <w:trPr>
          <w:trHeight w:val="330"/>
        </w:trPr>
        <w:tc>
          <w:tcPr>
            <w:tcW w:w="4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Сыр (100 г)</w:t>
            </w:r>
          </w:p>
        </w:tc>
        <w:tc>
          <w:tcPr>
            <w:tcW w:w="10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20–30</w:t>
            </w:r>
          </w:p>
        </w:tc>
      </w:tr>
      <w:tr w:rsidR="008E3F15">
        <w:trPr>
          <w:trHeight w:val="330"/>
        </w:trPr>
        <w:tc>
          <w:tcPr>
            <w:tcW w:w="47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Мясо, рыба, морепродукты, творог (100 г)</w:t>
            </w:r>
          </w:p>
        </w:tc>
        <w:tc>
          <w:tcPr>
            <w:tcW w:w="105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6" w:right="0" w:firstLine="0"/>
            </w:pPr>
            <w:r>
              <w:t>15–20</w:t>
            </w:r>
          </w:p>
        </w:tc>
      </w:tr>
      <w:tr w:rsidR="008E3F15">
        <w:trPr>
          <w:trHeight w:val="330"/>
        </w:trPr>
        <w:tc>
          <w:tcPr>
            <w:tcW w:w="4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Молоко, йогурт (250 мл)</w:t>
            </w:r>
          </w:p>
        </w:tc>
        <w:tc>
          <w:tcPr>
            <w:tcW w:w="10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8–10</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Яйцо куриное (1 штука)</w:t>
            </w:r>
          </w:p>
        </w:tc>
        <w:tc>
          <w:tcPr>
            <w:tcW w:w="10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6–8</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Хлопья, цельнозерновые (100 г)</w:t>
            </w:r>
          </w:p>
        </w:tc>
        <w:tc>
          <w:tcPr>
            <w:tcW w:w="10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3–6</w:t>
            </w:r>
          </w:p>
        </w:tc>
      </w:tr>
      <w:tr w:rsidR="008E3F15">
        <w:trPr>
          <w:trHeight w:val="330"/>
        </w:trPr>
        <w:tc>
          <w:tcPr>
            <w:tcW w:w="4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Кусок хлеба (20–30 г)</w:t>
            </w:r>
          </w:p>
        </w:tc>
        <w:tc>
          <w:tcPr>
            <w:tcW w:w="10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2–3</w:t>
            </w:r>
          </w:p>
        </w:tc>
      </w:tr>
    </w:tbl>
    <w:p w:rsidR="008E3F15" w:rsidRDefault="005F449A">
      <w:pPr>
        <w:ind w:left="2" w:right="15"/>
      </w:pPr>
      <w:r>
        <w:t>Целесообразно придерживаться принципов здоровой и средиземноморской диет (овощи, фрукты, бобовые, цельнозерновые, морепродукты, орехи, оливковое масло, ограничение соли и сахара), которые могут улучшить контроль дислипидемии и артериальной гипертензии, поз</w:t>
      </w:r>
      <w:r>
        <w:t>итивно повлиять на риск ССЗ и прогрессирование дисфункции почек (Kelly J. et al., 2017; Bach K. et al., 2019; Cochrane Reviews; CRIC).</w:t>
      </w:r>
    </w:p>
    <w:p w:rsidR="008E3F15" w:rsidRDefault="005F449A">
      <w:pPr>
        <w:ind w:left="2" w:right="15"/>
      </w:pPr>
      <w:r>
        <w:t>Снижение потребления соли уменьшает АД и альбуминурию, что при длительном режиме может улучшить клинические исходы (Cochr</w:t>
      </w:r>
      <w:r>
        <w:t>ane Reviews).</w:t>
      </w:r>
    </w:p>
    <w:p w:rsidR="008E3F15" w:rsidRDefault="005F449A">
      <w:pPr>
        <w:ind w:left="2" w:right="221"/>
      </w:pPr>
      <w:r>
        <w:t>Снижение и увеличение объема принимаемой жидкости по сравнению с 1–1,5 л/сут ассоциировалось с повышением прогрессирования болезни до почечной недостаточности в исследовании CKD-REIN.</w:t>
      </w:r>
    </w:p>
    <w:p w:rsidR="008E3F15" w:rsidRDefault="005F449A">
      <w:pPr>
        <w:ind w:left="2" w:right="199"/>
      </w:pPr>
      <w:r>
        <w:t>Широко используют иАПФ, которые, расширяя выносящие артери</w:t>
      </w:r>
      <w:r>
        <w:t>олы клубочков, снижают внутриклубочковую гипертензию и гиперфильтрацию. Длительное лечение иАПФ позволяет сохранить фильтрационную функцию почек и замедлить темпы снижения функции почек. Препараты сохраняют нефропротективную эффективность даже при рСКФ &lt;30</w:t>
      </w:r>
      <w:r>
        <w:t xml:space="preserve"> мл/ мин/1,73 м</w:t>
      </w:r>
      <w:r>
        <w:rPr>
          <w:sz w:val="31"/>
          <w:vertAlign w:val="superscript"/>
        </w:rPr>
        <w:t>2</w:t>
      </w:r>
      <w:r>
        <w:t>. В случае непереносимости иАПФ рекомендуют БРА.</w:t>
      </w:r>
    </w:p>
    <w:p w:rsidR="008E3F15" w:rsidRDefault="005F449A">
      <w:pPr>
        <w:ind w:left="2" w:right="95"/>
      </w:pPr>
      <w:r>
        <w:t>Комбинация иАПФ и БРА нецелесообразна, поскольку чаще вызывает артериальную гипотензию и не замедляет прогрессирование болезни почек по сравнению с монотерапией. При недиабетической ХБП прием иАПФ или БРА рекомендуют у пациентов без СД при альбуминурии &gt;30</w:t>
      </w:r>
      <w:r>
        <w:t>0 мг/сут (протеинурии &gt;0,5 г/сут) (KDIGO). иАПФ и БРА замедляют прогрессирование диабетической ХБП с альбуминурией &gt;30 мг/сут даже при отсутствии артериальной гипертензии (RENAAL, INNOVATION).</w:t>
      </w:r>
    </w:p>
    <w:p w:rsidR="008E3F15" w:rsidRDefault="005F449A">
      <w:pPr>
        <w:ind w:left="2" w:right="15"/>
      </w:pPr>
      <w:r>
        <w:t xml:space="preserve">Необходимо титровать иАПФ и БРА до максимально одобренных доз, </w:t>
      </w:r>
      <w:r>
        <w:t>добиваясь снижения альбуминурии. иАПФ требуют коррекции дозы при дисфункции почек, в отличие от БРА (</w:t>
      </w:r>
      <w:r>
        <w:rPr>
          <w:b/>
        </w:rPr>
        <w:t>табл. 17.6</w:t>
      </w:r>
      <w:r>
        <w:t>).</w:t>
      </w:r>
    </w:p>
    <w:p w:rsidR="008E3F15" w:rsidRDefault="005F449A">
      <w:pPr>
        <w:spacing w:after="31"/>
        <w:ind w:left="2" w:right="15"/>
      </w:pPr>
      <w:r>
        <w:rPr>
          <w:b/>
        </w:rPr>
        <w:t xml:space="preserve">Таблица 17.6. </w:t>
      </w:r>
      <w:r>
        <w:t xml:space="preserve">Дозы ингибиторов ангиотензин-превращающего фермента и блокаторов рецепторов ангиотензина при хронической болезни почек (K/DOQI; </w:t>
      </w:r>
      <w:r>
        <w:t>UMHS)</w:t>
      </w:r>
    </w:p>
    <w:tbl>
      <w:tblPr>
        <w:tblStyle w:val="TableGrid"/>
        <w:tblW w:w="10485" w:type="dxa"/>
        <w:tblInd w:w="37" w:type="dxa"/>
        <w:tblCellMar>
          <w:top w:w="80" w:type="dxa"/>
          <w:left w:w="41" w:type="dxa"/>
          <w:bottom w:w="0" w:type="dxa"/>
          <w:right w:w="42" w:type="dxa"/>
        </w:tblCellMar>
        <w:tblLook w:val="04A0" w:firstRow="1" w:lastRow="0" w:firstColumn="1" w:lastColumn="0" w:noHBand="0" w:noVBand="1"/>
      </w:tblPr>
      <w:tblGrid>
        <w:gridCol w:w="1620"/>
        <w:gridCol w:w="2205"/>
        <w:gridCol w:w="2520"/>
        <w:gridCol w:w="2070"/>
        <w:gridCol w:w="2070"/>
      </w:tblGrid>
      <w:tr w:rsidR="008E3F15">
        <w:trPr>
          <w:trHeight w:val="570"/>
        </w:trPr>
        <w:tc>
          <w:tcPr>
            <w:tcW w:w="16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rPr>
                <w:b/>
              </w:rPr>
              <w:t>Препараты</w:t>
            </w:r>
          </w:p>
        </w:tc>
        <w:tc>
          <w:tcPr>
            <w:tcW w:w="220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Почечная экскреция, %</w:t>
            </w:r>
          </w:p>
        </w:tc>
        <w:tc>
          <w:tcPr>
            <w:tcW w:w="252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58" w:firstLine="0"/>
            </w:pPr>
            <w:r>
              <w:rPr>
                <w:b/>
              </w:rPr>
              <w:t>Целевая доза, число приемов</w:t>
            </w:r>
          </w:p>
        </w:tc>
        <w:tc>
          <w:tcPr>
            <w:tcW w:w="414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7" w:firstLine="0"/>
            </w:pPr>
            <w:r>
              <w:rPr>
                <w:b/>
              </w:rPr>
              <w:t>Коррекция дозы в зависимости от функции почек</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30–59 мл/мин</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15–29 мл/мин</w:t>
            </w:r>
          </w:p>
        </w:tc>
      </w:tr>
      <w:tr w:rsidR="008E3F15">
        <w:trPr>
          <w:trHeight w:val="330"/>
        </w:trPr>
        <w:tc>
          <w:tcPr>
            <w:tcW w:w="16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Каптоприл</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95</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25–150/2–3</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50–75%</w:t>
            </w:r>
          </w:p>
        </w:tc>
      </w:tr>
      <w:tr w:rsidR="008E3F15">
        <w:trPr>
          <w:trHeight w:val="330"/>
        </w:trPr>
        <w:tc>
          <w:tcPr>
            <w:tcW w:w="1620"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pPr>
            <w:r>
              <w:rPr>
                <w:bdr w:val="single" w:sz="12" w:space="0" w:color="000000"/>
              </w:rPr>
              <w:t>Лизиноприл</w:t>
            </w:r>
          </w:p>
          <w:p w:rsidR="008E3F15" w:rsidRDefault="005F449A">
            <w:pPr>
              <w:spacing w:after="0" w:line="259" w:lineRule="auto"/>
              <w:ind w:left="4" w:right="0" w:firstLine="0"/>
              <w:jc w:val="both"/>
            </w:pPr>
            <w:r>
              <w:rPr>
                <w:bdr w:val="single" w:sz="12" w:space="0" w:color="000000"/>
              </w:rPr>
              <w:t>Периндоприл</w:t>
            </w:r>
          </w:p>
        </w:tc>
        <w:tc>
          <w:tcPr>
            <w:tcW w:w="220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7" w:right="0" w:firstLine="0"/>
            </w:pPr>
            <w:r>
              <w:t>70</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20–40/1–2</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50%</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220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7" w:right="0" w:firstLine="0"/>
            </w:pPr>
            <w:r>
              <w:t>75</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4–8/1–2</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2 мг за 48 ч</w:t>
            </w:r>
          </w:p>
        </w:tc>
      </w:tr>
      <w:tr w:rsidR="008E3F15">
        <w:trPr>
          <w:trHeight w:val="330"/>
        </w:trPr>
        <w:tc>
          <w:tcPr>
            <w:tcW w:w="1620"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Рамиприл</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85</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2,5–20/1–2</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25–50%</w:t>
            </w:r>
          </w:p>
        </w:tc>
      </w:tr>
      <w:tr w:rsidR="008E3F15">
        <w:trPr>
          <w:trHeight w:val="330"/>
        </w:trPr>
        <w:tc>
          <w:tcPr>
            <w:tcW w:w="1620" w:type="dxa"/>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pPr>
            <w:r>
              <w:rPr>
                <w:bdr w:val="single" w:sz="12" w:space="0" w:color="000000"/>
              </w:rPr>
              <w:t>Фозиноприл</w:t>
            </w:r>
          </w:p>
        </w:tc>
        <w:tc>
          <w:tcPr>
            <w:tcW w:w="220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7" w:right="0" w:firstLine="0"/>
            </w:pPr>
            <w:r>
              <w:t>50</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10–40/1–2</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100%</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100%</w:t>
            </w:r>
          </w:p>
        </w:tc>
      </w:tr>
      <w:tr w:rsidR="008E3F15">
        <w:trPr>
          <w:trHeight w:val="330"/>
        </w:trPr>
        <w:tc>
          <w:tcPr>
            <w:tcW w:w="16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Эналаприл</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88</w:t>
            </w:r>
          </w:p>
        </w:tc>
        <w:tc>
          <w:tcPr>
            <w:tcW w:w="25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10–40/1–2</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50–100%</w:t>
            </w:r>
          </w:p>
        </w:tc>
        <w:tc>
          <w:tcPr>
            <w:tcW w:w="20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50%</w:t>
            </w:r>
          </w:p>
        </w:tc>
      </w:tr>
    </w:tbl>
    <w:p w:rsidR="008E3F15" w:rsidRDefault="005F449A">
      <w:pPr>
        <w:ind w:left="2" w:right="547"/>
      </w:pPr>
      <w:r>
        <w:t>После начала лечения иАПФ отмечают повышение креатинина плазмы, коррелирующее с замедлением прогрессирования ХБП. Лечение иАПФ можно продолжить при снижении рСКФ &lt;30% от исходного в течение 4 мес после начала лечения и гиперкалиемии ≤5,5 ммоль/л.</w:t>
      </w:r>
    </w:p>
    <w:p w:rsidR="008E3F15" w:rsidRDefault="005F449A">
      <w:pPr>
        <w:ind w:left="2" w:right="82"/>
      </w:pPr>
      <w:r>
        <w:t>При появл</w:t>
      </w:r>
      <w:r>
        <w:t>ении гиперкалиемии рекомендуют вначале попытаться снизить уровень калия, не уменьшая дозы иАПФ. Отмена ингибиторов ренин-ангиотензин-альдостероновой системы требует тщательной оценки, поскольку может привести к возрастанию смертности и риска</w:t>
      </w:r>
    </w:p>
    <w:p w:rsidR="008E3F15" w:rsidRDefault="005F449A">
      <w:pPr>
        <w:spacing w:after="31"/>
        <w:ind w:left="2" w:right="15"/>
      </w:pPr>
      <w:r>
        <w:t>ССЗ (Leon S. e</w:t>
      </w:r>
      <w:r>
        <w:t>t al., 2022; Qiao Y. et al., 2020).</w:t>
      </w:r>
    </w:p>
    <w:p w:rsidR="008E3F15" w:rsidRDefault="005F449A">
      <w:pPr>
        <w:ind w:left="2" w:right="430"/>
      </w:pPr>
      <w:r>
        <w:t xml:space="preserve">Интервалы мониторинга АД, рСКФ и калия плазмы при лечении иАПФ/БРА представлены в </w:t>
      </w:r>
      <w:r>
        <w:rPr>
          <w:b/>
        </w:rPr>
        <w:t>табл. 17.7</w:t>
      </w:r>
      <w:r>
        <w:t>.</w:t>
      </w:r>
    </w:p>
    <w:p w:rsidR="008E3F15" w:rsidRDefault="005F449A">
      <w:pPr>
        <w:spacing w:after="31"/>
        <w:ind w:left="2" w:right="15"/>
      </w:pPr>
      <w:r>
        <w:rPr>
          <w:b/>
        </w:rPr>
        <w:t xml:space="preserve">Таблица 17.7. </w:t>
      </w:r>
      <w:r>
        <w:t>Интервалы контроля лечения ингибиторами ангиотензин-превращающего фермента/блокаторами рецепторов ангиотензина (</w:t>
      </w:r>
      <w:r>
        <w:t>K/DOQI)</w:t>
      </w:r>
    </w:p>
    <w:tbl>
      <w:tblPr>
        <w:tblStyle w:val="TableGrid"/>
        <w:tblW w:w="8445" w:type="dxa"/>
        <w:tblInd w:w="37" w:type="dxa"/>
        <w:tblCellMar>
          <w:top w:w="58" w:type="dxa"/>
          <w:left w:w="42" w:type="dxa"/>
          <w:bottom w:w="0" w:type="dxa"/>
          <w:right w:w="48" w:type="dxa"/>
        </w:tblCellMar>
        <w:tblLook w:val="04A0" w:firstRow="1" w:lastRow="0" w:firstColumn="1" w:lastColumn="0" w:noHBand="0" w:noVBand="1"/>
      </w:tblPr>
      <w:tblGrid>
        <w:gridCol w:w="6045"/>
        <w:gridCol w:w="1275"/>
        <w:gridCol w:w="1125"/>
      </w:tblGrid>
      <w:tr w:rsidR="008E3F15">
        <w:trPr>
          <w:trHeight w:val="308"/>
        </w:trPr>
        <w:tc>
          <w:tcPr>
            <w:tcW w:w="604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rPr>
                <w:b/>
              </w:rPr>
              <w:t>Показатели</w:t>
            </w:r>
          </w:p>
        </w:tc>
        <w:tc>
          <w:tcPr>
            <w:tcW w:w="2400" w:type="dxa"/>
            <w:gridSpan w:val="2"/>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rPr>
                <w:b/>
              </w:rPr>
              <w:t>Диапазон</w:t>
            </w:r>
          </w:p>
        </w:tc>
      </w:tr>
      <w:tr w:rsidR="008E3F15">
        <w:trPr>
          <w:trHeight w:val="158"/>
        </w:trPr>
        <w:tc>
          <w:tcPr>
            <w:tcW w:w="844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1088"/>
        </w:trPr>
        <w:tc>
          <w:tcPr>
            <w:tcW w:w="60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АДс, мм рт.ст.</w:t>
            </w:r>
          </w:p>
          <w:p w:rsidR="008E3F15" w:rsidRDefault="005F449A">
            <w:pPr>
              <w:spacing w:after="0" w:line="216" w:lineRule="auto"/>
              <w:ind w:left="3" w:right="2736" w:firstLine="0"/>
            </w:pPr>
            <w:r>
              <w:t>рСКФ, мл/мин/1,73 м</w:t>
            </w:r>
            <w:r>
              <w:rPr>
                <w:sz w:val="31"/>
                <w:vertAlign w:val="superscript"/>
              </w:rPr>
              <w:t xml:space="preserve">2 </w:t>
            </w:r>
            <w:r>
              <w:t>Раннее снижение рСКФ, %</w:t>
            </w:r>
          </w:p>
          <w:p w:rsidR="008E3F15" w:rsidRDefault="005F449A">
            <w:pPr>
              <w:spacing w:after="0" w:line="259" w:lineRule="auto"/>
              <w:ind w:left="3" w:right="0" w:firstLine="0"/>
            </w:pPr>
            <w:r>
              <w:t>Калий плазмы, ммоль/л</w:t>
            </w:r>
          </w:p>
        </w:tc>
        <w:tc>
          <w:tcPr>
            <w:tcW w:w="127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≥120</w:t>
            </w:r>
          </w:p>
          <w:p w:rsidR="008E3F15" w:rsidRDefault="005F449A">
            <w:pPr>
              <w:spacing w:after="0" w:line="216" w:lineRule="auto"/>
              <w:ind w:left="0" w:right="339" w:firstLine="0"/>
            </w:pPr>
            <w:r>
              <w:t>≥60 &lt;15</w:t>
            </w:r>
          </w:p>
          <w:p w:rsidR="008E3F15" w:rsidRDefault="005F449A">
            <w:pPr>
              <w:spacing w:after="0" w:line="259" w:lineRule="auto"/>
              <w:ind w:left="0" w:right="0" w:firstLine="0"/>
            </w:pPr>
            <w:r>
              <w:t>≤4,5</w:t>
            </w:r>
          </w:p>
        </w:tc>
        <w:tc>
          <w:tcPr>
            <w:tcW w:w="112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&lt;120</w:t>
            </w:r>
          </w:p>
          <w:p w:rsidR="008E3F15" w:rsidRDefault="005F449A">
            <w:pPr>
              <w:spacing w:after="0" w:line="216" w:lineRule="auto"/>
              <w:ind w:left="2" w:right="187" w:firstLine="0"/>
            </w:pPr>
            <w:r>
              <w:t>&lt;60 ≥15</w:t>
            </w:r>
          </w:p>
          <w:p w:rsidR="008E3F15" w:rsidRDefault="005F449A">
            <w:pPr>
              <w:spacing w:after="0" w:line="259" w:lineRule="auto"/>
              <w:ind w:left="2" w:right="0" w:firstLine="0"/>
            </w:pPr>
            <w:r>
              <w:t>&gt;4,5</w:t>
            </w:r>
          </w:p>
        </w:tc>
      </w:tr>
      <w:tr w:rsidR="008E3F15">
        <w:trPr>
          <w:trHeight w:val="330"/>
        </w:trPr>
        <w:tc>
          <w:tcPr>
            <w:tcW w:w="604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3" w:right="0" w:firstLine="0"/>
            </w:pPr>
            <w:r>
              <w:rPr>
                <w:b/>
              </w:rPr>
              <w:t>Период лечения</w:t>
            </w:r>
          </w:p>
        </w:tc>
        <w:tc>
          <w:tcPr>
            <w:tcW w:w="2400" w:type="dxa"/>
            <w:gridSpan w:val="2"/>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Интервал контроля</w:t>
            </w:r>
          </w:p>
        </w:tc>
      </w:tr>
      <w:tr w:rsidR="008E3F15">
        <w:trPr>
          <w:trHeight w:val="330"/>
        </w:trPr>
        <w:tc>
          <w:tcPr>
            <w:tcW w:w="604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3" w:right="0" w:firstLine="0"/>
            </w:pPr>
            <w:r>
              <w:t>После начала/повышения дозы иАПФ/БРА</w:t>
            </w:r>
          </w:p>
        </w:tc>
        <w:tc>
          <w:tcPr>
            <w:tcW w:w="127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4–12 нед</w:t>
            </w:r>
          </w:p>
        </w:tc>
        <w:tc>
          <w:tcPr>
            <w:tcW w:w="112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 4 нед</w:t>
            </w:r>
          </w:p>
        </w:tc>
      </w:tr>
      <w:tr w:rsidR="008E3F15">
        <w:trPr>
          <w:trHeight w:val="330"/>
        </w:trPr>
        <w:tc>
          <w:tcPr>
            <w:tcW w:w="6045" w:type="dxa"/>
            <w:tcBorders>
              <w:top w:val="single" w:sz="6" w:space="0" w:color="000000"/>
              <w:left w:val="single" w:sz="6" w:space="0" w:color="000000"/>
              <w:bottom w:val="single" w:sz="6" w:space="0" w:color="000000"/>
              <w:right w:val="nil"/>
            </w:tcBorders>
          </w:tcPr>
          <w:p w:rsidR="008E3F15" w:rsidRDefault="005F449A">
            <w:pPr>
              <w:spacing w:after="0" w:line="259" w:lineRule="auto"/>
              <w:ind w:left="3" w:right="0" w:firstLine="0"/>
              <w:jc w:val="both"/>
            </w:pPr>
            <w:r>
              <w:rPr>
                <w:bdr w:val="single" w:sz="12" w:space="0" w:color="000000"/>
              </w:rPr>
              <w:t>После достижения целевого АД и стабилизации дозы</w:t>
            </w:r>
          </w:p>
        </w:tc>
        <w:tc>
          <w:tcPr>
            <w:tcW w:w="1275" w:type="dxa"/>
            <w:tcBorders>
              <w:top w:val="double" w:sz="6" w:space="0" w:color="000000"/>
              <w:left w:val="single" w:sz="6" w:space="0" w:color="000000"/>
              <w:bottom w:val="double" w:sz="6" w:space="0" w:color="000000"/>
              <w:right w:val="single" w:sz="6" w:space="0" w:color="000000"/>
            </w:tcBorders>
          </w:tcPr>
          <w:p w:rsidR="008E3F15" w:rsidRDefault="005F449A">
            <w:pPr>
              <w:spacing w:after="0" w:line="259" w:lineRule="auto"/>
              <w:ind w:left="0" w:right="0" w:firstLine="0"/>
            </w:pPr>
            <w:r>
              <w:t>6–12 мес</w:t>
            </w:r>
          </w:p>
        </w:tc>
        <w:tc>
          <w:tcPr>
            <w:tcW w:w="1125"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pPr>
            <w:r>
              <w:rPr>
                <w:bdr w:val="single" w:sz="12" w:space="0" w:color="000000"/>
              </w:rPr>
              <w:t>1–6 мес</w:t>
            </w:r>
          </w:p>
        </w:tc>
      </w:tr>
    </w:tbl>
    <w:p w:rsidR="008E3F15" w:rsidRDefault="005F449A">
      <w:pPr>
        <w:pStyle w:val="Heading1"/>
        <w:ind w:left="2"/>
      </w:pPr>
      <w:r>
        <w:t>Часть II. Коморбидные болезни</w:t>
      </w:r>
    </w:p>
    <w:p w:rsidR="008E3F15" w:rsidRDefault="005F449A">
      <w:pPr>
        <w:ind w:left="2" w:right="148"/>
      </w:pPr>
      <w:r>
        <w:t>В крупных рандомизированных исследованиях эмпглифлозин и дапаглифлозин продемонстрировали способность замедлять прогрессирование ХБП вне зависимости от наличия СД и получили дополнительные показания к применению при рСКФ выше 20 мл/ мин/1,73 м</w:t>
      </w:r>
      <w:r>
        <w:rPr>
          <w:sz w:val="31"/>
          <w:vertAlign w:val="superscript"/>
        </w:rPr>
        <w:t>2</w:t>
      </w:r>
      <w:r>
        <w:t xml:space="preserve"> (EMPA-KIDNE</w:t>
      </w:r>
      <w:r>
        <w:t>Y; DAPA-CKD).</w:t>
      </w:r>
    </w:p>
    <w:p w:rsidR="008E3F15" w:rsidRDefault="005F449A">
      <w:pPr>
        <w:ind w:left="2" w:right="15"/>
      </w:pPr>
      <w:r>
        <w:t>При диабетической нефропатии с альбуминурией назначение нестероидного аМКР финеренона дополнительно к иАПФ/БРА замедлило прогрессирование ХБП.</w:t>
      </w:r>
    </w:p>
    <w:p w:rsidR="008E3F15" w:rsidRDefault="005F449A">
      <w:pPr>
        <w:ind w:left="2" w:right="15"/>
      </w:pPr>
      <w:r>
        <w:t>У пациентов с ХБП повышен риск острого снижения рСКФ при приеме НПВП (включая селективные), аминогл</w:t>
      </w:r>
      <w:r>
        <w:t>икозидов, циклоспорина, ванкомицина, внутривенном введении рентгенконтрастных препаратов.</w:t>
      </w:r>
    </w:p>
    <w:p w:rsidR="008E3F15" w:rsidRDefault="005F449A">
      <w:pPr>
        <w:ind w:left="2" w:right="15"/>
      </w:pPr>
      <w:r>
        <w:rPr>
          <w:b/>
        </w:rPr>
        <w:t xml:space="preserve">Синдромальное лечение. </w:t>
      </w:r>
      <w:r>
        <w:t>Поскольку ХБП является важным фактором риска развития ССЗ — основной причины смерти пациентов с дисфункцией почек, важное значение имеет програ</w:t>
      </w:r>
      <w:r>
        <w:t>мма первичной профилактики, включающая физические нагрузки, диету, оптимальный контроль артериальной гипертензии, дислипидемии, СД.</w:t>
      </w:r>
    </w:p>
    <w:p w:rsidR="008E3F15" w:rsidRDefault="005F449A">
      <w:pPr>
        <w:ind w:left="2" w:right="15"/>
      </w:pPr>
      <w:r>
        <w:rPr>
          <w:i/>
        </w:rPr>
        <w:t xml:space="preserve">Артериальная гипертензия. </w:t>
      </w:r>
      <w:r>
        <w:t>Коррекция АД замедляет наступление терминальной почечной недостаточности и снижает риск ССЗ. На сн</w:t>
      </w:r>
      <w:r>
        <w:t>ижение системного и внутрипочечного АД может повлиять ограничение в диете соли до &lt;5 г в сутки (HONEST; KDIGO). Нецелесообразно использовать заменители соли, содержащие калий.</w:t>
      </w:r>
    </w:p>
    <w:p w:rsidR="008E3F15" w:rsidRDefault="005F449A">
      <w:pPr>
        <w:ind w:left="2" w:right="605"/>
      </w:pPr>
      <w:r>
        <w:t>Целью антигипертензивной терапии является контроль артериальной гипертензии с до</w:t>
      </w:r>
      <w:r>
        <w:t>стижением АДс &lt;120–130 мм рт.ст. (KDIGO). Умеренное ограничение соли в пище существенно снижает АД и протеинурию/альбуминурию у пациентов с ХБП 1–4-й стадий</w:t>
      </w:r>
    </w:p>
    <w:p w:rsidR="008E3F15" w:rsidRDefault="005F449A">
      <w:pPr>
        <w:spacing w:after="31"/>
        <w:ind w:left="2" w:right="15"/>
      </w:pPr>
      <w:r>
        <w:t>(Garofalo C. et al., 2018).</w:t>
      </w:r>
    </w:p>
    <w:p w:rsidR="008E3F15" w:rsidRDefault="005F449A">
      <w:pPr>
        <w:ind w:left="2" w:right="83"/>
      </w:pPr>
      <w:r>
        <w:t xml:space="preserve">На 1–4-й стадиях ХБП предпочтение отдают иАПФ или БРА, а у пациентов с </w:t>
      </w:r>
      <w:r>
        <w:t>трансплантацией почки в качестве первоначального лечения рекомендуют дигидропиридины или БРА. Следует избегать артериальной гипотензии, так как снижение АДс &lt;110 мм рт.ст. может увеличить прогрессирование ХБП.</w:t>
      </w:r>
    </w:p>
    <w:p w:rsidR="008E3F15" w:rsidRDefault="005F449A">
      <w:pPr>
        <w:ind w:left="2" w:right="15"/>
      </w:pPr>
      <w:r>
        <w:t>Если монотерапия не приводит к стабилизации уровня АД, рекомендуется комбинированная терапия антигипертензивными препаратами, относящимися к различным группам, например иАПФ или БРА с диуретиками или антагонистами кальция. Необходимо учитывать коррекцию до</w:t>
      </w:r>
      <w:r>
        <w:t>зы препаратов, выводящихся почками.</w:t>
      </w:r>
    </w:p>
    <w:p w:rsidR="008E3F15" w:rsidRDefault="005F449A">
      <w:pPr>
        <w:spacing w:after="38"/>
        <w:ind w:left="2" w:right="389"/>
      </w:pPr>
      <w:r>
        <w:rPr>
          <w:i/>
        </w:rPr>
        <w:t xml:space="preserve">Гипергликемия. </w:t>
      </w:r>
      <w:r>
        <w:t>Диабетическая болезнь почек развивается у 20–40% пациентов с СД в среднем через 5–7 лет после появления признаков протеинурии. Диабетическая болезнь почек является ведущей причиной терминальной почечной не</w:t>
      </w:r>
      <w:r>
        <w:t>достаточности (40–50% всех случаев), при которой проводятся диализ или трансплантация почки. Хороший контроль гликемии снижает риск и замедляет развитие диабетической нефропатии (DCCT, UKPDS). Контроль гликемии у пациентов с СД персонализирован с целевым у</w:t>
      </w:r>
      <w:r>
        <w:t>ровнем, следует добиваться HbA</w:t>
      </w:r>
      <w:r>
        <w:rPr>
          <w:sz w:val="31"/>
          <w:vertAlign w:val="subscript"/>
        </w:rPr>
        <w:t>1</w:t>
      </w:r>
      <w:r>
        <w:rPr>
          <w:sz w:val="20"/>
        </w:rPr>
        <w:t>c</w:t>
      </w:r>
      <w:r>
        <w:t xml:space="preserve"> &lt;6,5–7,0% или выше (&lt;8%) при частой гипогликемии, выраженной коморбидности или небольшой ожидаемой продолжительности жизни. На ранних стадиях диабетической нефропатии возможно продолжение лечения пероральными антигиперглике</w:t>
      </w:r>
      <w:r>
        <w:t>мическими препаратами, а на поздних предпочтительнее инсулинотерапия.</w:t>
      </w:r>
    </w:p>
    <w:p w:rsidR="008E3F15" w:rsidRDefault="005F449A">
      <w:pPr>
        <w:ind w:left="2" w:right="15"/>
      </w:pPr>
      <w:r>
        <w:t>У пациентов с СД 2-го типа с рСКФ ≥30 мл/мин/1,73 м</w:t>
      </w:r>
      <w:r>
        <w:rPr>
          <w:sz w:val="31"/>
          <w:vertAlign w:val="superscript"/>
        </w:rPr>
        <w:t>2</w:t>
      </w:r>
      <w:r>
        <w:t xml:space="preserve"> рекомендуют начинать лечение метформином или/и иНГЛТ-2. Последние замедляют прогрессирование ХБП и снижают частоту заместительного ле</w:t>
      </w:r>
      <w:r>
        <w:t>чения (Neuen B. et al., 2019). Важно отметить, что дапаглифлозин замедлял развитие ХБП независимо от наличия СД (DAPA-CKD).</w:t>
      </w:r>
    </w:p>
    <w:p w:rsidR="008E3F15" w:rsidRDefault="005F449A">
      <w:pPr>
        <w:ind w:left="2" w:right="15"/>
      </w:pPr>
      <w:r>
        <w:rPr>
          <w:i/>
        </w:rPr>
        <w:t xml:space="preserve">Дислипидемия. </w:t>
      </w:r>
      <w:r>
        <w:t>Пациенты с ХБП, в том числе на терминальной стадии, чаще всего умирают от ССЗ. Более того, ХБП является большим фактор</w:t>
      </w:r>
      <w:r>
        <w:t>ом риска сердечно-сосудистых катастроф. Поэтому уже на ранних стадиях ХБП необходимо проводить активное лечение дислипидемии, артериальной гипертензии, ожирения, гипергликемии, отказаться от курения и увеличить физические нагрузки.</w:t>
      </w:r>
    </w:p>
    <w:p w:rsidR="008E3F15" w:rsidRDefault="005F449A">
      <w:pPr>
        <w:ind w:left="2" w:right="15"/>
      </w:pPr>
      <w:r>
        <w:t>Согласно европейским рек</w:t>
      </w:r>
      <w:r>
        <w:t>омендациям пациенты с рСКФ 30–59 и &lt;30 мл/мин/1,73 м</w:t>
      </w:r>
      <w:r>
        <w:rPr>
          <w:sz w:val="31"/>
          <w:vertAlign w:val="superscript"/>
        </w:rPr>
        <w:t xml:space="preserve">2 </w:t>
      </w:r>
      <w:r>
        <w:t>отнесены в группы высокого и очень высокого риска атеросклеротических ССЗ, поэтому требуют активного лечения с помощью статинов (при необходимости — других липиднормализующих препаратов) со снижением ур</w:t>
      </w:r>
      <w:r>
        <w:t>овня ХС ЛНП в плазме на ≥50% от исходного, чтобы достичь уровня менее 1,8 и 1,4 ммоль/л соответственно. При ХБП 3–5-й стадий рекомендуется ограничить дозы аторвастатина до 20 мг/сут, питавастатина до 2 мг/сут, розувастатина до 10 мг/сут, эзетимиба до 10 мг</w:t>
      </w:r>
      <w:r>
        <w:t>/сут ввиду повышения риска тяжелой миопатии (KDIGO).</w:t>
      </w:r>
    </w:p>
    <w:p w:rsidR="008E3F15" w:rsidRDefault="005F449A">
      <w:pPr>
        <w:ind w:left="2" w:right="15"/>
      </w:pPr>
      <w:r>
        <w:rPr>
          <w:i/>
        </w:rPr>
        <w:t xml:space="preserve">Отеки. </w:t>
      </w:r>
      <w:r>
        <w:t xml:space="preserve">При отеках необходим регулярный контроль массы тела утром после туалета. Рекомендуется диета с ограничением соли &lt;5 г/сут. Заменители соли содержат большое количество калия и не рекомендуются при </w:t>
      </w:r>
      <w:r>
        <w:t>ХБП.</w:t>
      </w:r>
    </w:p>
    <w:p w:rsidR="008E3F15" w:rsidRDefault="005F449A">
      <w:pPr>
        <w:ind w:left="2" w:right="15"/>
      </w:pPr>
      <w:r>
        <w:t>Для устранения задержки жидкости применяют диуретики: на ранних стадиях ХБП можно использовать однократно тиазидовые препараты, на 4–5-й стадиях показаны петлевые диуретики 1–2 раза в сутки. У пациентов с рСКФ &lt;30 мл/мин/1,73 м</w:t>
      </w:r>
      <w:r>
        <w:rPr>
          <w:sz w:val="31"/>
          <w:vertAlign w:val="superscript"/>
        </w:rPr>
        <w:t>2</w:t>
      </w:r>
      <w:r>
        <w:t xml:space="preserve"> могут потребоваться бо</w:t>
      </w:r>
      <w:r>
        <w:t>льшие дозы петлевых диуретиков, а калийсберегающие препараты опасны вследствие гиперкалиемии. Диуретики следует использовать с осторожностью при комбинации с иАПФ/ БРА, так как возможны выраженное снижение внутриклубочкового давления и развитие острого пов</w:t>
      </w:r>
      <w:r>
        <w:t>реждения почек.</w:t>
      </w:r>
    </w:p>
    <w:p w:rsidR="008E3F15" w:rsidRDefault="005F449A">
      <w:pPr>
        <w:spacing w:after="359"/>
        <w:ind w:left="2" w:right="15"/>
      </w:pPr>
      <w:r>
        <w:t>При нефротическом синдроме, несмотря на массивную потерю белка, содержание в пище белка животного происхождения не должно превышать 0,8 г/кг. При снижении концентрации альбумина в крови &lt;2,5 г/л рекомендуют инфузии бессолевого альбумина 1 г</w:t>
      </w:r>
      <w:r>
        <w:t xml:space="preserve">/кг×сут. </w:t>
      </w:r>
      <w:r>
        <w:rPr>
          <w:i/>
        </w:rPr>
        <w:t xml:space="preserve">Анемия. </w:t>
      </w:r>
      <w:r>
        <w:t>Анемия часто наблюдается у больных с почечной недостаточностью, ассоциируется с повышенной смертностью, вызывает ухудшение течения сопутствующих заболеваний (коронарная болезнь, СН) и снижает качество жизни.</w:t>
      </w:r>
    </w:p>
    <w:p w:rsidR="008E3F15" w:rsidRDefault="005F449A">
      <w:pPr>
        <w:pStyle w:val="Heading1"/>
        <w:ind w:left="2"/>
      </w:pPr>
      <w:r>
        <w:t>Часть II. Коморбидные болезни</w:t>
      </w:r>
    </w:p>
    <w:p w:rsidR="008E3F15" w:rsidRDefault="005F449A">
      <w:pPr>
        <w:ind w:left="2" w:right="129"/>
      </w:pPr>
      <w:r>
        <w:t>А</w:t>
      </w:r>
      <w:r>
        <w:t>бсолютный дефицит железа у пациентов с ХБП обычно характеризуется уровнем ферритина &lt;200 нг/мл и насыщения трансферрина &lt;20%.</w:t>
      </w:r>
    </w:p>
    <w:p w:rsidR="008E3F15" w:rsidRDefault="005F449A">
      <w:pPr>
        <w:ind w:left="2" w:right="271"/>
      </w:pPr>
      <w:r>
        <w:t>Препараты железа рекомендуют при уровне гемоглобина &lt;100 г/л, ферритина ≤500 нг/мл и насыщении трансферрина ≤30%, если необходимо повысить уровень гемоглобина, особенно при наличии анемических симптомов, целесообразности снижения трансфузий или дозы эритро</w:t>
      </w:r>
      <w:r>
        <w:t>поэз- стимулирующих препаратов (KDIGO). На додиализной стадии обычно применяют препараты железа внутрь (200 мг/сут элементарного железа) в течение 1–3 мес, а при отсутствии эффекта переходят на внутривенный прием (FIND-CKD).</w:t>
      </w:r>
    </w:p>
    <w:p w:rsidR="008E3F15" w:rsidRDefault="005F449A">
      <w:pPr>
        <w:ind w:left="2" w:right="15"/>
      </w:pPr>
      <w:r>
        <w:t>Выраженная анемия связана со сн</w:t>
      </w:r>
      <w:r>
        <w:t>иженным синтезом почечного эритропоэтина — гормона, обеспечивающего эритропоэз. Эритропоэз-стимулирующие препараты включают рекомбинантный эритропоэтин (эпоэтин альфа, дарбэпоэтин альфа), стимуляторы рецепторов эритропоэтина (метоксиполиэтиленгликоль-эпоэт</w:t>
      </w:r>
      <w:r>
        <w:t>ин бета, пегинесатид</w:t>
      </w:r>
      <w:r>
        <w:rPr>
          <w:rFonts w:ascii="Times New Roman" w:eastAsia="Times New Roman" w:hAnsi="Times New Roman" w:cs="Times New Roman"/>
          <w:sz w:val="31"/>
          <w:vertAlign w:val="superscript"/>
        </w:rPr>
        <w:t>℘</w:t>
      </w:r>
      <w:r>
        <w:t>), ингибиторы пролилгидроксилазы, расщепляющей индуцируемый гипоксией фактор HIF (роксадустат, вададустат</w:t>
      </w:r>
      <w:r>
        <w:rPr>
          <w:rFonts w:ascii="Times New Roman" w:eastAsia="Times New Roman" w:hAnsi="Times New Roman" w:cs="Times New Roman"/>
          <w:sz w:val="31"/>
          <w:vertAlign w:val="superscript"/>
        </w:rPr>
        <w:t>℘</w:t>
      </w:r>
      <w:r>
        <w:t>, дапродустат</w:t>
      </w:r>
      <w:r>
        <w:rPr>
          <w:rFonts w:ascii="Times New Roman" w:eastAsia="Times New Roman" w:hAnsi="Times New Roman" w:cs="Times New Roman"/>
          <w:sz w:val="31"/>
          <w:vertAlign w:val="superscript"/>
        </w:rPr>
        <w:t>℘</w:t>
      </w:r>
      <w:r>
        <w:t>).</w:t>
      </w:r>
    </w:p>
    <w:p w:rsidR="008E3F15" w:rsidRDefault="005F449A">
      <w:pPr>
        <w:ind w:left="2" w:right="15"/>
      </w:pPr>
      <w:r>
        <w:t>При назначении эритропоэз-стимулирующих препаратов нужно тщательно взвесить риск (артериальная гипертензия, гипе</w:t>
      </w:r>
      <w:r>
        <w:t xml:space="preserve">ркалиемия, тромбозы) и пользу (повышение качества жизни, отказ от гемотрансфузий). При инсульте в анамнезе, активном или имевшемся раке, неконтролируемой артериальной гипертензии, выраженной коронарной болезни лечение эритропоэз-стимулирующими препаратами </w:t>
      </w:r>
      <w:r>
        <w:t>не показано.</w:t>
      </w:r>
    </w:p>
    <w:p w:rsidR="008E3F15" w:rsidRDefault="005F449A">
      <w:pPr>
        <w:ind w:left="2" w:right="15"/>
      </w:pPr>
      <w:r>
        <w:t>Лечение эритропоэз-стимулирующими препаратами может быть назначено лишь при неэффективности препаратов железа, уровне гемоглобина ниже 100 г/л. Рекомендуется поддерживать уровень гемоглобина не выше 115 г/л.</w:t>
      </w:r>
    </w:p>
    <w:p w:rsidR="008E3F15" w:rsidRDefault="005F449A">
      <w:pPr>
        <w:ind w:left="2" w:right="15"/>
      </w:pPr>
      <w:r>
        <w:t>На фоне лечения эритропоэз-стимулир</w:t>
      </w:r>
      <w:r>
        <w:t xml:space="preserve">ующими препаратами усиливается дефицит железа сыворотки крови, поэтому для более эффективного лечения терапию эритропоэзстимулирующими препаратами целесообразно сочетать с железосодержащими препаратами. </w:t>
      </w:r>
      <w:r>
        <w:rPr>
          <w:i/>
        </w:rPr>
        <w:t xml:space="preserve">Гиперкалиемия. </w:t>
      </w:r>
      <w:r>
        <w:t>Развитие почечной недостаточности хара</w:t>
      </w:r>
      <w:r>
        <w:t>ктеризуется гиперкалиемией вследствие снижения почечной экскреции калия. Поэтому рекомендуется исключение продуктов, богатых калием (бананы, курага, цитрусовые, изюм, картофель), отменяют калийсберегающие препараты, используют диуретики, циклосиликат цирко</w:t>
      </w:r>
      <w:r>
        <w:t>ния, патиромер. В тех случаях когда гиперкалиемия угрожает полной остановкой сердца (&gt;6,5 ммоль/л), вводят внутривенно в течение 5 мин 10 мл 10% раствора кальция глюконата, или 10 ед инсулина в 60 мл 40% декстрозы, или натрия гидрокарбонат 8,4% 40 мл. Наиб</w:t>
      </w:r>
      <w:r>
        <w:t>олее эффективен для устранения жизнеопасной гиперкалиемии гемодиализ.</w:t>
      </w:r>
    </w:p>
    <w:p w:rsidR="008E3F15" w:rsidRDefault="005F449A">
      <w:pPr>
        <w:ind w:left="2" w:right="15"/>
      </w:pPr>
      <w:r>
        <w:rPr>
          <w:i/>
        </w:rPr>
        <w:t>Гиперпаратиреоз</w:t>
      </w:r>
      <w:r>
        <w:t>. По мере снижения функции почек нарастает нарушение минерального обмена (</w:t>
      </w:r>
      <w:r>
        <w:rPr>
          <w:b/>
        </w:rPr>
        <w:t>рис. 17.4</w:t>
      </w:r>
      <w:r>
        <w:t>). Для снижения продукции паратиреоидного гормона при низкой концентрации витамина D, об</w:t>
      </w:r>
      <w:r>
        <w:t>ычно на 4–5-й стадии ХБП, показан прием колекальциферола или его аналогов.</w:t>
      </w:r>
    </w:p>
    <w:p w:rsidR="008E3F15" w:rsidRDefault="005F449A">
      <w:pPr>
        <w:spacing w:after="65" w:line="259" w:lineRule="auto"/>
        <w:ind w:left="7" w:right="0" w:firstLine="0"/>
      </w:pPr>
      <w:r>
        <w:rPr>
          <w:noProof/>
        </w:rPr>
        <w:drawing>
          <wp:inline distT="0" distB="0" distL="0" distR="0">
            <wp:extent cx="5057775" cy="2990850"/>
            <wp:effectExtent l="0" t="0" r="0" b="0"/>
            <wp:docPr id="20687" name="Picture 20687"/>
            <wp:cNvGraphicFramePr/>
            <a:graphic xmlns:a="http://schemas.openxmlformats.org/drawingml/2006/main">
              <a:graphicData uri="http://schemas.openxmlformats.org/drawingml/2006/picture">
                <pic:pic xmlns:pic="http://schemas.openxmlformats.org/drawingml/2006/picture">
                  <pic:nvPicPr>
                    <pic:cNvPr id="20687" name="Picture 20687"/>
                    <pic:cNvPicPr/>
                  </pic:nvPicPr>
                  <pic:blipFill>
                    <a:blip r:embed="rId175"/>
                    <a:stretch>
                      <a:fillRect/>
                    </a:stretch>
                  </pic:blipFill>
                  <pic:spPr>
                    <a:xfrm>
                      <a:off x="0" y="0"/>
                      <a:ext cx="5057775" cy="2990850"/>
                    </a:xfrm>
                    <a:prstGeom prst="rect">
                      <a:avLst/>
                    </a:prstGeom>
                  </pic:spPr>
                </pic:pic>
              </a:graphicData>
            </a:graphic>
          </wp:inline>
        </w:drawing>
      </w:r>
    </w:p>
    <w:p w:rsidR="008E3F15" w:rsidRDefault="005F449A">
      <w:pPr>
        <w:ind w:left="2" w:right="635"/>
      </w:pPr>
      <w:r>
        <w:rPr>
          <w:b/>
        </w:rPr>
        <w:t xml:space="preserve">Рис. 17.4. </w:t>
      </w:r>
      <w:r>
        <w:t>Распространенность гиперфосфатемии, гипокальциемии и гиперпаратиреоза в зависимости от расчетной скорости клубочковой фильтрации (Levin A. et al., 2007)</w:t>
      </w:r>
    </w:p>
    <w:p w:rsidR="008E3F15" w:rsidRDefault="005F449A">
      <w:pPr>
        <w:ind w:left="2" w:right="15"/>
      </w:pPr>
      <w:r>
        <w:t>Для контроля вт</w:t>
      </w:r>
      <w:r>
        <w:t>оричного гиперпаратиреоза, наряду с витамином D и аналогами, используют кальцимиметики (цинакальцет, этелкальцетид), при необходимости удаляют гиперплазированные паращитовидные железы.</w:t>
      </w:r>
    </w:p>
    <w:p w:rsidR="008E3F15" w:rsidRDefault="005F449A">
      <w:pPr>
        <w:ind w:left="2" w:right="15"/>
      </w:pPr>
      <w:r>
        <w:t>Гипокальциемия стимулирует выработку паратиреоидного гормона, а в случае формирования вторичного гиперпаратиреоза развивается гиперкальциемия.</w:t>
      </w:r>
    </w:p>
    <w:p w:rsidR="008E3F15" w:rsidRDefault="005F449A">
      <w:pPr>
        <w:ind w:left="2" w:right="15"/>
      </w:pPr>
      <w:r>
        <w:rPr>
          <w:i/>
        </w:rPr>
        <w:t>Гиперфосфатемия</w:t>
      </w:r>
      <w:r>
        <w:t>. Гиперфосфатемия, развивающаяся вследствие снижения экскреции фосфора (при рСКФ &lt;30 мл/мин/1,73 м</w:t>
      </w:r>
      <w:r>
        <w:rPr>
          <w:sz w:val="31"/>
          <w:vertAlign w:val="superscript"/>
        </w:rPr>
        <w:t>2</w:t>
      </w:r>
      <w:r>
        <w:t>), повышает выработку фактора роста фибробластов (FGF-23), что приводит к снижению всасывания фосфора и кальция в кишечнике.</w:t>
      </w:r>
    </w:p>
    <w:p w:rsidR="008E3F15" w:rsidRDefault="005F449A">
      <w:pPr>
        <w:ind w:left="2" w:right="15"/>
      </w:pPr>
      <w:r>
        <w:t>При гиперфосфатемии ограничивают продукты, богатые фосфором (рыба, сыр, гречка), что позволяет снизить уровень фосфатов в плазме в</w:t>
      </w:r>
      <w:r>
        <w:t xml:space="preserve"> среднем на 0,28 ммоль/л (St-Jules D. et al., 2021). При отсутствии эффекта используют препараты, связывающие фосфор в кишечнике: комплекс железа (III) оксигидроксида, севеламер, лантанум</w:t>
      </w:r>
      <w:r>
        <w:rPr>
          <w:rFonts w:ascii="Times New Roman" w:eastAsia="Times New Roman" w:hAnsi="Times New Roman" w:cs="Times New Roman"/>
          <w:sz w:val="31"/>
          <w:vertAlign w:val="superscript"/>
        </w:rPr>
        <w:t>℘</w:t>
      </w:r>
      <w:r>
        <w:t>, менее желательны препараты кальция (возможны при гипокальциемии).</w:t>
      </w:r>
    </w:p>
    <w:p w:rsidR="008E3F15" w:rsidRDefault="005F449A">
      <w:pPr>
        <w:ind w:left="2" w:right="266"/>
      </w:pPr>
      <w:r>
        <w:rPr>
          <w:i/>
        </w:rPr>
        <w:t xml:space="preserve">Уремия. </w:t>
      </w:r>
      <w:r>
        <w:t xml:space="preserve">Энтеросорбенты способны в небольшой степени связывать токсические продукты в кишечнике и выводить их из организма. В качестве энтеросорбентов можно использовать повидон, лигнин гидролизный. При использовании энтеросорбентов необходимо помнить, что </w:t>
      </w:r>
      <w:r>
        <w:t>их назначают натощак и через 1,5–2 ч после приема основных лекарственных препаратов.</w:t>
      </w:r>
    </w:p>
    <w:p w:rsidR="008E3F15" w:rsidRDefault="005F449A">
      <w:pPr>
        <w:spacing w:after="38"/>
        <w:ind w:left="2" w:right="15"/>
      </w:pPr>
      <w:r>
        <w:t>Важно следить за регулярностью действия кишечника, при необходимости назначать слабительные средства (лактулоза) или производить очистительные клизмы.</w:t>
      </w:r>
    </w:p>
    <w:p w:rsidR="008E3F15" w:rsidRDefault="005F449A">
      <w:pPr>
        <w:ind w:left="2" w:right="108"/>
      </w:pPr>
      <w:r>
        <w:t>При рСКФ &lt;15 мл/мин/</w:t>
      </w:r>
      <w:r>
        <w:t>1,73 м</w:t>
      </w:r>
      <w:r>
        <w:rPr>
          <w:sz w:val="31"/>
          <w:vertAlign w:val="superscript"/>
        </w:rPr>
        <w:t>2</w:t>
      </w:r>
      <w:r>
        <w:t xml:space="preserve"> требуется ограничение белка до 0,6 г/кг массы тела. Только в случае сочетания ХБП и нефротического синдрома допустимо потребление белка в объеме 0,8 г/кг массы тела.</w:t>
      </w:r>
    </w:p>
    <w:p w:rsidR="008E3F15" w:rsidRDefault="005F449A">
      <w:pPr>
        <w:ind w:left="2" w:right="347"/>
      </w:pPr>
      <w:r>
        <w:t xml:space="preserve">При соблюдении низкобелковой диеты у больных пониженного питания могут возникнуть </w:t>
      </w:r>
      <w:r>
        <w:t>проблемы, связанные с катаболизмом собственных белков. В таких случаях рекомендуются кетоновые аналоги аминокислот, которые в организме ферментативно преобразуются в соответствующие L-аминокислоты, расщепляя при этом мочевину.</w:t>
      </w:r>
    </w:p>
    <w:p w:rsidR="008E3F15" w:rsidRDefault="005F449A">
      <w:pPr>
        <w:ind w:left="2" w:right="15"/>
      </w:pPr>
      <w:r>
        <w:t>Для контроля уремического зуд</w:t>
      </w:r>
      <w:r>
        <w:t>а, который выявляется у 20–40% пациентов на гемодиализе, используют габапентин и прегабалин (Cochrane Reviews). В исследовании KALM-1 показан эффект агониста каппа-опиоидных рецепторов дифеликефалина</w:t>
      </w:r>
      <w:r>
        <w:rPr>
          <w:rFonts w:ascii="Times New Roman" w:eastAsia="Times New Roman" w:hAnsi="Times New Roman" w:cs="Times New Roman"/>
          <w:sz w:val="31"/>
          <w:vertAlign w:val="superscript"/>
        </w:rPr>
        <w:t>℘</w:t>
      </w:r>
      <w:r>
        <w:t>.</w:t>
      </w:r>
    </w:p>
    <w:p w:rsidR="008E3F15" w:rsidRDefault="005F449A">
      <w:pPr>
        <w:spacing w:after="359"/>
        <w:ind w:left="2" w:right="15"/>
      </w:pPr>
      <w:r>
        <w:rPr>
          <w:b/>
        </w:rPr>
        <w:t xml:space="preserve">Заместительная почечная терапия. </w:t>
      </w:r>
      <w:r>
        <w:t>В настоящее время сущ</w:t>
      </w:r>
      <w:r>
        <w:t>ествуют три метода заместительной терапии больных, имеющих терминальную стадию почечной недостаточности: гемодиализ, перитонеальный диализ и трансплантация почки (</w:t>
      </w:r>
      <w:r>
        <w:rPr>
          <w:b/>
        </w:rPr>
        <w:t>рис. 17.5</w:t>
      </w:r>
      <w:r>
        <w:t>).</w:t>
      </w:r>
    </w:p>
    <w:p w:rsidR="008E3F15" w:rsidRDefault="005F449A">
      <w:pPr>
        <w:pStyle w:val="Heading1"/>
        <w:ind w:left="2"/>
      </w:pPr>
      <w:r>
        <w:t>Часть II. Коморбидные болезни</w:t>
      </w:r>
    </w:p>
    <w:p w:rsidR="008E3F15" w:rsidRDefault="005F449A">
      <w:pPr>
        <w:spacing w:after="65" w:line="259" w:lineRule="auto"/>
        <w:ind w:left="7" w:right="0" w:firstLine="0"/>
      </w:pPr>
      <w:r>
        <w:rPr>
          <w:noProof/>
        </w:rPr>
        <w:drawing>
          <wp:inline distT="0" distB="0" distL="0" distR="0">
            <wp:extent cx="5057775" cy="1828800"/>
            <wp:effectExtent l="0" t="0" r="0" b="0"/>
            <wp:docPr id="20756" name="Picture 20756"/>
            <wp:cNvGraphicFramePr/>
            <a:graphic xmlns:a="http://schemas.openxmlformats.org/drawingml/2006/main">
              <a:graphicData uri="http://schemas.openxmlformats.org/drawingml/2006/picture">
                <pic:pic xmlns:pic="http://schemas.openxmlformats.org/drawingml/2006/picture">
                  <pic:nvPicPr>
                    <pic:cNvPr id="20756" name="Picture 20756"/>
                    <pic:cNvPicPr/>
                  </pic:nvPicPr>
                  <pic:blipFill>
                    <a:blip r:embed="rId176"/>
                    <a:stretch>
                      <a:fillRect/>
                    </a:stretch>
                  </pic:blipFill>
                  <pic:spPr>
                    <a:xfrm>
                      <a:off x="0" y="0"/>
                      <a:ext cx="5057775" cy="1828800"/>
                    </a:xfrm>
                    <a:prstGeom prst="rect">
                      <a:avLst/>
                    </a:prstGeom>
                  </pic:spPr>
                </pic:pic>
              </a:graphicData>
            </a:graphic>
          </wp:inline>
        </w:drawing>
      </w:r>
    </w:p>
    <w:p w:rsidR="008E3F15" w:rsidRDefault="005F449A">
      <w:pPr>
        <w:spacing w:after="31"/>
        <w:ind w:left="2" w:right="15"/>
      </w:pPr>
      <w:r>
        <w:rPr>
          <w:b/>
        </w:rPr>
        <w:t xml:space="preserve">Рис. 17.5. </w:t>
      </w:r>
      <w:r>
        <w:t xml:space="preserve">Динамика видов заместительной терапии </w:t>
      </w:r>
      <w:r>
        <w:t>(USRDS, 2022)</w:t>
      </w:r>
    </w:p>
    <w:p w:rsidR="008E3F15" w:rsidRDefault="005F449A">
      <w:pPr>
        <w:ind w:left="2" w:right="15"/>
      </w:pPr>
      <w:r>
        <w:t>Заместительное лечение показано при 5-й стадии ХБП, характеризующейся рСКФ &lt;15 мл/ мин/1,73 м</w:t>
      </w:r>
      <w:r>
        <w:rPr>
          <w:sz w:val="31"/>
          <w:vertAlign w:val="superscript"/>
        </w:rPr>
        <w:t>2</w:t>
      </w:r>
      <w:r>
        <w:t xml:space="preserve"> (K/DOQI; ERA). По-видимому, нецелесообразно начинать диализ ранее, чем рСКФ достигнет уровня 5–10 мл/мин, поскольку прогноз не улучшается, а смертн</w:t>
      </w:r>
      <w:r>
        <w:t>ость может даже вырасти (ERA; CANUSA; IDEAL; Slinin Y. et al., 2015).</w:t>
      </w:r>
    </w:p>
    <w:p w:rsidR="008E3F15" w:rsidRDefault="005F449A">
      <w:pPr>
        <w:ind w:left="2" w:right="98"/>
      </w:pPr>
      <w:r>
        <w:t>В шведском наблюдательном исследовании начало диализа при рСКФ 6–7 мл/мин/1,73 м</w:t>
      </w:r>
      <w:r>
        <w:rPr>
          <w:sz w:val="31"/>
          <w:vertAlign w:val="superscript"/>
        </w:rPr>
        <w:t xml:space="preserve">2 </w:t>
      </w:r>
      <w:r>
        <w:t>по сравнению с 15–16 мл/мин/1,73 м</w:t>
      </w:r>
      <w:r>
        <w:rPr>
          <w:sz w:val="31"/>
          <w:vertAlign w:val="superscript"/>
        </w:rPr>
        <w:t>2</w:t>
      </w:r>
      <w:r>
        <w:t xml:space="preserve"> ассоциировалось с умеренным снижением смертности и сердечно-сосудист</w:t>
      </w:r>
      <w:r>
        <w:t>ого риска на 5 и 3%, однако для большинства пациентов польза нивелировалась необходимостью начинать диализ в среднем на 4 года раньше (Fu E. et al., 2021).</w:t>
      </w:r>
    </w:p>
    <w:p w:rsidR="008E3F15" w:rsidRDefault="005F449A">
      <w:pPr>
        <w:ind w:left="2" w:right="15"/>
      </w:pPr>
      <w:r>
        <w:t>В случаях гиперкалиемии, резистентных отеков, гиперфосфатемии, гипер- или гиповолемии, метаболическо</w:t>
      </w:r>
      <w:r>
        <w:t>го ацидоза, анемии, неврологических нарушений (энцефалопатия, невропатия), потери веса, перикардита, плеврита, гастроинтестинальных симптомов, стойкой артериальной гипертензии заместительную терапию можно начинать при рСКФ &gt;15 мл/ мин/1,73 м</w:t>
      </w:r>
      <w:r>
        <w:rPr>
          <w:sz w:val="31"/>
          <w:vertAlign w:val="superscript"/>
        </w:rPr>
        <w:t>2</w:t>
      </w:r>
      <w:r>
        <w:t>. Нежелательно откладывать лечение до состояния с рСКФ &lt;6 мл/мин/1,73 м</w:t>
      </w:r>
      <w:r>
        <w:rPr>
          <w:sz w:val="31"/>
          <w:vertAlign w:val="superscript"/>
        </w:rPr>
        <w:t>2</w:t>
      </w:r>
      <w:r>
        <w:t xml:space="preserve">. Диализ позволяет снизить смертность почти наполовину у пациентов с выраженной ХБП (Fu R. et al., 2021). Гемодиализ является наиболее распространенным методом заместительной терапии. </w:t>
      </w:r>
      <w:r>
        <w:t>Этот аппаратный метод очищения крови проводится 3 раза в неделю и требует постоянного прикрепления пациента к диализному центру. В настоящее время развиваются методы диализа на дому с помощью портативных устройств и мобильных медицинских бригад.</w:t>
      </w:r>
    </w:p>
    <w:p w:rsidR="008E3F15" w:rsidRDefault="005F449A">
      <w:pPr>
        <w:ind w:left="2" w:right="246"/>
      </w:pPr>
      <w:r>
        <w:t>Подготовка к гемодиализу начинается у пациентов с прогрессирующей ХБП уже на 4-й стадии и проводится специалистом. До начала гемодиализа необходима коррекция анемии, нарушений кальциевого и фосфорного обмена, иммунизация против вирусного гепатита В. Перито</w:t>
      </w:r>
      <w:r>
        <w:t>неальный диализ не требует стационарного лечения и сосудистого доступа, обеспечивает более стабильные показатели системной и почечной гемодинамики, но нередко осложняется перитонитом. Процедура проводится ежедневно несколько раз в сутки.</w:t>
      </w:r>
    </w:p>
    <w:p w:rsidR="008E3F15" w:rsidRDefault="005F449A">
      <w:pPr>
        <w:ind w:left="2" w:right="15"/>
      </w:pPr>
      <w:r>
        <w:t>Для оценки 3-месяч</w:t>
      </w:r>
      <w:r>
        <w:t>ной смертности у пожилых пациентов с терминальной почечной недостаточностью на диализе может быть использована модель REIN.</w:t>
      </w:r>
    </w:p>
    <w:p w:rsidR="008E3F15" w:rsidRDefault="005F449A">
      <w:pPr>
        <w:ind w:left="2" w:right="395"/>
      </w:pPr>
      <w:r>
        <w:t>Трансплантация почки является наиболее эффективным методом заместительной терапии, позволяет добиться полного излечения на период фу</w:t>
      </w:r>
      <w:r>
        <w:t>нкционирования трансплантата и обеспечивает лучшую выживаемость по сравнению с диализом (Chaudhry D. et al., 2022). Вместе с тем трансплантация почки требует оперативного вмешательства, лечения цитостатиками, нередко осложняется инфекциями и достаточно дор</w:t>
      </w:r>
      <w:r>
        <w:t>огая.</w:t>
      </w:r>
    </w:p>
    <w:p w:rsidR="008E3F15" w:rsidRDefault="005F449A">
      <w:pPr>
        <w:spacing w:after="179"/>
        <w:ind w:left="2" w:right="15"/>
      </w:pPr>
      <w:r>
        <w:rPr>
          <w:b/>
        </w:rPr>
        <w:t xml:space="preserve">Тактика ведения. </w:t>
      </w:r>
      <w:r>
        <w:t>В лечении пациентов с ХБП участвуют терапевты, нефрологи, специалисты по заместительной терапии. Терапевт в поликлинике или стационаре проводит скрининг ХБП у пациентов, которые имеют (UKRA):</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19360" behindDoc="0" locked="0" layoutInCell="1" allowOverlap="1">
                <wp:simplePos x="0" y="0"/>
                <wp:positionH relativeFrom="column">
                  <wp:posOffset>214164</wp:posOffset>
                </wp:positionH>
                <wp:positionV relativeFrom="paragraph">
                  <wp:posOffset>34727</wp:posOffset>
                </wp:positionV>
                <wp:extent cx="57150" cy="1276350"/>
                <wp:effectExtent l="0" t="0" r="0" b="0"/>
                <wp:wrapSquare wrapText="bothSides"/>
                <wp:docPr id="316996" name="Group 316996"/>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20806" name="Shape 2080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08" name="Shape 20808"/>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10" name="Shape 20810"/>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12" name="Shape 20812"/>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14" name="Shape 20814"/>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16" name="Shape 20816"/>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18" name="Shape 20818"/>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20" name="Shape 20820"/>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822" name="Shape 20822"/>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16996" style="width:4.5pt;height:100.5pt;position:absolute;mso-position-horizontal-relative:text;mso-position-horizontal:absolute;margin-left:16.8633pt;mso-position-vertical-relative:text;margin-top:2.73438pt;" coordsize="571,12763">
                <v:shape id="Shape 20806" style="position:absolute;width:571;height:571;left:0;top:0;" coordsize="57150,57150" path="m28575,0c32364,0,36009,794,39510,2183c43011,3373,46101,5358,48781,8136c51460,10716,53525,13891,54975,17463c56425,21034,57150,24805,57150,28575c57150,32345,56425,35917,54975,39291c53525,42664,51460,45641,48781,48617c46101,50998,43011,52983,39510,54570c36009,56356,32364,56952,28575,57150c24786,56952,21141,56356,17640,54769c14139,53181,11049,50998,8369,48617c5690,45641,3625,42664,2175,39291c725,35917,0,32345,0,28575c0,24805,725,21034,2175,17463c3625,13891,5690,10716,8369,8136c11049,5358,14139,3373,17640,2183c21141,794,24786,0,28575,0x">
                  <v:stroke weight="0pt" endcap="flat" joinstyle="miter" miterlimit="10" on="false" color="#000000" opacity="0"/>
                  <v:fill on="true" color="#333333"/>
                </v:shape>
                <v:shape id="Shape 20808" style="position:absolute;width:571;height:571;left:0;top:1524;" coordsize="57150,57150" path="m28575,0c32364,0,36009,595,39510,1984c43011,3373,46101,5556,48781,8136c51460,10914,53525,14089,54975,17463c56425,21034,57150,24805,57150,28575c57150,32345,56425,36116,54975,39489c53525,42863,51460,45839,48781,48617c46101,51197,43011,53181,39510,54769c36009,56356,32364,56952,28575,57150c24786,56952,21141,56356,17640,54769c14139,53181,11049,51197,8369,48617c5690,45839,3625,42664,2175,39291c725,35917,0,32345,0,28575c0,24805,725,21034,2175,17463c3625,14089,5690,10914,8369,8136c11049,5556,14139,3373,17640,1984c21141,595,24786,0,28575,0x">
                  <v:stroke weight="0pt" endcap="flat" joinstyle="miter" miterlimit="10" on="false" color="#000000" opacity="0"/>
                  <v:fill on="true" color="#333333"/>
                </v:shape>
                <v:shape id="Shape 20810" style="position:absolute;width:571;height:571;left:0;top:3048;" coordsize="57150,57150" path="m28575,0c32364,0,36009,595,39510,1984c43011,3373,46101,5358,48781,8136c51460,10716,53525,13891,54975,17463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463c3625,13891,5690,10716,8369,8136c11049,5358,14139,3373,17640,1984c21141,595,24786,0,28575,0x">
                  <v:stroke weight="0pt" endcap="flat" joinstyle="miter" miterlimit="10" on="false" color="#000000" opacity="0"/>
                  <v:fill on="true" color="#333333"/>
                </v:shape>
                <v:shape id="Shape 20812" style="position:absolute;width:571;height:571;left:0;top:4572;"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0814" style="position:absolute;width:571;height:571;left:0;top:6096;"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0816" style="position:absolute;width:571;height:571;left:0;top:7620;"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0818" style="position:absolute;width:571;height:571;left:0;top:9144;" coordsize="57150,57150" path="m28575,0c32364,0,36009,794,39510,2183c43011,3373,46101,5556,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556,14139,3373,17640,1984c21141,595,24786,0,28575,0x">
                  <v:stroke weight="0pt" endcap="flat" joinstyle="miter" miterlimit="10" on="false" color="#000000" opacity="0"/>
                  <v:fill on="true" color="#333333"/>
                </v:shape>
                <v:shape id="Shape 20820" style="position:absolute;width:571;height:571;left:0;top:10668;" coordsize="57150,57150" path="m28575,0c32364,0,36009,595,39510,1984c43011,3373,46101,5556,48781,8334c51460,10914,53525,14089,54975,17463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4089,5690,10914,8369,8334c11049,5556,14139,3373,17640,1984c21141,595,24786,0,28575,0x">
                  <v:stroke weight="0pt" endcap="flat" joinstyle="miter" miterlimit="10" on="false" color="#000000" opacity="0"/>
                  <v:fill on="true" color="#333333"/>
                </v:shape>
                <v:shape id="Shape 20822" style="position:absolute;width:571;height:571;left:0;top:12192;" coordsize="57150,57150" path="m28575,0c32364,0,36009,794,39510,2183c43011,3572,46101,5755,48781,8334c51460,10914,53525,14089,54975,17463c56425,21034,57150,24805,57150,28575c57150,32147,56425,35719,54975,39291c53525,42664,51460,45839,48781,48617c46101,51197,43011,53380,39510,54769c36009,56158,32364,56952,28575,57150c24786,56952,21141,56158,17640,54769c14139,53380,11049,51197,8369,48617c5690,45839,3625,42664,2175,39291c725,35719,0,32147,0,28575c0,24805,725,21034,2175,17463c3625,14089,5690,10914,8369,8334c11049,5755,14139,3572,17640,2183c21141,794,24786,0,28575,0x">
                  <v:stroke weight="0pt" endcap="flat" joinstyle="miter" miterlimit="10" on="false" color="#000000" opacity="0"/>
                  <v:fill on="true" color="#333333"/>
                </v:shape>
                <w10:wrap type="square"/>
              </v:group>
            </w:pict>
          </mc:Fallback>
        </mc:AlternateContent>
      </w:r>
      <w:r>
        <w:t>СД;</w:t>
      </w:r>
    </w:p>
    <w:p w:rsidR="008E3F15" w:rsidRDefault="005F449A">
      <w:pPr>
        <w:ind w:left="347" w:right="6428"/>
      </w:pPr>
      <w:r>
        <w:t>артериальную гипертензию; СН;</w:t>
      </w:r>
    </w:p>
    <w:p w:rsidR="008E3F15" w:rsidRDefault="005F449A">
      <w:pPr>
        <w:ind w:left="347" w:right="962"/>
      </w:pPr>
      <w:r>
        <w:t>атерос</w:t>
      </w:r>
      <w:r>
        <w:t>клероз коронарных, церебральных или периферических сосудов; неясную анемию;</w:t>
      </w:r>
    </w:p>
    <w:p w:rsidR="008E3F15" w:rsidRDefault="005F449A">
      <w:pPr>
        <w:spacing w:after="179"/>
        <w:ind w:left="347" w:right="1430"/>
      </w:pPr>
      <w:r>
        <w:t>семейный анамнез ХБП 5-й стадии или наследственного заболевания почек; структурное поражение почек, камни почек, гипертрофию простаты; полисистемное заболевание с вовлечением почек</w:t>
      </w:r>
      <w:r>
        <w:t>; длительный прием нефротоксичных лекарств, например НПВП.</w:t>
      </w:r>
    </w:p>
    <w:p w:rsidR="008E3F15" w:rsidRDefault="005F449A">
      <w:pPr>
        <w:ind w:left="2" w:right="15"/>
      </w:pPr>
      <w:r>
        <w:t xml:space="preserve">Если врач не может оценить рСКФ, то можно ориентироваться на уровень креатинина плазмы (см. «Приложение»). Общий план ведения пациентов с ХБП на разных стадиях представлен в </w:t>
      </w:r>
      <w:r>
        <w:rPr>
          <w:b/>
        </w:rPr>
        <w:t>табл. 17.8</w:t>
      </w:r>
      <w:r>
        <w:t xml:space="preserve"> и </w:t>
      </w:r>
      <w:r>
        <w:rPr>
          <w:b/>
        </w:rPr>
        <w:t>17.9</w:t>
      </w:r>
      <w:r>
        <w:t>.</w:t>
      </w:r>
    </w:p>
    <w:p w:rsidR="008E3F15" w:rsidRDefault="005F449A">
      <w:pPr>
        <w:spacing w:after="31"/>
        <w:ind w:left="2" w:right="15"/>
      </w:pPr>
      <w:r>
        <w:rPr>
          <w:b/>
        </w:rPr>
        <w:t>Табл</w:t>
      </w:r>
      <w:r>
        <w:rPr>
          <w:b/>
        </w:rPr>
        <w:t xml:space="preserve">ица 17.8. </w:t>
      </w:r>
      <w:r>
        <w:t>Диагностические мероприятия при хронической болезни почек (K/DOQI)</w:t>
      </w:r>
    </w:p>
    <w:tbl>
      <w:tblPr>
        <w:tblStyle w:val="TableGrid"/>
        <w:tblW w:w="10485" w:type="dxa"/>
        <w:tblInd w:w="37" w:type="dxa"/>
        <w:tblCellMar>
          <w:top w:w="80" w:type="dxa"/>
          <w:left w:w="42" w:type="dxa"/>
          <w:bottom w:w="0" w:type="dxa"/>
          <w:right w:w="38" w:type="dxa"/>
        </w:tblCellMar>
        <w:tblLook w:val="04A0" w:firstRow="1" w:lastRow="0" w:firstColumn="1" w:lastColumn="0" w:noHBand="0" w:noVBand="1"/>
      </w:tblPr>
      <w:tblGrid>
        <w:gridCol w:w="1545"/>
        <w:gridCol w:w="900"/>
        <w:gridCol w:w="8040"/>
      </w:tblGrid>
      <w:tr w:rsidR="008E3F15">
        <w:trPr>
          <w:trHeight w:val="570"/>
        </w:trPr>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417" w:firstLine="0"/>
            </w:pPr>
            <w:r>
              <w:rPr>
                <w:b/>
              </w:rPr>
              <w:t>Частота в год</w:t>
            </w:r>
          </w:p>
        </w:tc>
        <w:tc>
          <w:tcPr>
            <w:tcW w:w="9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rPr>
                <w:b/>
              </w:rPr>
              <w:t>Стадия</w:t>
            </w:r>
          </w:p>
        </w:tc>
        <w:tc>
          <w:tcPr>
            <w:tcW w:w="80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rPr>
                <w:b/>
              </w:rPr>
              <w:t>Анализы</w:t>
            </w:r>
          </w:p>
        </w:tc>
      </w:tr>
      <w:tr w:rsidR="008E3F15">
        <w:trPr>
          <w:trHeight w:val="330"/>
        </w:trPr>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1–2 раза</w:t>
            </w:r>
          </w:p>
        </w:tc>
        <w:tc>
          <w:tcPr>
            <w:tcW w:w="9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1–2</w:t>
            </w:r>
          </w:p>
        </w:tc>
        <w:tc>
          <w:tcPr>
            <w:tcW w:w="80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АД, рСКФ, липидограмма, микроальбуминурия/протеинурия</w:t>
            </w:r>
          </w:p>
        </w:tc>
      </w:tr>
      <w:tr w:rsidR="008E3F15">
        <w:trPr>
          <w:trHeight w:val="570"/>
        </w:trPr>
        <w:tc>
          <w:tcPr>
            <w:tcW w:w="15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1–3 раза</w:t>
            </w:r>
          </w:p>
        </w:tc>
        <w:tc>
          <w:tcPr>
            <w:tcW w:w="90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3</w:t>
            </w:r>
          </w:p>
        </w:tc>
        <w:tc>
          <w:tcPr>
            <w:tcW w:w="80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right="0" w:firstLine="0"/>
            </w:pPr>
            <w:r>
              <w:t>+ калий, натрий, кальций, фосфор, мочевая кислота, глюкоза плазмы, гемоглобин</w:t>
            </w:r>
          </w:p>
        </w:tc>
      </w:tr>
      <w:tr w:rsidR="008E3F15">
        <w:trPr>
          <w:trHeight w:val="330"/>
        </w:trPr>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3–4+</w:t>
            </w:r>
          </w:p>
        </w:tc>
        <w:tc>
          <w:tcPr>
            <w:tcW w:w="9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w:t>
            </w:r>
          </w:p>
        </w:tc>
        <w:tc>
          <w:tcPr>
            <w:tcW w:w="804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right="0" w:firstLine="0"/>
            </w:pPr>
            <w:r>
              <w:t>+ паратгормон, бикарбонат</w:t>
            </w:r>
          </w:p>
        </w:tc>
      </w:tr>
      <w:tr w:rsidR="008E3F15">
        <w:trPr>
          <w:trHeight w:val="330"/>
        </w:trPr>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4+</w:t>
            </w:r>
          </w:p>
        </w:tc>
        <w:tc>
          <w:tcPr>
            <w:tcW w:w="9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w:t>
            </w:r>
          </w:p>
        </w:tc>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r>
    </w:tbl>
    <w:p w:rsidR="008E3F15" w:rsidRDefault="005F449A">
      <w:pPr>
        <w:spacing w:after="31"/>
        <w:ind w:left="2" w:right="15"/>
      </w:pPr>
      <w:r>
        <w:rPr>
          <w:b/>
        </w:rPr>
        <w:t xml:space="preserve">Таблица 17.9. </w:t>
      </w:r>
      <w:r>
        <w:t>Тактика ведения хронической болезни почек (K/DOQI)</w:t>
      </w:r>
    </w:p>
    <w:tbl>
      <w:tblPr>
        <w:tblStyle w:val="TableGrid"/>
        <w:tblW w:w="10485" w:type="dxa"/>
        <w:tblInd w:w="37" w:type="dxa"/>
        <w:tblCellMar>
          <w:top w:w="80" w:type="dxa"/>
          <w:left w:w="40" w:type="dxa"/>
          <w:bottom w:w="0" w:type="dxa"/>
          <w:right w:w="50" w:type="dxa"/>
        </w:tblCellMar>
        <w:tblLook w:val="04A0" w:firstRow="1" w:lastRow="0" w:firstColumn="1" w:lastColumn="0" w:noHBand="0" w:noVBand="1"/>
      </w:tblPr>
      <w:tblGrid>
        <w:gridCol w:w="915"/>
        <w:gridCol w:w="9570"/>
      </w:tblGrid>
      <w:tr w:rsidR="008E3F15">
        <w:trPr>
          <w:trHeight w:val="330"/>
        </w:trPr>
        <w:tc>
          <w:tcPr>
            <w:tcW w:w="915" w:type="dxa"/>
            <w:tcBorders>
              <w:top w:val="single" w:sz="6" w:space="0" w:color="000000"/>
              <w:left w:val="single" w:sz="6" w:space="0" w:color="000000"/>
              <w:bottom w:val="single" w:sz="6" w:space="0" w:color="000000"/>
              <w:right w:val="nil"/>
            </w:tcBorders>
          </w:tcPr>
          <w:p w:rsidR="008E3F15" w:rsidRDefault="005F449A">
            <w:pPr>
              <w:spacing w:after="0" w:line="259" w:lineRule="auto"/>
              <w:ind w:left="5" w:right="0" w:firstLine="0"/>
              <w:jc w:val="both"/>
            </w:pPr>
            <w:r>
              <w:rPr>
                <w:b/>
                <w:bdr w:val="single" w:sz="12" w:space="0" w:color="000000"/>
              </w:rPr>
              <w:t>Стадия</w:t>
            </w:r>
          </w:p>
        </w:tc>
        <w:tc>
          <w:tcPr>
            <w:tcW w:w="957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rPr>
                <w:b/>
              </w:rPr>
              <w:t>План действий</w:t>
            </w:r>
          </w:p>
        </w:tc>
      </w:tr>
      <w:tr w:rsidR="008E3F15">
        <w:trPr>
          <w:trHeight w:val="570"/>
        </w:trPr>
        <w:tc>
          <w:tcPr>
            <w:tcW w:w="91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1–2</w:t>
            </w:r>
          </w:p>
        </w:tc>
        <w:tc>
          <w:tcPr>
            <w:tcW w:w="9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Коррекция сердечно-сосудистых факторов риска (артериальная гипертензия, дислипидемия, курение, ожирение, гипергликемия, низкая физическая активность)</w:t>
            </w:r>
          </w:p>
        </w:tc>
      </w:tr>
      <w:tr w:rsidR="008E3F15">
        <w:trPr>
          <w:trHeight w:val="570"/>
        </w:trPr>
        <w:tc>
          <w:tcPr>
            <w:tcW w:w="91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3</w:t>
            </w:r>
          </w:p>
        </w:tc>
        <w:tc>
          <w:tcPr>
            <w:tcW w:w="9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рСКФ каждые 3–6 мес, прием иАПФ/БРА, избегать нефротоксичных препаратов, коррекция дозы лекарственных препаратов</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4</w:t>
            </w:r>
          </w:p>
        </w:tc>
        <w:tc>
          <w:tcPr>
            <w:tcW w:w="9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Консультация нефролога, подготовка к диализу или трансплантации</w:t>
            </w:r>
          </w:p>
        </w:tc>
      </w:tr>
      <w:tr w:rsidR="008E3F15">
        <w:trPr>
          <w:trHeight w:val="330"/>
        </w:trPr>
        <w:tc>
          <w:tcPr>
            <w:tcW w:w="9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5</w:t>
            </w:r>
          </w:p>
        </w:tc>
        <w:tc>
          <w:tcPr>
            <w:tcW w:w="95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Диализ или трансплантация</w:t>
            </w:r>
          </w:p>
        </w:tc>
      </w:tr>
    </w:tbl>
    <w:p w:rsidR="008E3F15" w:rsidRDefault="005F449A">
      <w:pPr>
        <w:spacing w:after="359"/>
        <w:ind w:left="2" w:right="343"/>
      </w:pPr>
      <w:r>
        <w:t xml:space="preserve">Общий алгоритм действий врача после оценки рСКФ показан на </w:t>
      </w:r>
      <w:r>
        <w:rPr>
          <w:b/>
        </w:rPr>
        <w:t>рис. 17.6</w:t>
      </w:r>
      <w:r>
        <w:t>. У пациентов с впервые выявленной рСКФ 30–60 мл/мин/ 1,73 м</w:t>
      </w:r>
      <w:r>
        <w:rPr>
          <w:sz w:val="31"/>
          <w:vertAlign w:val="superscript"/>
        </w:rPr>
        <w:t xml:space="preserve">2 </w:t>
      </w:r>
      <w:r>
        <w:t>рекомендуется оценить стабильность снижения функции почек. Повторная оценка проводится через 2–4 нед и далее — через 3– 6 мес.</w:t>
      </w:r>
      <w:r>
        <w:t xml:space="preserve"> У многих пациентов не отмечается быстрого прогрессирования болезни почек.</w:t>
      </w:r>
    </w:p>
    <w:p w:rsidR="008E3F15" w:rsidRDefault="005F449A">
      <w:pPr>
        <w:pStyle w:val="Heading1"/>
        <w:ind w:left="2"/>
      </w:pPr>
      <w:r>
        <w:t>Часть II. Коморбидные болезни</w:t>
      </w:r>
    </w:p>
    <w:p w:rsidR="008E3F15" w:rsidRDefault="005F449A">
      <w:pPr>
        <w:spacing w:after="65" w:line="259" w:lineRule="auto"/>
        <w:ind w:left="7" w:right="0" w:firstLine="0"/>
      </w:pPr>
      <w:r>
        <w:rPr>
          <w:noProof/>
        </w:rPr>
        <w:drawing>
          <wp:inline distT="0" distB="0" distL="0" distR="0">
            <wp:extent cx="5057775" cy="4981575"/>
            <wp:effectExtent l="0" t="0" r="0" b="0"/>
            <wp:docPr id="20909" name="Picture 20909"/>
            <wp:cNvGraphicFramePr/>
            <a:graphic xmlns:a="http://schemas.openxmlformats.org/drawingml/2006/main">
              <a:graphicData uri="http://schemas.openxmlformats.org/drawingml/2006/picture">
                <pic:pic xmlns:pic="http://schemas.openxmlformats.org/drawingml/2006/picture">
                  <pic:nvPicPr>
                    <pic:cNvPr id="20909" name="Picture 20909"/>
                    <pic:cNvPicPr/>
                  </pic:nvPicPr>
                  <pic:blipFill>
                    <a:blip r:embed="rId177"/>
                    <a:stretch>
                      <a:fillRect/>
                    </a:stretch>
                  </pic:blipFill>
                  <pic:spPr>
                    <a:xfrm>
                      <a:off x="0" y="0"/>
                      <a:ext cx="5057775" cy="4981575"/>
                    </a:xfrm>
                    <a:prstGeom prst="rect">
                      <a:avLst/>
                    </a:prstGeom>
                  </pic:spPr>
                </pic:pic>
              </a:graphicData>
            </a:graphic>
          </wp:inline>
        </w:drawing>
      </w:r>
    </w:p>
    <w:p w:rsidR="008E3F15" w:rsidRDefault="005F449A">
      <w:pPr>
        <w:ind w:left="2" w:right="699"/>
      </w:pPr>
      <w:r>
        <w:rPr>
          <w:b/>
        </w:rPr>
        <w:t xml:space="preserve">Рис. 17.6. </w:t>
      </w:r>
      <w:r>
        <w:t>Общая схема ведения пациента с хронической болезнью почек (KDIGO; CSN, с изменениями)</w:t>
      </w:r>
    </w:p>
    <w:p w:rsidR="008E3F15" w:rsidRDefault="005F449A">
      <w:pPr>
        <w:spacing w:after="31"/>
        <w:ind w:left="2" w:right="15"/>
      </w:pPr>
      <w:r>
        <w:t>Консультация нефролога целесообразна в следующих слу</w:t>
      </w:r>
      <w:r>
        <w:t>чаях (KDIGO):</w:t>
      </w:r>
    </w:p>
    <w:p w:rsidR="008E3F15" w:rsidRDefault="005F449A">
      <w:pPr>
        <w:ind w:left="347" w:right="2400"/>
      </w:pPr>
      <w:r>
        <w:rPr>
          <w:rFonts w:ascii="Calibri" w:eastAsia="Calibri" w:hAnsi="Calibri" w:cs="Calibri"/>
          <w:noProof/>
          <w:color w:val="000000"/>
          <w:sz w:val="22"/>
        </w:rPr>
        <mc:AlternateContent>
          <mc:Choice Requires="wpg">
            <w:drawing>
              <wp:anchor distT="0" distB="0" distL="114300" distR="114300" simplePos="0" relativeHeight="251920384" behindDoc="0" locked="0" layoutInCell="1" allowOverlap="1">
                <wp:simplePos x="0" y="0"/>
                <wp:positionH relativeFrom="column">
                  <wp:posOffset>214164</wp:posOffset>
                </wp:positionH>
                <wp:positionV relativeFrom="paragraph">
                  <wp:posOffset>33288</wp:posOffset>
                </wp:positionV>
                <wp:extent cx="57150" cy="1476375"/>
                <wp:effectExtent l="0" t="0" r="0" b="0"/>
                <wp:wrapSquare wrapText="bothSides"/>
                <wp:docPr id="329377" name="Group 329377"/>
                <wp:cNvGraphicFramePr/>
                <a:graphic xmlns:a="http://schemas.openxmlformats.org/drawingml/2006/main">
                  <a:graphicData uri="http://schemas.microsoft.com/office/word/2010/wordprocessingGroup">
                    <wpg:wgp>
                      <wpg:cNvGrpSpPr/>
                      <wpg:grpSpPr>
                        <a:xfrm>
                          <a:off x="0" y="0"/>
                          <a:ext cx="57150" cy="1476375"/>
                          <a:chOff x="0" y="0"/>
                          <a:chExt cx="57150" cy="1476375"/>
                        </a:xfrm>
                      </wpg:grpSpPr>
                      <wps:wsp>
                        <wps:cNvPr id="20943" name="Shape 20943"/>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47" name="Shape 20947"/>
                        <wps:cNvSpPr/>
                        <wps:spPr>
                          <a:xfrm>
                            <a:off x="0" y="200025"/>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51" name="Shape 20951"/>
                        <wps:cNvSpPr/>
                        <wps:spPr>
                          <a:xfrm>
                            <a:off x="0" y="352425"/>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380"/>
                                  <a:pt x="39510" y="54967"/>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863"/>
                                  <a:pt x="2175" y="39489"/>
                                </a:cubicBezTo>
                                <a:cubicBezTo>
                                  <a:pt x="725" y="35917"/>
                                  <a:pt x="0" y="32345"/>
                                  <a:pt x="0" y="28575"/>
                                </a:cubicBezTo>
                                <a:cubicBezTo>
                                  <a:pt x="0" y="24805"/>
                                  <a:pt x="725" y="21034"/>
                                  <a:pt x="2175" y="17661"/>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53" name="Shape 20953"/>
                        <wps:cNvSpPr/>
                        <wps:spPr>
                          <a:xfrm>
                            <a:off x="0" y="504825"/>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55" name="Shape 20955"/>
                        <wps:cNvSpPr/>
                        <wps:spPr>
                          <a:xfrm>
                            <a:off x="0" y="657225"/>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863"/>
                                  <a:pt x="2175" y="39489"/>
                                </a:cubicBezTo>
                                <a:cubicBezTo>
                                  <a:pt x="725" y="35917"/>
                                  <a:pt x="0" y="32345"/>
                                  <a:pt x="0" y="28575"/>
                                </a:cubicBezTo>
                                <a:cubicBezTo>
                                  <a:pt x="0" y="24805"/>
                                  <a:pt x="725" y="21034"/>
                                  <a:pt x="2175" y="17661"/>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57" name="Shape 20957"/>
                        <wps:cNvSpPr/>
                        <wps:spPr>
                          <a:xfrm>
                            <a:off x="0" y="809625"/>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59" name="Shape 20959"/>
                        <wps:cNvSpPr/>
                        <wps:spPr>
                          <a:xfrm>
                            <a:off x="0" y="962025"/>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61" name="Shape 20961"/>
                        <wps:cNvSpPr/>
                        <wps:spPr>
                          <a:xfrm>
                            <a:off x="0" y="1114425"/>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63" name="Shape 20963"/>
                        <wps:cNvSpPr/>
                        <wps:spPr>
                          <a:xfrm>
                            <a:off x="0" y="1266825"/>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0965" name="Shape 20965"/>
                        <wps:cNvSpPr/>
                        <wps:spPr>
                          <a:xfrm>
                            <a:off x="0" y="1419225"/>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9377" style="width:4.5pt;height:116.25pt;position:absolute;mso-position-horizontal-relative:text;mso-position-horizontal:absolute;margin-left:16.8633pt;mso-position-vertical-relative:text;margin-top:2.62111pt;" coordsize="571,14763">
                <v:shape id="Shape 20943" style="position:absolute;width:571;height:571;left:0;top:0;" coordsize="57150,57150" path="m28575,0c32364,0,36009,794,39510,2183c43011,3373,46101,5556,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556,14139,3373,17640,2183c21141,794,24786,0,28575,0x">
                  <v:stroke weight="0pt" endcap="flat" joinstyle="miter" miterlimit="10" on="false" color="#000000" opacity="0"/>
                  <v:fill on="true" color="#333333"/>
                </v:shape>
                <v:shape id="Shape 20947" style="position:absolute;width:571;height:571;left:0;top:2000;" coordsize="57150,57150" path="m28575,0c32364,0,36009,595,39510,1984c43011,3373,46101,5556,48781,8334c51460,10914,53525,14089,54975,17463c56425,20836,57150,24606,57150,28575c57150,32345,56425,35917,54975,39489c53525,42863,51460,46038,48781,48617c46101,51395,43011,53380,39510,54967c36009,56356,32364,56952,28575,57150c24786,56952,21141,56356,17640,54967c14139,53380,11049,51395,8369,48617c5690,46038,3625,42863,2175,39489c725,35917,0,32345,0,28575c0,24606,725,20836,2175,17463c3625,14089,5690,10914,8369,8334c11049,5556,14139,3373,17640,1984c21141,595,24786,0,28575,0x">
                  <v:stroke weight="0pt" endcap="flat" joinstyle="miter" miterlimit="10" on="false" color="#000000" opacity="0"/>
                  <v:fill on="true" color="#333333"/>
                </v:shape>
                <v:shape id="Shape 20951" style="position:absolute;width:571;height:571;left:0;top:3524;" coordsize="57150,57150" path="m28575,0c32364,0,36009,794,39510,2183c43011,3373,46101,5556,48781,8136c51460,10914,53525,14089,54975,17463c56425,21034,57150,24805,57150,28575c57150,32345,56425,35917,54975,39489c53525,42863,51460,45839,48781,48617c46101,51197,43011,53380,39510,54967c36009,56356,32364,56952,28575,57150c24786,56952,21141,56356,17640,54967c14139,53380,11049,51197,8369,48617c5690,45839,3625,42863,2175,39489c725,35917,0,32345,0,28575c0,24805,725,21034,2175,17661c3625,14089,5690,10914,8369,8136c11049,5556,14139,3373,17640,1984c21141,595,24786,0,28575,0x">
                  <v:stroke weight="0pt" endcap="flat" joinstyle="miter" miterlimit="10" on="false" color="#000000" opacity="0"/>
                  <v:fill on="true" color="#333333"/>
                </v:shape>
                <v:shape id="Shape 20953" style="position:absolute;width:571;height:571;left:0;top:5048;" coordsize="57150,57150" path="m28575,0c32364,0,36009,595,39510,1984c43011,3373,46101,5556,48781,8136c51460,10914,53525,14089,54975,17463c56425,20836,57150,24606,57150,28575c57150,32345,56425,35917,54975,39489c53525,42863,51460,46038,48781,48617c46101,51197,43011,53380,39510,54570c36009,56356,32364,56952,28575,57150c24786,56952,21141,56356,17640,54769c14139,53380,11049,51197,8369,48617c5690,46038,3625,42863,2175,39489c725,35917,0,32345,0,28575c0,24606,725,20836,2175,17463c3625,14089,5690,10914,8369,8136c11049,5556,14139,3373,17640,1984c21141,595,24786,0,28575,0x">
                  <v:stroke weight="0pt" endcap="flat" joinstyle="miter" miterlimit="10" on="false" color="#000000" opacity="0"/>
                  <v:fill on="true" color="#333333"/>
                </v:shape>
                <v:shape id="Shape 20955" style="position:absolute;width:571;height:571;left:0;top:6572;" coordsize="57150,57150" path="m28575,0c32364,0,36009,794,39510,2183c43011,3373,46101,5358,48781,8136c51460,10914,53525,14089,54975,17463c56425,21034,57150,24805,57150,28575c57150,32345,56425,35917,54975,39489c53525,42863,51460,45839,48781,48617c46101,51197,43011,53380,39510,54570c36009,56158,32364,56952,28575,57150c24786,56952,21141,56158,17640,54570c14139,53380,11049,51197,8369,48617c5690,45839,3625,42863,2175,39489c725,35917,0,32345,0,28575c0,24805,725,21034,2175,17661c3625,14089,5690,10914,8369,8136c11049,5358,14139,3373,17640,1984c21141,595,24786,0,28575,0x">
                  <v:stroke weight="0pt" endcap="flat" joinstyle="miter" miterlimit="10" on="false" color="#000000" opacity="0"/>
                  <v:fill on="true" color="#333333"/>
                </v:shape>
                <v:shape id="Shape 20957" style="position:absolute;width:571;height:571;left:0;top:8096;" coordsize="57150,57150" path="m28575,0c32364,0,36009,595,39510,1984c43011,3373,46101,5358,48781,8136c51460,10914,53525,14089,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4089,5690,10914,8369,8136c11049,5358,14139,3373,17640,1984c21141,595,24786,0,28575,0x">
                  <v:stroke weight="0pt" endcap="flat" joinstyle="miter" miterlimit="10" on="false" color="#000000" opacity="0"/>
                  <v:fill on="true" color="#333333"/>
                </v:shape>
                <v:shape id="Shape 20959" style="position:absolute;width:571;height:571;left:0;top:9620;" coordsize="57150,57150" path="m28575,0c32364,0,36009,794,39510,2183c43011,3373,46101,5358,48781,8136c51460,10716,53525,13891,54975,17463c56425,21034,57150,24805,57150,28575c57150,32345,56425,35917,54975,39291c53525,42664,51460,45839,48781,48617c46101,51197,43011,53380,39510,54570c36009,56158,32364,56952,28575,57150c24786,56952,21141,56158,17640,54570c14139,53380,11049,51197,8369,48617c5690,45839,3625,42664,2175,39291c725,35917,0,32345,0,28575c0,24805,725,21034,2175,17661c3625,13891,5690,10716,8369,8136c11049,5358,14139,3373,17640,1984c21141,595,24786,0,28575,0x">
                  <v:stroke weight="0pt" endcap="flat" joinstyle="miter" miterlimit="10" on="false" color="#000000" opacity="0"/>
                  <v:fill on="true" color="#333333"/>
                </v:shape>
                <v:shape id="Shape 20961" style="position:absolute;width:571;height:571;left:0;top:11144;" coordsize="57150,57150" path="m28575,0c32364,0,36009,794,39510,2183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2183c21141,794,24786,0,28575,0x">
                  <v:stroke weight="0pt" endcap="flat" joinstyle="miter" miterlimit="10" on="false" color="#000000" opacity="0"/>
                  <v:fill on="true" color="#333333"/>
                </v:shape>
                <v:shape id="Shape 20963" style="position:absolute;width:571;height:571;left:0;top:12668;" coordsize="57150,57150" path="m28575,0c32364,0,36009,794,39510,2183c43011,3373,46101,5556,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556,14139,3373,17640,2183c21141,794,24786,0,28575,0x">
                  <v:stroke weight="0pt" endcap="flat" joinstyle="miter" miterlimit="10" on="false" color="#000000" opacity="0"/>
                  <v:fill on="true" color="#333333"/>
                </v:shape>
                <v:shape id="Shape 20965" style="position:absolute;width:571;height:571;left:0;top:14192;" coordsize="57150,57150" path="m28575,0c32364,0,36009,794,39510,2183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2183c21141,794,24786,0,28575,0x">
                  <v:stroke weight="0pt" endcap="flat" joinstyle="miter" miterlimit="10" on="false" color="#000000" opacity="0"/>
                  <v:fill on="true" color="#333333"/>
                </v:shape>
                <w10:wrap type="square"/>
              </v:group>
            </w:pict>
          </mc:Fallback>
        </mc:AlternateContent>
      </w:r>
      <w:r>
        <w:t>рСКФ &lt;30 мл/мин/1,73 м</w:t>
      </w:r>
      <w:r>
        <w:rPr>
          <w:sz w:val="31"/>
          <w:vertAlign w:val="superscript"/>
        </w:rPr>
        <w:t>2</w:t>
      </w:r>
      <w:r>
        <w:t>; прогрессирующее снижение рСКФ (&gt;5 мл/мин/1,73 м</w:t>
      </w:r>
      <w:r>
        <w:rPr>
          <w:sz w:val="31"/>
          <w:vertAlign w:val="superscript"/>
        </w:rPr>
        <w:t>2</w:t>
      </w:r>
      <w:r>
        <w:t xml:space="preserve"> за 6–12 мес);</w:t>
      </w:r>
    </w:p>
    <w:p w:rsidR="008E3F15" w:rsidRDefault="005F449A">
      <w:pPr>
        <w:ind w:left="347" w:right="408"/>
      </w:pPr>
      <w:r>
        <w:t>острое повреждение почек или быстрое устойчивое снижение рСКФ (&gt;15% за 3 мес); персистирующая протеинурия &gt;0,5 г/сут (альбумин/креатинин ≥30 мг/ммоль); н</w:t>
      </w:r>
      <w:r>
        <w:t>еобъяснимая гломерулярная гематурия (&gt;20 эритроцитов в поле зрения); персистирующие аномалии уровня калия в плазме; выраженная анемия;</w:t>
      </w:r>
    </w:p>
    <w:p w:rsidR="008E3F15" w:rsidRDefault="005F449A">
      <w:pPr>
        <w:spacing w:after="179"/>
        <w:ind w:left="347" w:right="3394"/>
      </w:pPr>
      <w:r>
        <w:t>резистентная артериальная гипертензия; рецидивирующий или выраженный нефролитиаз; врожденные болезни почек.</w:t>
      </w:r>
    </w:p>
    <w:p w:rsidR="008E3F15" w:rsidRDefault="005F449A">
      <w:pPr>
        <w:ind w:left="2" w:right="15"/>
      </w:pPr>
      <w:r>
        <w:t>Нефролог уточ</w:t>
      </w:r>
      <w:r>
        <w:t>няет диагноз и функцию почек, направляет на заместительную почечную терапию (при рСКФ &lt;15 мл/мин/1,73 м</w:t>
      </w:r>
      <w:r>
        <w:rPr>
          <w:sz w:val="31"/>
          <w:vertAlign w:val="superscript"/>
        </w:rPr>
        <w:t>2</w:t>
      </w:r>
      <w:r>
        <w:t>). Своевременное направление пациента к нефрологу</w:t>
      </w:r>
    </w:p>
    <w:p w:rsidR="008E3F15" w:rsidRDefault="005F449A">
      <w:pPr>
        <w:spacing w:after="359"/>
        <w:ind w:left="2" w:right="15"/>
      </w:pPr>
      <w:r>
        <w:t>(на 3-й стадии) позволяет стабилизировать функцию почек, а позднее обращение ассоциируется с повышение</w:t>
      </w:r>
      <w:r>
        <w:t>м смертности (Lonnemann G. et al., 2016; Cochrane Reviews).</w:t>
      </w:r>
    </w:p>
    <w:p w:rsidR="008E3F15" w:rsidRDefault="005F449A">
      <w:pPr>
        <w:pStyle w:val="Heading1"/>
        <w:ind w:left="2"/>
      </w:pPr>
      <w:r>
        <w:t>Часть II. Коморбидные болезни</w:t>
      </w:r>
    </w:p>
    <w:p w:rsidR="008E3F15" w:rsidRDefault="005F449A">
      <w:pPr>
        <w:spacing w:after="31"/>
        <w:ind w:left="2" w:right="15"/>
      </w:pPr>
      <w:r>
        <w:t>Болезни сердца и хроническая болезнь почек</w:t>
      </w:r>
    </w:p>
    <w:p w:rsidR="008E3F15" w:rsidRDefault="005F449A">
      <w:pPr>
        <w:ind w:left="2" w:right="144"/>
      </w:pPr>
      <w:r>
        <w:t>ХБП является большим фактором риска развития атеросклеротических заболеваний и ассоциируется с повышением частоты коронарно</w:t>
      </w:r>
      <w:r>
        <w:t>й болезни, СН, ФП, ЛЭ. При наличии ХБП рекомендуют проводить активную профилактику атеросклеротических заболеваний. Ангиографические исследования показали, что для выраженной дисфункции почек характерно диффузное многососудистое поражение артерий с коронар</w:t>
      </w:r>
      <w:r>
        <w:t xml:space="preserve">ной кальцификацией. </w:t>
      </w:r>
      <w:r>
        <w:rPr>
          <w:b/>
        </w:rPr>
        <w:t xml:space="preserve">Хронические коронарные синдромы. </w:t>
      </w:r>
      <w:r>
        <w:t>При ХБП часто встречается бессимптомная ишемия мио карда, которая ассоциируется с повышением частоты сердечно-сосудистых осложнений и смертности.</w:t>
      </w:r>
    </w:p>
    <w:p w:rsidR="008E3F15" w:rsidRDefault="005F449A">
      <w:pPr>
        <w:ind w:left="2" w:right="15"/>
      </w:pPr>
      <w:r>
        <w:t xml:space="preserve">Диагностика коронарной болезни у пациентов с коморбидной </w:t>
      </w:r>
      <w:r>
        <w:t xml:space="preserve">ХБП затруднена снижением специфичности депрессии </w:t>
      </w:r>
      <w:r>
        <w:rPr>
          <w:i/>
        </w:rPr>
        <w:t>ST</w:t>
      </w:r>
      <w:r>
        <w:t xml:space="preserve"> и физических возможностей при выполнении стресс-тестов. Использование контрастных агентов для рентгеновской и магнитно-резонансной томографии существенно ограничивается нефротоксичностью. Острое поврежден</w:t>
      </w:r>
      <w:r>
        <w:t>ие почек после ангиографии регистрируется в 10–40% случаев, возрастая при более тяжелой исходной дисфункции почек и левого желудочка.</w:t>
      </w:r>
    </w:p>
    <w:p w:rsidR="008E3F15" w:rsidRDefault="005F449A">
      <w:pPr>
        <w:ind w:left="2" w:right="15"/>
      </w:pPr>
      <w:r>
        <w:t>Сложности в оценке эффективности лечения коронарной болезни у пациентов с ХБП связаны во многом с распространенным исключе</w:t>
      </w:r>
      <w:r>
        <w:t>нием последних из более надежных рандомизированных контролируемых исследований.</w:t>
      </w:r>
    </w:p>
    <w:p w:rsidR="008E3F15" w:rsidRDefault="005F449A">
      <w:pPr>
        <w:ind w:left="2" w:right="15"/>
      </w:pPr>
      <w:r>
        <w:t>Лечение СК у пациентов с тяжелой дисфункцией почек проводится, как и при нормальной функции почек, с помощью антиангинальных, противотромботических препаратов и статинов с учетом фармакокинетики и влияния на функции почек.</w:t>
      </w:r>
    </w:p>
    <w:p w:rsidR="008E3F15" w:rsidRDefault="005F449A">
      <w:pPr>
        <w:ind w:left="2" w:right="15"/>
      </w:pPr>
      <w:r>
        <w:t>При ХБП 3–5-й стадий рекомендуетс</w:t>
      </w:r>
      <w:r>
        <w:t>я ограничить дозы аторвастатина до 20 мг/сут, розувастатина до 10 мг/сут, симвастатина до 40 мг/сут, эзетимиба до 10 мг/сут ввиду повышения риска побочных эффектов.</w:t>
      </w:r>
    </w:p>
    <w:p w:rsidR="008E3F15" w:rsidRDefault="005F449A">
      <w:pPr>
        <w:ind w:left="2" w:right="1124"/>
      </w:pPr>
      <w:r>
        <w:t>У пациентов с ХБП 3б–5-й стадий при КШ по сравнению с ЧКВ реже развивались ИМ и требовались</w:t>
      </w:r>
      <w:r>
        <w:t xml:space="preserve"> повторные реваскуляризации. В то же время после КШ в 3 раза увеличился риск постоянного гемодиализа, чем при стентировании.</w:t>
      </w:r>
    </w:p>
    <w:p w:rsidR="008E3F15" w:rsidRDefault="005F449A">
      <w:pPr>
        <w:ind w:left="2" w:right="518"/>
      </w:pPr>
      <w:r>
        <w:t>У пациентов с ХБП эффективность ЧКВ снижается, а риски осложнений возрастают. В исследовании COURAGE анализ подгруппы пациентов с Х</w:t>
      </w:r>
      <w:r>
        <w:t>БП на 3–4-й стадиях не выявил пользы ЧКВ.</w:t>
      </w:r>
    </w:p>
    <w:p w:rsidR="008E3F15" w:rsidRDefault="005F449A">
      <w:pPr>
        <w:ind w:left="2" w:right="15"/>
      </w:pPr>
      <w:r>
        <w:rPr>
          <w:b/>
        </w:rPr>
        <w:t xml:space="preserve">Острые коронарные синдромы. </w:t>
      </w:r>
      <w:r>
        <w:t>ОКС, включающий нестабильную СК и ИМ, нередко сопровождается нарушением функции почек, которое имело место до коронарного события либо появилось вследствие СН или введения контрастных ве</w:t>
      </w:r>
      <w:r>
        <w:t>ществ.</w:t>
      </w:r>
    </w:p>
    <w:p w:rsidR="008E3F15" w:rsidRDefault="005F449A">
      <w:pPr>
        <w:ind w:left="2" w:right="15"/>
      </w:pPr>
      <w:r>
        <w:t>Сниженная функция почек, хроническая или острая, — независимый фактор неблагоприятного прогноза ОКС.</w:t>
      </w:r>
    </w:p>
    <w:p w:rsidR="008E3F15" w:rsidRDefault="005F449A">
      <w:pPr>
        <w:ind w:left="2" w:right="15"/>
      </w:pPr>
      <w:r>
        <w:t xml:space="preserve">ИМ у пациентов с выраженной ХБП реже проявляется болями в грудной клетке, руке и шее, подъемом </w:t>
      </w:r>
      <w:r>
        <w:rPr>
          <w:i/>
        </w:rPr>
        <w:t>ST</w:t>
      </w:r>
      <w:r>
        <w:t xml:space="preserve"> на ЭКГ, чаще одышкой и СН.</w:t>
      </w:r>
    </w:p>
    <w:p w:rsidR="008E3F15" w:rsidRDefault="005F449A">
      <w:pPr>
        <w:ind w:left="2" w:right="15"/>
      </w:pPr>
      <w:r>
        <w:t>Дисфункция почек привод</w:t>
      </w:r>
      <w:r>
        <w:t xml:space="preserve">ит к снижению выведения тропонинов, поэтому диагностическая точность сердечных биомаркеров существенно снижается. В этой связи большее значение придают быстрому повышению с последующим снижением уровня биомаркеров в плазме крови, высокому уровню тропонина </w:t>
      </w:r>
      <w:r>
        <w:t>(например, &gt;100 нг/л).</w:t>
      </w:r>
    </w:p>
    <w:p w:rsidR="008E3F15" w:rsidRDefault="005F449A">
      <w:pPr>
        <w:ind w:left="2" w:right="15"/>
      </w:pPr>
      <w:r>
        <w:t>Современные рекомендации рассматривают ЧКВ и тромболизис в качестве основных методов лечения пациентов с ИМп</w:t>
      </w:r>
      <w:r>
        <w:rPr>
          <w:i/>
        </w:rPr>
        <w:t>ST</w:t>
      </w:r>
      <w:r>
        <w:t xml:space="preserve"> независимо от наличия дисфункции почек. Вместе с тем нет убедительных данных об эффективности тромболизиса и коронарной ре</w:t>
      </w:r>
      <w:r>
        <w:t>васкуляризации при ХБП 3–5-й стадий.</w:t>
      </w:r>
    </w:p>
    <w:p w:rsidR="008E3F15" w:rsidRDefault="005F449A">
      <w:pPr>
        <w:ind w:left="2" w:right="390"/>
      </w:pPr>
      <w:r>
        <w:rPr>
          <w:b/>
        </w:rPr>
        <w:t xml:space="preserve">Сердечная недостаточность. </w:t>
      </w:r>
      <w:r>
        <w:t>Частота СН повышена у пациентов с ХБП. С другой стороны, длительно существующая СН приводит к снижению диуреза, уменьшению рСКФ и нарастанию азотемии. В этом случае по мере достижения состояни</w:t>
      </w:r>
      <w:r>
        <w:t>я компенсации улучшаются и показатели функции почек.</w:t>
      </w:r>
    </w:p>
    <w:p w:rsidR="008E3F15" w:rsidRDefault="005F449A">
      <w:pPr>
        <w:ind w:left="2" w:right="15"/>
      </w:pPr>
      <w:r>
        <w:t>Существует обратная зависимость между уровнем натрийуретических пептидов и функцией почек. Вместе с тем связь NT-proBNP и смертности сохраняется в широком диапазоне рСКФ</w:t>
      </w:r>
    </w:p>
    <w:p w:rsidR="008E3F15" w:rsidRDefault="005F449A">
      <w:pPr>
        <w:ind w:left="2" w:right="15"/>
      </w:pPr>
      <w:r>
        <w:t>(Ozkan B. et al., 2023). иАПФ и БРА используются для лечения СНнФВ и замедляют прогрессирование ХБП. Вместе с тем эти препараты и аМКР могут увеличить уровень калиемии, и требуется регулярный мониторинг показателя.</w:t>
      </w:r>
    </w:p>
    <w:p w:rsidR="008E3F15" w:rsidRDefault="005F449A">
      <w:pPr>
        <w:spacing w:after="359"/>
        <w:ind w:left="2" w:right="15"/>
      </w:pPr>
      <w:r>
        <w:t>Петлевые диуретики (фуросемид, торасемид)</w:t>
      </w:r>
      <w:r>
        <w:t xml:space="preserve"> мало влияют на функцию почек. Для лечения резистентных отеков часто требуется назначение больших доз диуретиков с негативным воздействием на почечные канальцы. Не следует забывать, что избыточный диурез может вызвать гиповолемию со снижением перфузии поче</w:t>
      </w:r>
      <w:r>
        <w:t>к и нарастанием азотемии.</w:t>
      </w:r>
    </w:p>
    <w:p w:rsidR="008E3F15" w:rsidRDefault="005F449A">
      <w:pPr>
        <w:pStyle w:val="Heading1"/>
        <w:ind w:left="2"/>
      </w:pPr>
      <w:r>
        <w:t>Часть II. Коморбидные болезни</w:t>
      </w:r>
    </w:p>
    <w:p w:rsidR="008E3F15" w:rsidRDefault="005F449A">
      <w:pPr>
        <w:spacing w:after="31"/>
        <w:ind w:left="2" w:right="15"/>
      </w:pPr>
      <w:r>
        <w:t>Глава 18. Психические расстройства</w:t>
      </w:r>
    </w:p>
    <w:p w:rsidR="008E3F15" w:rsidRDefault="005F449A">
      <w:pPr>
        <w:ind w:left="2" w:right="338"/>
      </w:pPr>
      <w:r>
        <w:t>В крупнейших популяционных исследованиях ECNP/EBC и NCS-R психические расстройства выявлены у 26–38% населения, включая тревожные расстройства в 14–18%, расстройства</w:t>
      </w:r>
      <w:r>
        <w:t xml:space="preserve"> настроения в 8–10% (</w:t>
      </w:r>
      <w:r>
        <w:rPr>
          <w:b/>
        </w:rPr>
        <w:t>рис. 18.1</w:t>
      </w:r>
      <w:r>
        <w:t>). Исследования пациентов врачей общей практики и соматических госпиталей выявили повышение в 1,5–2 раза частоты депрессивных, тревожных, стрессовых и соматоформных расстройств (PREDICT, MAS, DASMAP). У женщин депрессивные и т</w:t>
      </w:r>
      <w:r>
        <w:t>ревожные расстройства наблюдаются в 2–3 раза чаще, чем у мужчин.</w:t>
      </w:r>
    </w:p>
    <w:p w:rsidR="008E3F15" w:rsidRDefault="005F449A">
      <w:pPr>
        <w:spacing w:after="65" w:line="259" w:lineRule="auto"/>
        <w:ind w:left="7" w:right="0" w:firstLine="0"/>
      </w:pPr>
      <w:r>
        <w:rPr>
          <w:noProof/>
        </w:rPr>
        <w:drawing>
          <wp:inline distT="0" distB="0" distL="0" distR="0">
            <wp:extent cx="5057775" cy="3514725"/>
            <wp:effectExtent l="0" t="0" r="0" b="0"/>
            <wp:docPr id="21064" name="Picture 21064"/>
            <wp:cNvGraphicFramePr/>
            <a:graphic xmlns:a="http://schemas.openxmlformats.org/drawingml/2006/main">
              <a:graphicData uri="http://schemas.openxmlformats.org/drawingml/2006/picture">
                <pic:pic xmlns:pic="http://schemas.openxmlformats.org/drawingml/2006/picture">
                  <pic:nvPicPr>
                    <pic:cNvPr id="21064" name="Picture 21064"/>
                    <pic:cNvPicPr/>
                  </pic:nvPicPr>
                  <pic:blipFill>
                    <a:blip r:embed="rId178"/>
                    <a:stretch>
                      <a:fillRect/>
                    </a:stretch>
                  </pic:blipFill>
                  <pic:spPr>
                    <a:xfrm>
                      <a:off x="0" y="0"/>
                      <a:ext cx="5057775" cy="3514725"/>
                    </a:xfrm>
                    <a:prstGeom prst="rect">
                      <a:avLst/>
                    </a:prstGeom>
                  </pic:spPr>
                </pic:pic>
              </a:graphicData>
            </a:graphic>
          </wp:inline>
        </w:drawing>
      </w:r>
    </w:p>
    <w:p w:rsidR="008E3F15" w:rsidRDefault="005F449A">
      <w:pPr>
        <w:ind w:left="2" w:right="15"/>
      </w:pPr>
      <w:r>
        <w:rPr>
          <w:b/>
        </w:rPr>
        <w:t xml:space="preserve">Рис. 18.1. </w:t>
      </w:r>
      <w:r>
        <w:t>Распространенность психических расстройств (за год) в европейских странах (ECNP/EBC)</w:t>
      </w:r>
    </w:p>
    <w:p w:rsidR="008E3F15" w:rsidRDefault="005F449A">
      <w:pPr>
        <w:spacing w:after="179"/>
        <w:ind w:left="2" w:right="367"/>
      </w:pPr>
      <w:r>
        <w:t>Основу психосоматики составляет концепция взаимосвязи и взаимо влияния психических и физических процессов в организме человека. В современной терапевтической практике психосоматический подход реализуется в рамках биопсихосоциальной модели медицины, предпол</w:t>
      </w:r>
      <w:r>
        <w:t xml:space="preserve">агающей учет биологических, личностно-психологических и социальных факторов в развитии и течении заболеваний, что предполагает комплексную коррекцию состояния с помощью не только лекарственных препаратов, но и психотерапевтических методов, осуществляемую, </w:t>
      </w:r>
      <w:r>
        <w:t>при необходимости, совместно с психиатрами и психотерапевтами. Выделяют разнообразные психосоматические взаимосвязи, включающие:</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1408"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29752" name="Group 329752"/>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1076" name="Shape 2107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079" name="Shape 21079"/>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081" name="Shape 21081"/>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914"/>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084" name="Shape 21084"/>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914"/>
                                  <a:pt x="53525" y="14089"/>
                                  <a:pt x="54975" y="17661"/>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9752" style="width:4.5pt;height:64.5pt;position:absolute;mso-position-horizontal-relative:text;mso-position-horizontal:absolute;margin-left:16.8633pt;mso-position-vertical-relative:text;margin-top:2.73438pt;" coordsize="571,8191">
                <v:shape id="Shape 21076" style="position:absolute;width:571;height:571;left:0;top:0;" coordsize="57150,57150" path="m28575,0c32364,0,36009,794,39510,2183c43011,3373,46101,5556,48781,8334c51460,10914,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914,8369,8334c11049,5556,14139,3373,17640,2183c21141,794,24786,0,28575,0x">
                  <v:stroke weight="0pt" endcap="flat" joinstyle="miter" miterlimit="10" on="false" color="#000000" opacity="0"/>
                  <v:fill on="true" color="#333333"/>
                </v:shape>
                <v:shape id="Shape 21079" style="position:absolute;width:571;height:571;left:0;top:3048;" coordsize="57150,57150" path="m28575,0c32364,0,36009,794,39510,2183c43011,3373,46101,5358,48781,8136c51460,10716,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716,8369,8136c11049,5358,14139,3373,17640,2183c21141,794,24786,0,28575,0x">
                  <v:stroke weight="0pt" endcap="flat" joinstyle="miter" miterlimit="10" on="false" color="#000000" opacity="0"/>
                  <v:fill on="true" color="#333333"/>
                </v:shape>
                <v:shape id="Shape 21081" style="position:absolute;width:571;height:571;left:0;top:4572;" coordsize="57150,57150" path="m28575,0c32364,0,36009,794,39510,2183c43011,3373,46101,5556,48781,8136c51460,10914,53525,14089,54975,17661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661c3625,14089,5690,10914,8369,8136c11049,5556,14139,3373,17640,2183c21141,794,24786,0,28575,0x">
                  <v:stroke weight="0pt" endcap="flat" joinstyle="miter" miterlimit="10" on="false" color="#000000" opacity="0"/>
                  <v:fill on="true" color="#333333"/>
                </v:shape>
                <v:shape id="Shape 21084" style="position:absolute;width:571;height:571;left:0;top:7620;" coordsize="57150,57150" path="m28575,0c32364,0,36009,794,39510,2183c43011,3373,46101,5556,48781,8136c51460,10914,53525,14089,54975,17661c56425,21034,57150,24805,57150,28575c57150,32345,56425,36116,54975,39489c53525,42863,51460,45839,48781,48617c46101,51197,43011,53181,39510,54769c36009,56356,32364,56952,28575,57150c24786,56952,21141,56356,17640,54769c14139,53181,11049,51197,8369,48617c5690,45839,3625,42664,2175,39291c725,35917,0,32345,0,28575c0,24805,725,21034,2175,17661c3625,14089,5690,10914,8369,8136c11049,5556,14139,3373,17640,2183c21141,794,24786,0,28575,0x">
                  <v:stroke weight="0pt" endcap="flat" joinstyle="miter" miterlimit="10" on="false" color="#000000" opacity="0"/>
                  <v:fill on="true" color="#333333"/>
                </v:shape>
                <w10:wrap type="square"/>
              </v:group>
            </w:pict>
          </mc:Fallback>
        </mc:AlternateContent>
      </w:r>
      <w:r>
        <w:t>соматические заболевания, возникающие или обостряющиеся под влиянием психогенных факторов;</w:t>
      </w:r>
    </w:p>
    <w:p w:rsidR="008E3F15" w:rsidRDefault="005F449A">
      <w:pPr>
        <w:ind w:left="347" w:right="835"/>
      </w:pPr>
      <w:r>
        <w:t>психические расстройства, обусловле</w:t>
      </w:r>
      <w:r>
        <w:t>нные соматическими болезнями; психогенные психические расстройства, отражающие реакцию личности на соматическое заболевание; психические нарушения, реализующиеся в форме соматизированных симптомов.</w:t>
      </w:r>
    </w:p>
    <w:p w:rsidR="008E3F15" w:rsidRDefault="005F449A">
      <w:pPr>
        <w:spacing w:after="179"/>
        <w:ind w:left="2" w:right="15"/>
      </w:pPr>
      <w:r>
        <w:t>На основании анализа многочисленных исследований были сфор</w:t>
      </w:r>
      <w:r>
        <w:t>мулированы следующие тезисы психосоматической медицины (Ф.И. Белялов).</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2432"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23332" name="Group 323332"/>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1103" name="Shape 21103"/>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06" name="Shape 21106"/>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3332" style="width:4.5pt;height:28.5pt;position:absolute;mso-position-horizontal-relative:text;mso-position-horizontal:absolute;margin-left:16.8633pt;mso-position-vertical-relative:text;margin-top:2.73438pt;" coordsize="571,3619">
                <v:shape id="Shape 21103" style="position:absolute;width:571;height:571;left:0;top:0;" coordsize="57150,57150" path="m28575,0c32364,0,36009,794,39510,2183c43011,3373,46101,5556,48781,8334c51460,10914,53525,14089,54975,17661c56425,21034,57150,24805,57150,28575c57150,32345,56425,35917,54975,39291c53525,42664,51460,45839,48781,48617c46101,51395,43011,53380,39510,54769c36009,56356,32364,56952,28575,57150c24786,56952,21141,56356,17640,54769c14139,53380,11049,51395,8369,48617c5690,45839,3625,42664,2175,39291c725,35917,0,32345,0,28575c0,24805,725,21034,2175,17661c3625,14089,5690,10914,8369,8334c11049,5556,14139,3373,17640,2183c21141,794,24786,0,28575,0x">
                  <v:stroke weight="0pt" endcap="flat" joinstyle="miter" miterlimit="10" on="false" color="#000000" opacity="0"/>
                  <v:fill on="true" color="#333333"/>
                </v:shape>
                <v:shape id="Shape 21106" style="position:absolute;width:571;height:571;left:0;top:3048;" coordsize="57150,57150" path="m28575,0c32364,0,36009,794,39510,2183c43011,3373,46101,5556,48781,8334c51460,10914,53525,14089,54975,17463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463c3625,14089,5690,10914,8369,8334c11049,5556,14139,3373,17640,2183c21141,794,24786,0,28575,0x">
                  <v:stroke weight="0pt" endcap="flat" joinstyle="miter" miterlimit="10" on="false" color="#000000" opacity="0"/>
                  <v:fill on="true" color="#333333"/>
                </v:shape>
                <w10:wrap type="square"/>
              </v:group>
            </w:pict>
          </mc:Fallback>
        </mc:AlternateContent>
      </w:r>
      <w:r>
        <w:t>У пациентов с соматическими болезнями нередко выявляются коморбидные соматические и психические заболевания.</w:t>
      </w:r>
    </w:p>
    <w:p w:rsidR="008E3F15" w:rsidRDefault="005F449A">
      <w:pPr>
        <w:ind w:left="347" w:right="15"/>
      </w:pPr>
      <w:r>
        <w:t>Двунаправленные психосоматические связи проявляются повышением риска сомати</w:t>
      </w:r>
      <w:r>
        <w:t>ческих заболеваний у пациентов с психическими расстройствами и возрастанием риска психических расстройств при наличии соматических болезней.</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3456"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23333" name="Group 323333"/>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1110" name="Shape 21110"/>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380"/>
                                  <a:pt x="39510" y="54967"/>
                                </a:cubicBezTo>
                                <a:cubicBezTo>
                                  <a:pt x="36009" y="56356"/>
                                  <a:pt x="32364" y="57150"/>
                                  <a:pt x="28575" y="57150"/>
                                </a:cubicBezTo>
                                <a:cubicBezTo>
                                  <a:pt x="24786" y="57150"/>
                                  <a:pt x="21141" y="56356"/>
                                  <a:pt x="17640" y="54967"/>
                                </a:cubicBezTo>
                                <a:cubicBezTo>
                                  <a:pt x="14139" y="53380"/>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13" name="Shape 21113"/>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16" name="Shape 21116"/>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6038"/>
                                  <a:pt x="48781" y="48816"/>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816"/>
                                </a:cubicBezTo>
                                <a:cubicBezTo>
                                  <a:pt x="5690" y="46038"/>
                                  <a:pt x="3625" y="42863"/>
                                  <a:pt x="2175" y="39489"/>
                                </a:cubicBezTo>
                                <a:cubicBezTo>
                                  <a:pt x="725" y="36116"/>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3333" style="width:4.5pt;height:52.5pt;position:absolute;mso-position-horizontal-relative:text;mso-position-horizontal:absolute;margin-left:16.8633pt;mso-position-vertical-relative:text;margin-top:2.73438pt;" coordsize="571,6667">
                <v:shape id="Shape 21110" style="position:absolute;width:571;height:571;left:0;top:0;" coordsize="57150,57150" path="m28575,0c32364,0,36009,595,39510,1984c43011,3373,46101,5556,48781,8334c51460,10914,53525,14089,54975,17463c56425,21034,57150,24805,57150,28575c57150,32345,56425,36116,54975,39489c53525,42863,51460,46038,48781,48816c46101,51395,43011,53380,39510,54967c36009,56356,32364,57150,28575,57150c24786,57150,21141,56356,17640,54967c14139,53380,11049,51395,8369,48816c5690,46038,3625,42863,2175,39489c725,36116,0,32345,0,28575c0,24805,725,21034,2175,17463c3625,14089,5690,10914,8369,8334c11049,5556,14139,3373,17640,1984c21141,595,24786,0,28575,0x">
                  <v:stroke weight="0pt" endcap="flat" joinstyle="miter" miterlimit="10" on="false" color="#000000" opacity="0"/>
                  <v:fill on="true" color="#333333"/>
                </v:shape>
                <v:shape id="Shape 21113" style="position:absolute;width:571;height:571;left:0;top:3048;" coordsize="57150,57150" path="m28575,0c32364,0,36009,595,39510,1984c43011,3373,46101,5556,48781,8334c51460,10914,53525,14089,54975,17463c56425,21034,57150,24805,57150,28575c57150,32345,56425,36116,54975,39489c53525,42863,51460,46038,48781,48816c46101,51395,43011,53380,39510,54967c36009,56356,32364,56952,28575,57150c24786,56952,21141,56356,17640,54967c14139,53380,11049,51395,8369,48816c5690,46038,3625,42863,2175,39489c725,36116,0,32345,0,28575c0,24805,725,21034,2175,17463c3625,14089,5690,10914,8369,8334c11049,5556,14139,3373,17640,1984c21141,595,24786,0,28575,0x">
                  <v:stroke weight="0pt" endcap="flat" joinstyle="miter" miterlimit="10" on="false" color="#000000" opacity="0"/>
                  <v:fill on="true" color="#333333"/>
                </v:shape>
                <v:shape id="Shape 21116" style="position:absolute;width:571;height:571;left:0;top:6096;" coordsize="57150,57150" path="m28575,0c32364,0,36009,595,39510,1984c43011,3373,46101,5556,48781,8334c51460,10914,53525,14089,54975,17463c56425,21034,57150,24805,57150,28575c57150,32345,56425,36116,54975,39489c53525,42863,51460,46038,48781,48816c46101,51395,43011,53380,39510,54967c36009,56356,32364,56952,28575,57150c24786,56952,21141,56356,17640,54967c14139,53380,11049,51395,8369,48816c5690,46038,3625,42863,2175,39489c725,36116,0,32345,0,28575c0,24805,725,21034,2175,17463c3625,14089,5690,10914,8369,8334c11049,5556,14139,3373,17640,1984c21141,595,24786,0,28575,0x">
                  <v:stroke weight="0pt" endcap="flat" joinstyle="miter" miterlimit="10" on="false" color="#000000" opacity="0"/>
                  <v:fill on="true" color="#333333"/>
                </v:shape>
                <w10:wrap type="square"/>
              </v:group>
            </w:pict>
          </mc:Fallback>
        </mc:AlternateContent>
      </w:r>
      <w:r>
        <w:t>Психические расстройства не вызывают органических заболеваний внутренних органов, в то же время последние могут бы</w:t>
      </w:r>
      <w:r>
        <w:t>ть причиной психических расстройств. Психические расстройства и симптомы часто встречаются у пациентов с функциональными симптомами и заболеваниями.</w:t>
      </w:r>
    </w:p>
    <w:p w:rsidR="008E3F15" w:rsidRDefault="005F449A">
      <w:pPr>
        <w:ind w:left="347" w:right="15"/>
      </w:pPr>
      <w:r>
        <w:t>Психические расстройства увеличивают частоту и тяжесть, ухудшают прогноз коморбидных соматических заболеван</w:t>
      </w:r>
      <w:r>
        <w:t>ий, снижают трудоспособность и качество жизни часто в большей степени, чем болезни внутренних органов.</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4480"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23334" name="Group 323334"/>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1120" name="Shape 21120"/>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23" name="Shape 2112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967"/>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3334" style="width:4.5pt;height:28.5pt;position:absolute;mso-position-horizontal-relative:text;mso-position-horizontal:absolute;margin-left:16.8633pt;mso-position-vertical-relative:text;margin-top:2.73438pt;" coordsize="571,3619">
                <v:shape id="Shape 21120" style="position:absolute;width:571;height:571;left:0;top:0;" coordsize="57150,57150" path="m28575,0c32364,0,36009,794,39510,2183c43011,3572,46101,5755,48781,8334c51460,10914,53525,14089,54975,17463c56425,21034,57150,24805,57150,28575c57150,32147,56425,35719,54975,39291c53525,42664,51460,45839,48781,48617c46101,51197,43011,53380,39510,54769c36009,56158,32364,56952,28575,57150c24786,56952,21141,56158,17640,54769c14139,53380,11049,51197,8369,48617c5690,45839,3625,42664,2175,39291c725,35719,0,32147,0,28575c0,24805,725,21034,2175,17463c3625,14089,5690,10914,8369,8334c11049,5755,14139,3572,17640,2183c21141,794,24786,0,28575,0x">
                  <v:stroke weight="0pt" endcap="flat" joinstyle="miter" miterlimit="10" on="false" color="#000000" opacity="0"/>
                  <v:fill on="true" color="#333333"/>
                </v:shape>
                <v:shape id="Shape 21123" style="position:absolute;width:571;height:571;left:0;top:3048;" coordsize="57150,57150" path="m28575,0c32364,0,36009,794,39510,2183c43011,3373,46101,5556,48781,8136c51460,10716,53525,13891,54975,17463c56425,21034,57150,24805,57150,28575c57150,32147,56425,35719,54975,39291c53525,42664,51460,45839,48781,48617c46101,51197,43011,53380,39510,54967c36009,56356,32364,56952,28575,57150c24786,56952,21141,56356,17640,54967c14139,53380,11049,51197,8369,48617c5690,45839,3625,42664,2175,39291c725,35719,0,32147,0,28575c0,24805,725,21034,2175,17463c3625,13891,5690,10716,8369,8136c11049,5556,14139,3373,17640,1984c21141,595,24786,0,28575,0x">
                  <v:stroke weight="0pt" endcap="flat" joinstyle="miter" miterlimit="10" on="false" color="#000000" opacity="0"/>
                  <v:fill on="true" color="#333333"/>
                </v:shape>
                <w10:wrap type="square"/>
              </v:group>
            </w:pict>
          </mc:Fallback>
        </mc:AlternateContent>
      </w:r>
      <w:r>
        <w:t>Психические нарушения ассоциируются с повышением общей и сердечно-сосудистой смертности.</w:t>
      </w:r>
    </w:p>
    <w:p w:rsidR="008E3F15" w:rsidRDefault="005F449A">
      <w:pPr>
        <w:ind w:left="347" w:right="15"/>
      </w:pPr>
      <w:r>
        <w:t>Психические расстройства могут проявляться симптомами, сходными</w:t>
      </w:r>
      <w:r>
        <w:t xml:space="preserve"> с клинической картиной соматических болезней, или существенно влиять на выраженность соматических симптомов.</w:t>
      </w:r>
    </w:p>
    <w:p w:rsidR="008E3F15" w:rsidRDefault="005F449A">
      <w:pPr>
        <w:ind w:left="607" w:right="343"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23335" name="Group 32333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1127" name="Shape 21127"/>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23335" style="width:4.5pt;height:4.5pt;mso-position-horizontal-relative:char;mso-position-vertical-relative:line" coordsize="571,571">
                <v:shape id="Shape 21127" style="position:absolute;width:571;height:571;left:0;top:0;" coordsize="57150,57150" path="m28575,0c32364,0,36009,595,39510,1984c43011,3373,46101,5556,48781,8136c51460,10914,53525,14089,54975,17463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4089,5690,10914,8369,8136c11049,5556,14139,3373,17640,1984c21141,595,24786,0,28575,0x">
                  <v:stroke weight="0pt" endcap="flat" joinstyle="miter" miterlimit="10" on="false" color="#000000" opacity="0"/>
                  <v:fill on="true" color="#333333"/>
                </v:shape>
              </v:group>
            </w:pict>
          </mc:Fallback>
        </mc:AlternateContent>
      </w:r>
      <w:r>
        <w:t xml:space="preserve"> Пациенты с психическими расстройствами чаще посещают врачей-непсихиатров и госпитализируются с соматическими болезнями, увеличивают затраты меди</w:t>
      </w:r>
      <w:r>
        <w:t>цинских ресурсов.</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5504"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23336" name="Group 323336"/>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1131" name="Shape 21131"/>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34" name="Shape 2113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863"/>
                                  <a:pt x="2175" y="39489"/>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36" name="Shape 21136"/>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39" name="Shape 21139"/>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3336" style="width:4.5pt;height:64.5pt;position:absolute;mso-position-horizontal-relative:text;mso-position-horizontal:absolute;margin-left:16.8633pt;mso-position-vertical-relative:text;margin-top:2.73438pt;" coordsize="571,8191">
                <v:shape id="Shape 21131" style="position:absolute;width:571;height:571;left:0;top:0;" coordsize="57150,57150" path="m28575,0c32364,0,36009,794,39510,2183c43011,3373,46101,5556,48781,8136c51460,10716,53525,13891,54975,17463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463c3625,13891,5690,10716,8369,8136c11049,5556,14139,3373,17640,1984c21141,595,24786,0,28575,0x">
                  <v:stroke weight="0pt" endcap="flat" joinstyle="miter" miterlimit="10" on="false" color="#000000" opacity="0"/>
                  <v:fill on="true" color="#333333"/>
                </v:shape>
                <v:shape id="Shape 21134" style="position:absolute;width:571;height:571;left:0;top:3048;" coordsize="57150,57150" path="m28575,0c32364,0,36009,794,39510,2183c43011,3373,46101,5556,48781,8136c51460,10716,53525,13891,54975,17463c56425,20836,57150,24606,57150,28575c57150,32345,56425,35917,54975,39489c53525,42863,51460,45839,48781,48617c46101,51197,43011,53380,39510,54570c36009,56158,32364,56952,28575,57150c24786,56952,21141,56158,17640,54570c14139,53380,11049,51197,8369,48617c5690,45839,3625,42863,2175,39489c725,35917,0,32345,0,28575c0,24606,725,20836,2175,17463c3625,13891,5690,10716,8369,8136c11049,5556,14139,3373,17640,1984c21141,595,24786,0,28575,0x">
                  <v:stroke weight="0pt" endcap="flat" joinstyle="miter" miterlimit="10" on="false" color="#000000" opacity="0"/>
                  <v:fill on="true" color="#333333"/>
                </v:shape>
                <v:shape id="Shape 21136" style="position:absolute;width:571;height:571;left:0;top:4572;" coordsize="57150,57150" path="m28575,0c32364,0,36009,595,39510,1984c43011,3373,46101,5556,48781,8136c51460,10914,53525,14089,54975,17463c56425,20836,57150,24606,57150,28575c57150,32345,56425,35917,54975,39489c53525,42863,51460,46038,48781,48617c46101,51197,43011,53380,39510,54570c36009,56356,32364,56952,28575,57150c24786,56952,21141,56356,17640,54769c14139,53380,11049,51197,8369,48617c5690,46038,3625,42863,2175,39489c725,35917,0,32345,0,28575c0,24606,725,20836,2175,17463c3625,14089,5690,10914,8369,8136c11049,5556,14139,3373,17640,1984c21141,595,24786,0,28575,0x">
                  <v:stroke weight="0pt" endcap="flat" joinstyle="miter" miterlimit="10" on="false" color="#000000" opacity="0"/>
                  <v:fill on="true" color="#333333"/>
                </v:shape>
                <v:shape id="Shape 21139" style="position:absolute;width:571;height:571;left:0;top:7620;" coordsize="57150,57150" path="m28575,0c32364,0,36009,595,39510,1984c43011,3373,46101,5358,48781,8136c51460,10914,53525,14089,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4089,5690,10914,8369,8136c11049,5358,14139,3373,17640,1984c21141,595,24786,0,28575,0x">
                  <v:stroke weight="0pt" endcap="flat" joinstyle="miter" miterlimit="10" on="false" color="#000000" opacity="0"/>
                  <v:fill on="true" color="#333333"/>
                </v:shape>
                <w10:wrap type="square"/>
              </v:group>
            </w:pict>
          </mc:Fallback>
        </mc:AlternateContent>
      </w:r>
      <w:r>
        <w:t>Психические расстройства влияют на удовлетворенность лечением и приверженность пациентов к лечению.</w:t>
      </w:r>
    </w:p>
    <w:p w:rsidR="008E3F15" w:rsidRDefault="005F449A">
      <w:pPr>
        <w:ind w:left="347" w:right="15"/>
      </w:pPr>
      <w:r>
        <w:t>Лечение депрессии может уменьшить частоту соматических событий и госпитализаций. Применение психотропных препаратов требует учета влияния</w:t>
      </w:r>
      <w:r>
        <w:t xml:space="preserve"> на соматические болезни и соматотропное лечение.</w:t>
      </w:r>
    </w:p>
    <w:p w:rsidR="008E3F15" w:rsidRDefault="005F449A">
      <w:pPr>
        <w:spacing w:after="179"/>
        <w:ind w:left="347" w:right="585"/>
      </w:pPr>
      <w:r>
        <w:t>Соматические болезни способны снизить эффективность лечения психических расстройств, а лечение соматического заболевания может существенно повлиять на психическое состояние пациентов и психотропную терапию.</w:t>
      </w:r>
    </w:p>
    <w:p w:rsidR="008E3F15" w:rsidRDefault="005F449A">
      <w:pPr>
        <w:ind w:left="2" w:right="15"/>
      </w:pPr>
      <w:r>
        <w:t>Для практикующих врачей непсихиатрических специальностей важнейшее значение имеют своевременное выявление в первую очередь тревожных и депрессивных расстройств и, при наличии показаний, выбор эффективного и безопасного лечения.</w:t>
      </w:r>
    </w:p>
    <w:p w:rsidR="008E3F15" w:rsidRDefault="005F449A">
      <w:pPr>
        <w:pStyle w:val="Heading2"/>
        <w:spacing w:after="0"/>
        <w:ind w:left="2"/>
      </w:pPr>
      <w:r>
        <w:t>Классификация</w:t>
      </w:r>
    </w:p>
    <w:p w:rsidR="008E3F15" w:rsidRDefault="005F449A">
      <w:pPr>
        <w:ind w:left="2" w:right="15"/>
      </w:pPr>
      <w:r>
        <w:t>В медицинской</w:t>
      </w:r>
      <w:r>
        <w:t xml:space="preserve"> практике вопросы оформления диагноза играют существенную роль. На основании диагноза определяют профильность койки, длительность пребывания пациента в стационаре и нетрудоспособность.</w:t>
      </w:r>
    </w:p>
    <w:p w:rsidR="008E3F15" w:rsidRDefault="005F449A">
      <w:pPr>
        <w:ind w:left="2" w:right="15"/>
      </w:pPr>
      <w:r>
        <w:t>Подготовленный врач-непсихиатр может устанавливать диагноз нетяжелых тр</w:t>
      </w:r>
      <w:r>
        <w:t>евожных, депрессивных и соматоформных расстройств, которые чаще всего являются сопутствующими, и проводить лечение, соответствующее диагнозу.</w:t>
      </w:r>
    </w:p>
    <w:p w:rsidR="008E3F15" w:rsidRDefault="005F449A">
      <w:pPr>
        <w:ind w:left="2" w:right="15"/>
      </w:pPr>
      <w:r>
        <w:t>При необходимости уточнения диагноза и лечения пациента следует направить к психиатру. Ведение психических расстро</w:t>
      </w:r>
      <w:r>
        <w:t>йств у пациентов с соматическими болезнями осуществляет психиатр, имеющий подготовку в области психосоматической медицины.</w:t>
      </w:r>
    </w:p>
    <w:p w:rsidR="008E3F15" w:rsidRDefault="005F449A">
      <w:pPr>
        <w:ind w:left="2" w:right="15"/>
      </w:pPr>
      <w:r>
        <w:t>«Закон о психиатрической помощи и гарантиях прав граждан при ее оказании» не запрещает врачам непсихиатрических специальностей устанавливать диагноз психического расстройства и проводить соответствующее лечение.</w:t>
      </w:r>
    </w:p>
    <w:p w:rsidR="008E3F15" w:rsidRDefault="005F449A">
      <w:pPr>
        <w:spacing w:after="165"/>
        <w:ind w:left="2" w:right="15"/>
      </w:pPr>
      <w:r>
        <w:t>В практике интерниста наибольшее значение им</w:t>
      </w:r>
      <w:r>
        <w:t>еют следующие рубрики МКБ-10.</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26528"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23337" name="Group 32333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1160" name="Shape 21160"/>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62" name="Shape 21162"/>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1164" name="Shape 2116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3337" style="width:4.5pt;height:28.5pt;position:absolute;mso-position-horizontal-relative:text;mso-position-horizontal:absolute;margin-left:16.8633pt;mso-position-vertical-relative:text;margin-top:2.73438pt;" coordsize="571,3619">
                <v:shape id="Shape 21160" style="position:absolute;width:571;height:571;left:0;top:0;" coordsize="57150,57150" path="m28575,0c32364,0,36009,794,39510,2183c43011,3373,46101,5556,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556,14139,3373,17640,1984c21141,595,24786,0,28575,0x">
                  <v:stroke weight="0pt" endcap="flat" joinstyle="miter" miterlimit="10" on="false" color="#000000" opacity="0"/>
                  <v:fill on="true" color="#333333"/>
                </v:shape>
                <v:shape id="Shape 21162" style="position:absolute;width:571;height:571;left:0;top:1524;"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1164" style="position:absolute;width:571;height:571;left:0;top:3048;" coordsize="57150,57150" path="m28575,0c32364,0,36009,794,39510,2183c43011,3373,46101,5556,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556,14139,3373,17640,1984c21141,595,24786,0,28575,0x">
                  <v:stroke weight="0pt" endcap="flat" joinstyle="miter" miterlimit="10" on="false" color="#000000" opacity="0"/>
                  <v:fill on="true" color="#333333"/>
                </v:shape>
                <w10:wrap type="square"/>
              </v:group>
            </w:pict>
          </mc:Fallback>
        </mc:AlternateContent>
      </w:r>
      <w:r>
        <w:t>F04–07. Органические, включая симптоматические, психические расстройства.</w:t>
      </w:r>
    </w:p>
    <w:p w:rsidR="008E3F15" w:rsidRDefault="005F449A">
      <w:pPr>
        <w:spacing w:after="31"/>
        <w:ind w:left="347" w:right="15"/>
      </w:pPr>
      <w:r>
        <w:t>F30–39. Расстройства настроения.</w:t>
      </w:r>
    </w:p>
    <w:p w:rsidR="008E3F15" w:rsidRDefault="005F449A">
      <w:pPr>
        <w:spacing w:after="165"/>
        <w:ind w:left="347" w:right="15"/>
      </w:pPr>
      <w:r>
        <w:t>F40–48. Невротические, связанные со стрессом, и соматоформные расстройства.</w:t>
      </w:r>
    </w:p>
    <w:p w:rsidR="008E3F15" w:rsidRDefault="005F449A">
      <w:pPr>
        <w:spacing w:after="359"/>
        <w:ind w:left="2" w:right="691"/>
      </w:pPr>
      <w:r>
        <w:t>В ряде случаев психическое расстройство мо</w:t>
      </w:r>
      <w:r>
        <w:t>жет быть основным диагнозом в практике интерниста при невозможности своевременной консультации психиатра (</w:t>
      </w:r>
      <w:r>
        <w:rPr>
          <w:b/>
        </w:rPr>
        <w:t>табл. 18.1</w:t>
      </w:r>
      <w:r>
        <w:t>). Например, у женщины имеются приступы сердцебиений и болей в груди, связанных с паническим расстройством, при отсутствии других соматическ</w:t>
      </w:r>
      <w:r>
        <w:t>их заболеваний. Если установить диагноз вегетативной дисфункции или коронарной болезни, что встречается в практике, то в дальнейшем часто проводится неадекватное лечение.</w:t>
      </w:r>
    </w:p>
    <w:p w:rsidR="008E3F15" w:rsidRDefault="005F449A">
      <w:pPr>
        <w:pStyle w:val="Heading1"/>
        <w:ind w:left="2"/>
      </w:pPr>
      <w:r>
        <w:t>Часть II. Коморбидные болезни</w:t>
      </w:r>
    </w:p>
    <w:p w:rsidR="008E3F15" w:rsidRDefault="005F449A">
      <w:pPr>
        <w:spacing w:after="31"/>
        <w:ind w:left="2" w:right="15"/>
      </w:pPr>
      <w:r>
        <w:rPr>
          <w:b/>
        </w:rPr>
        <w:t xml:space="preserve">Таблица 18.1. </w:t>
      </w:r>
      <w:r>
        <w:t>Примеры оформления диагноза</w:t>
      </w:r>
    </w:p>
    <w:tbl>
      <w:tblPr>
        <w:tblStyle w:val="TableGrid"/>
        <w:tblW w:w="10485" w:type="dxa"/>
        <w:tblInd w:w="37" w:type="dxa"/>
        <w:tblCellMar>
          <w:top w:w="80" w:type="dxa"/>
          <w:left w:w="42" w:type="dxa"/>
          <w:bottom w:w="0" w:type="dxa"/>
          <w:right w:w="76" w:type="dxa"/>
        </w:tblCellMar>
        <w:tblLook w:val="04A0" w:firstRow="1" w:lastRow="0" w:firstColumn="1" w:lastColumn="0" w:noHBand="0" w:noVBand="1"/>
      </w:tblPr>
      <w:tblGrid>
        <w:gridCol w:w="9135"/>
        <w:gridCol w:w="1350"/>
      </w:tblGrid>
      <w:tr w:rsidR="008E3F15">
        <w:trPr>
          <w:trHeight w:val="570"/>
        </w:trPr>
        <w:tc>
          <w:tcPr>
            <w:tcW w:w="91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rPr>
                <w:b/>
              </w:rPr>
              <w:t>Диагноз</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81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16" w:lineRule="auto"/>
              <w:ind w:left="3" w:right="0" w:firstLine="0"/>
            </w:pPr>
            <w:r>
              <w:t xml:space="preserve">Инфаркт миокарда с подъемом </w:t>
            </w:r>
            <w:r>
              <w:rPr>
                <w:i/>
              </w:rPr>
              <w:t>ST</w:t>
            </w:r>
            <w:r>
              <w:t xml:space="preserve"> передней стенки левого желудочка (12.05.2023).</w:t>
            </w:r>
          </w:p>
          <w:p w:rsidR="008E3F15" w:rsidRDefault="005F449A">
            <w:pPr>
              <w:spacing w:after="0" w:line="259" w:lineRule="auto"/>
              <w:ind w:left="3" w:right="0" w:firstLine="0"/>
            </w:pPr>
            <w:r>
              <w:t>Пароксизмальная устойчивая желудочковая тахикардия. Тревожная реакция</w:t>
            </w:r>
          </w:p>
        </w:tc>
        <w:tc>
          <w:tcPr>
            <w:tcW w:w="1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41" w:firstLine="0"/>
            </w:pPr>
            <w:r>
              <w:t>I21.0 F43.23</w:t>
            </w:r>
          </w:p>
        </w:tc>
      </w:tr>
      <w:tr w:rsidR="008E3F15">
        <w:trPr>
          <w:trHeight w:val="57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Сахарный диабет 2 типа.</w:t>
            </w:r>
          </w:p>
          <w:p w:rsidR="008E3F15" w:rsidRDefault="005F449A">
            <w:pPr>
              <w:spacing w:after="0" w:line="259" w:lineRule="auto"/>
              <w:ind w:left="3" w:right="0" w:firstLine="0"/>
            </w:pPr>
            <w:r>
              <w:t>Генерализованное тревожное расстройство</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13" w:firstLine="0"/>
            </w:pPr>
            <w:r>
              <w:t>E11.9 F41.1</w:t>
            </w:r>
          </w:p>
        </w:tc>
      </w:tr>
      <w:tr w:rsidR="008E3F15">
        <w:trPr>
          <w:trHeight w:val="57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Гипертоническая болезнь, гипертонический криз с энцефалопатией, обусловленный острым стрессом</w:t>
            </w:r>
          </w:p>
        </w:tc>
        <w:tc>
          <w:tcPr>
            <w:tcW w:w="1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I10</w:t>
            </w:r>
          </w:p>
        </w:tc>
      </w:tr>
      <w:tr w:rsidR="008E3F15">
        <w:trPr>
          <w:trHeight w:val="57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Пролонгированная депрессивная реакция, функциональная диспепсия, постпрандиальный дистресс-синдром</w:t>
            </w:r>
          </w:p>
        </w:tc>
        <w:tc>
          <w:tcPr>
            <w:tcW w:w="13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F43.21</w:t>
            </w:r>
          </w:p>
        </w:tc>
      </w:tr>
      <w:tr w:rsidR="008E3F15">
        <w:trPr>
          <w:trHeight w:val="33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Реакция утраты, кардиалгия</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F43.0</w:t>
            </w:r>
          </w:p>
        </w:tc>
      </w:tr>
      <w:tr w:rsidR="008E3F15">
        <w:trPr>
          <w:trHeight w:val="570"/>
        </w:trPr>
        <w:tc>
          <w:tcPr>
            <w:tcW w:w="9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t>Бронхиальная астма, неконтролируемая.</w:t>
            </w:r>
          </w:p>
          <w:p w:rsidR="008E3F15" w:rsidRDefault="005F449A">
            <w:pPr>
              <w:spacing w:after="0" w:line="259" w:lineRule="auto"/>
              <w:ind w:left="3" w:right="0" w:firstLine="0"/>
              <w:jc w:val="both"/>
            </w:pPr>
            <w:r>
              <w:t>Рекуррентное депрессивное расстройство, депрессивный эпизод легкой степени</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30" w:firstLine="0"/>
            </w:pPr>
            <w:r>
              <w:t>J46 F32.0</w:t>
            </w:r>
          </w:p>
        </w:tc>
      </w:tr>
    </w:tbl>
    <w:p w:rsidR="008E3F15" w:rsidRDefault="005F449A">
      <w:pPr>
        <w:spacing w:after="359"/>
        <w:ind w:left="2" w:right="15"/>
      </w:pPr>
      <w:r>
        <w:t>Если установить диагноз определенного расстройства сложно, то можно ограничиться общими формулировками: тревожное расстройство, депрессивное расстройство или тревога, депрессия.</w:t>
      </w:r>
    </w:p>
    <w:p w:rsidR="008E3F15" w:rsidRDefault="005F449A">
      <w:pPr>
        <w:pStyle w:val="Heading1"/>
        <w:ind w:left="2"/>
      </w:pPr>
      <w:r>
        <w:t>Часть II. Коморбидные болезни</w:t>
      </w:r>
    </w:p>
    <w:p w:rsidR="008E3F15" w:rsidRDefault="005F449A">
      <w:pPr>
        <w:spacing w:after="31"/>
        <w:ind w:left="2" w:right="15"/>
      </w:pPr>
      <w:r>
        <w:t>Диагностика</w:t>
      </w:r>
    </w:p>
    <w:p w:rsidR="008E3F15" w:rsidRDefault="005F449A">
      <w:pPr>
        <w:ind w:left="2" w:right="15"/>
      </w:pPr>
      <w:r>
        <w:t>Врачам поликлиник или стационаров ча</w:t>
      </w:r>
      <w:r>
        <w:t>сто приходится работать с пациентами, страдающими психическими расстройствами. Систематический анализ исследований показал, что у 12–20% госпитальных пациентов встречается депрессивное расстройство, у 8% — тревожное расстройство (5% генерализованное, 3% па</w:t>
      </w:r>
      <w:r>
        <w:t>ническое), а у 15% — делирий (van Niekerk M. et al., 2022).</w:t>
      </w:r>
    </w:p>
    <w:p w:rsidR="008E3F15" w:rsidRDefault="005F449A">
      <w:pPr>
        <w:spacing w:after="31"/>
        <w:ind w:left="2" w:right="15"/>
      </w:pPr>
      <w:r>
        <w:t>Пациенты с психическим расстройством нередко посещают врача-интерниста</w:t>
      </w:r>
    </w:p>
    <w:p w:rsidR="008E3F15" w:rsidRDefault="005F449A">
      <w:pPr>
        <w:ind w:left="2" w:right="15"/>
      </w:pPr>
      <w:r>
        <w:t>с соматизированными симптомами, что приводит к неоправданным диагностическим тестам и неэффективному соматотропному лечению.</w:t>
      </w:r>
    </w:p>
    <w:p w:rsidR="008E3F15" w:rsidRDefault="005F449A">
      <w:pPr>
        <w:spacing w:after="179"/>
        <w:ind w:left="2" w:right="569"/>
      </w:pPr>
      <w:r>
        <w:t>Терапевт в первую очередь должен исключить у пациента соматическое заболевание, включая стертые и атипичные формы, с помощью соответствующего лабораторного и инструментального обследования. Наличие же какого-либо психического расстройства обычно предполага</w:t>
      </w:r>
      <w:r>
        <w:t>ется по следующим косвенным признакам:</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7552" behindDoc="0" locked="0" layoutInCell="1" allowOverlap="1">
                <wp:simplePos x="0" y="0"/>
                <wp:positionH relativeFrom="column">
                  <wp:posOffset>214164</wp:posOffset>
                </wp:positionH>
                <wp:positionV relativeFrom="paragraph">
                  <wp:posOffset>34727</wp:posOffset>
                </wp:positionV>
                <wp:extent cx="57150" cy="971550"/>
                <wp:effectExtent l="0" t="0" r="0" b="0"/>
                <wp:wrapSquare wrapText="bothSides"/>
                <wp:docPr id="321721" name="Group 321721"/>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21243" name="Shape 21243"/>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661"/>
                                </a:cubicBezTo>
                                <a:cubicBezTo>
                                  <a:pt x="56425" y="21034"/>
                                  <a:pt x="57150" y="24805"/>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246" name="Shape 21246"/>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249" name="Shape 21249"/>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1252" name="Shape 21252"/>
                        <wps:cNvSpPr/>
                        <wps:spPr>
                          <a:xfrm>
                            <a:off x="0" y="914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1721" style="width:4.5pt;height:76.5pt;position:absolute;mso-position-horizontal-relative:text;mso-position-horizontal:absolute;margin-left:16.8633pt;mso-position-vertical-relative:text;margin-top:2.73438pt;" coordsize="571,9715">
                <v:shape id="Shape 21243" style="position:absolute;width:571;height:571;left:0;top:0;" coordsize="57150,57150" path="m28575,0c32364,0,36009,794,39510,2183c43011,3373,46101,5358,48781,8136c51460,10716,53525,13891,54975,17661c56425,21034,57150,24805,57150,28575c57150,32345,56425,35917,54975,39291c53525,42664,51460,45641,48781,48617c46101,50998,43011,52983,39510,54570c36009,56356,32364,56952,28575,57150c24786,56952,21141,56356,17640,54769c14139,53181,11049,50998,8369,48617c5690,45641,3625,42664,2175,39291c725,35917,0,32345,0,28575c0,24805,725,21034,2175,17661c3625,13891,5690,10716,8369,8136c11049,5358,14139,3373,17640,2183c21141,794,24786,0,28575,0x">
                  <v:stroke weight="0pt" endcap="flat" joinstyle="miter" miterlimit="4" on="false" color="#000000" opacity="0"/>
                  <v:fill on="true" color="#333333"/>
                </v:shape>
                <v:shape id="Shape 21246" style="position:absolute;width:571;height:571;left:0;top:3048;" coordsize="57150,57150" path="m28575,0c32364,0,36009,794,39510,2183c43011,3373,46101,5358,48781,8136c51460,10716,53525,13891,54975,17463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463c3625,13891,5690,10716,8369,8136c11049,5358,14139,3373,17640,2183c21141,794,24786,0,28575,0x">
                  <v:stroke weight="0pt" endcap="flat" joinstyle="miter" miterlimit="4" on="false" color="#000000" opacity="0"/>
                  <v:fill on="true" color="#333333"/>
                </v:shape>
                <v:shape id="Shape 21249" style="position:absolute;width:571;height:571;left:0;top:6096;" coordsize="57150,57150" path="m28575,0c32364,0,36009,595,39510,1984c43011,3373,46101,5358,48781,8136c51460,10716,53525,13891,54975,17264c56425,20836,57150,24606,57150,28575c57150,32345,56425,35917,54975,39291c53525,42664,51460,45839,48781,48617c46101,51197,43011,53380,39510,54769c36009,56356,32364,56952,28575,57150c24786,56952,21141,56356,17640,54769c14139,53380,11049,51197,8369,48617c5690,45839,3625,42664,2175,39291c725,35917,0,32345,0,28575c0,24606,725,20836,2175,17264c3625,13891,5690,10716,8369,8136c11049,5358,14139,3373,17640,1984c21141,595,24786,0,28575,0x">
                  <v:stroke weight="0pt" endcap="flat" joinstyle="miter" miterlimit="4" on="false" color="#000000" opacity="0"/>
                  <v:fill on="true" color="#333333"/>
                </v:shape>
                <v:shape id="Shape 21252" style="position:absolute;width:571;height:571;left:0;top:9144;"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4" on="false" color="#000000" opacity="0"/>
                  <v:fill on="true" color="#333333"/>
                </v:shape>
                <w10:wrap type="square"/>
              </v:group>
            </w:pict>
          </mc:Fallback>
        </mc:AlternateContent>
      </w:r>
      <w:r>
        <w:t>клиническая картина болезни не похожа на соматические заболевания. Жалобы нередко характеризуются неопределенностью и меняют локализацию;</w:t>
      </w:r>
    </w:p>
    <w:p w:rsidR="008E3F15" w:rsidRDefault="005F449A">
      <w:pPr>
        <w:ind w:left="347" w:right="15"/>
      </w:pPr>
      <w:r>
        <w:t>при тщательном обследовании не выявлена патология внутренних органов или она я</w:t>
      </w:r>
      <w:r>
        <w:t>вно не соответствует выраженности жалоб;</w:t>
      </w:r>
    </w:p>
    <w:p w:rsidR="008E3F15" w:rsidRDefault="005F449A">
      <w:pPr>
        <w:ind w:left="347" w:right="361"/>
      </w:pPr>
      <w:r>
        <w:t>пациент длительно и без особого эффекта лечил «соматические» заболевания, часто у врачей различных специальностей;</w:t>
      </w:r>
    </w:p>
    <w:p w:rsidR="008E3F15" w:rsidRDefault="005F449A">
      <w:pPr>
        <w:spacing w:after="179"/>
        <w:ind w:left="347" w:right="1279"/>
      </w:pPr>
      <w:r>
        <w:t>беспокойное поведение пациента, нерациональные реакции на объяснения и рекомендации.</w:t>
      </w:r>
    </w:p>
    <w:p w:rsidR="008E3F15" w:rsidRDefault="005F449A">
      <w:pPr>
        <w:ind w:left="2" w:right="15"/>
      </w:pPr>
      <w:r>
        <w:t>Диагностика психического расстройства должна включать основные психопатологические признаки, их тип и причины возникновения, а не ограничиваться только исключением соматической болезни.</w:t>
      </w:r>
    </w:p>
    <w:p w:rsidR="008E3F15" w:rsidRDefault="005F449A">
      <w:pPr>
        <w:ind w:left="2" w:right="15"/>
      </w:pPr>
      <w:r>
        <w:t>Выявление психических расстройств, как и соматических, основано на син</w:t>
      </w:r>
      <w:r>
        <w:t>дромальном подходе. Приведем примеры частых ситуаций в практике врача.</w:t>
      </w:r>
    </w:p>
    <w:p w:rsidR="008E3F15" w:rsidRDefault="005F449A">
      <w:pPr>
        <w:ind w:left="2" w:right="15"/>
      </w:pPr>
      <w:r>
        <w:rPr>
          <w:i/>
        </w:rPr>
        <w:t>Вегетативные симптомы</w:t>
      </w:r>
      <w:r>
        <w:t xml:space="preserve"> (сердцебиение, одышка, тошнота, потливость, головокружение) обычно представляют собой проявление тревожного расстройства. В этом случае при активном опросе выявляю</w:t>
      </w:r>
      <w:r>
        <w:t>тся признаки тревоги — ощущение неясного беспокойства, опасения, угрозы. Требуется исключить соматические причины — тахиаритмию, астму, гипогликемию, гипертонический криз, прием β-агонистов или гормонов щитовидной железы.</w:t>
      </w:r>
    </w:p>
    <w:p w:rsidR="008E3F15" w:rsidRDefault="005F449A">
      <w:pPr>
        <w:ind w:left="2" w:right="15"/>
      </w:pPr>
      <w:r>
        <w:t>Для дифференциальной диагностики и</w:t>
      </w:r>
      <w:r>
        <w:t xml:space="preserve"> лечения можно использовать транквилизаторы (например, диазепам 5–10 мг внутрь или внутривенная инфузия — 5 мг на 100 мл изотонического раствора натрия хлорида в течение 2 ч), короткодействующие βадреноблокаторы (пропранолол).</w:t>
      </w:r>
    </w:p>
    <w:p w:rsidR="008E3F15" w:rsidRDefault="005F449A">
      <w:pPr>
        <w:ind w:left="2" w:right="285"/>
      </w:pPr>
      <w:r>
        <w:rPr>
          <w:i/>
        </w:rPr>
        <w:t xml:space="preserve">Многочисленные жалобы </w:t>
      </w:r>
      <w:r>
        <w:t>с требо</w:t>
      </w:r>
      <w:r>
        <w:t xml:space="preserve">ванием обследования, консультации у многих врачей и целителей, активное самолечение характерны для соматизированного расстройства. </w:t>
      </w:r>
      <w:r>
        <w:rPr>
          <w:i/>
        </w:rPr>
        <w:t xml:space="preserve">Убежденность в наличии заболевания </w:t>
      </w:r>
      <w:r>
        <w:t>(«у меня ишемическая болезнь сердца или рак») и опасение его последствий типичны для ипохо</w:t>
      </w:r>
      <w:r>
        <w:t>ндрии. Причудливый характер, абсурдность, неизменяемость жалоб характерны для ипохондрического бреда в рамках шизофрении. После тщательного соматического обследования показана консультация психиатра для уточнения психической патологии и, возможно, назначен</w:t>
      </w:r>
      <w:r>
        <w:t>ие антипсихотиков.</w:t>
      </w:r>
    </w:p>
    <w:p w:rsidR="008E3F15" w:rsidRDefault="005F449A">
      <w:pPr>
        <w:ind w:left="2" w:right="15"/>
      </w:pPr>
      <w:r>
        <w:rPr>
          <w:i/>
        </w:rPr>
        <w:t xml:space="preserve">Острое беспокойство </w:t>
      </w:r>
      <w:r>
        <w:t>с психомоторным возбуждением может быть проявлением делирия при соматической патологии или алкогольных эксцессах, стрессового расстройства, панической атаки.</w:t>
      </w:r>
    </w:p>
    <w:p w:rsidR="008E3F15" w:rsidRDefault="005F449A">
      <w:pPr>
        <w:ind w:left="2" w:right="15"/>
      </w:pPr>
      <w:r>
        <w:rPr>
          <w:i/>
        </w:rPr>
        <w:t xml:space="preserve">Стойкая доминирующая боль </w:t>
      </w:r>
      <w:r>
        <w:t>без адекватного соматического объяснения нередко встречается при депрессии, соматоформном болевом расстройстве.</w:t>
      </w:r>
    </w:p>
    <w:p w:rsidR="008E3F15" w:rsidRDefault="005F449A">
      <w:pPr>
        <w:ind w:left="2" w:right="15"/>
      </w:pPr>
      <w:r>
        <w:rPr>
          <w:i/>
        </w:rPr>
        <w:t>Подавленность</w:t>
      </w:r>
      <w:r>
        <w:t xml:space="preserve"> типична для депрессивных расстройств (депрессивный эпизод, послеродовая депрессия), реакции утраты близкого человека, предменструа</w:t>
      </w:r>
      <w:r>
        <w:t>льного расстройства. Важно исключить и соматические причины — прием глюкокортикоидов, дефицит витамина В</w:t>
      </w:r>
      <w:r>
        <w:rPr>
          <w:sz w:val="31"/>
          <w:vertAlign w:val="subscript"/>
        </w:rPr>
        <w:t>12</w:t>
      </w:r>
      <w:r>
        <w:t>, системную красную волчанку, гипотиреоз.</w:t>
      </w:r>
    </w:p>
    <w:p w:rsidR="008E3F15" w:rsidRDefault="005F449A">
      <w:pPr>
        <w:ind w:left="2" w:right="15"/>
      </w:pPr>
      <w:r>
        <w:rPr>
          <w:b/>
        </w:rPr>
        <w:t xml:space="preserve">Психометрические шкалы. </w:t>
      </w:r>
      <w:r>
        <w:t>Психометрические шкалы применяются в первую очередь в научных исследованиях для униф</w:t>
      </w:r>
      <w:r>
        <w:t>ицированной и количественной оценки симптомов. Кроме того, шкалы и опросники могут помочь выявлению психических расстройств в общемедицинской практике.</w:t>
      </w:r>
    </w:p>
    <w:p w:rsidR="008E3F15" w:rsidRDefault="005F449A">
      <w:pPr>
        <w:ind w:left="2" w:right="666"/>
      </w:pPr>
      <w:r>
        <w:t>С этой целью рекомендуются госпитальная шкала тревоги и депрессии HADS, опросник депрессии PHQ-9(2), опр</w:t>
      </w:r>
      <w:r>
        <w:t>осник генерализованного тревожного расстройства GAD-7(2). Пациенты, которые имеют нарушения по данным психометрических тестов, нуждаются в более тщательном клиническом обследовании.</w:t>
      </w:r>
    </w:p>
    <w:p w:rsidR="008E3F15" w:rsidRDefault="005F449A">
      <w:pPr>
        <w:spacing w:after="344"/>
        <w:ind w:left="2" w:right="15"/>
      </w:pPr>
      <w:r>
        <w:t>Необходимо подчеркнуть, что результаты тестирования не являются клинически</w:t>
      </w:r>
      <w:r>
        <w:t xml:space="preserve">м диагнозом. Они указывают на возможность у пациента того или иного психического расстройства, которое требует уточнения в ходе клинического опроса. Например, в европейском исследовании EHIS у 76% лиц с позитивным тестом PHQ-8 депрессивное расстройство не </w:t>
      </w:r>
      <w:r>
        <w:t>было подтверждено при структурированном опросе (Felix F. et al., 2023).</w:t>
      </w:r>
    </w:p>
    <w:p w:rsidR="008E3F15" w:rsidRDefault="005F449A">
      <w:pPr>
        <w:pStyle w:val="Heading1"/>
        <w:ind w:left="2"/>
      </w:pPr>
      <w:r>
        <w:t>Часть II. Коморбидные болезни</w:t>
      </w:r>
    </w:p>
    <w:p w:rsidR="008E3F15" w:rsidRDefault="005F449A">
      <w:pPr>
        <w:spacing w:after="31"/>
        <w:ind w:left="2" w:right="15"/>
      </w:pPr>
      <w:r>
        <w:t>Лечение</w:t>
      </w:r>
    </w:p>
    <w:p w:rsidR="008E3F15" w:rsidRDefault="005F449A">
      <w:pPr>
        <w:ind w:left="2" w:right="15"/>
      </w:pPr>
      <w:r>
        <w:t>Коррекция нетяжелых тревожных и депрессивных расстройств может и должна проводиться интернистами в условиях соматического стационара или амбулатор</w:t>
      </w:r>
      <w:r>
        <w:t xml:space="preserve">ного учреждения. </w:t>
      </w:r>
      <w:r>
        <w:rPr>
          <w:b/>
        </w:rPr>
        <w:t xml:space="preserve">Психотерапия. </w:t>
      </w:r>
      <w:r>
        <w:t>Главная задача психотерапии заключается в выявлении и коррекции психологического механизма страданий (внутренней проблемы) с помощью критического рассмотрения образа мышления, отношения к различным сторонам жизни и обучения н</w:t>
      </w:r>
      <w:r>
        <w:t xml:space="preserve">овым взглядам и навыкам. В настоящее время чаще всего используют различные варианты рациональной, когнитивной, поведенческой и психодинамической психотерапии. </w:t>
      </w:r>
      <w:r>
        <w:rPr>
          <w:i/>
        </w:rPr>
        <w:t>Рациональная психотерапия</w:t>
      </w:r>
      <w:r>
        <w:t xml:space="preserve"> основывается на применении разъяснения и логического убеждения пациента</w:t>
      </w:r>
      <w:r>
        <w:t>, которому объясняются причины и механизмы развития психического расстройства, возможности и цели проводимой терапии.</w:t>
      </w:r>
    </w:p>
    <w:p w:rsidR="008E3F15" w:rsidRDefault="005F449A">
      <w:pPr>
        <w:ind w:left="2" w:right="15"/>
      </w:pPr>
      <w:r>
        <w:rPr>
          <w:i/>
        </w:rPr>
        <w:t xml:space="preserve">Когнитивная терапия. </w:t>
      </w:r>
      <w:r>
        <w:t xml:space="preserve">Расстройство чувств и поведения человека связывают не с самими событиями, а с неадекватным осмыслением события. Цель </w:t>
      </w:r>
      <w:r>
        <w:t>когнитивной терапии заключается в изменении восприятия, способа оценки себя, окружающих и будущего. Наиболее эффективна когнитивная терапия при депрессивных расстройствах.</w:t>
      </w:r>
    </w:p>
    <w:p w:rsidR="008E3F15" w:rsidRDefault="005F449A">
      <w:pPr>
        <w:ind w:left="2" w:right="15"/>
      </w:pPr>
      <w:r>
        <w:rPr>
          <w:i/>
        </w:rPr>
        <w:t>Поведенческая терапия.</w:t>
      </w:r>
      <w:r>
        <w:t xml:space="preserve"> В поведенческой терапии неадекватное поведение рассматриваетс</w:t>
      </w:r>
      <w:r>
        <w:t>я как усвоенное человеком вследствие положительного или отрицательного подкрепления окружающими факторами. Психотерапевты пытаются сформировать вначале оптимальное поведение с помощью поощрения или наказания, что должно привести к позитивным внутренним изм</w:t>
      </w:r>
      <w:r>
        <w:t>енениям.</w:t>
      </w:r>
    </w:p>
    <w:p w:rsidR="008E3F15" w:rsidRDefault="005F449A">
      <w:pPr>
        <w:ind w:left="2" w:right="109"/>
      </w:pPr>
      <w:r>
        <w:rPr>
          <w:i/>
        </w:rPr>
        <w:t>Когнитивно-поведенческая терапия</w:t>
      </w:r>
      <w:r>
        <w:t xml:space="preserve"> основана на сочетании основных принципов поведенческой и когнитивной терапии. Роль психотерапевта состоит в том, чтобы выявить и скорректировать неоптимальные мысли пациента и соответствующее неадекватное поведение</w:t>
      </w:r>
      <w:r>
        <w:t>, которые существенно влияют на психическое состояние и соматические болезни. Проведение психотерапевтического лечения требует соответствующей подготовки и осуществляется психотерапевтом. Интернисты в своей врачебной практике могут использовать несложные м</w:t>
      </w:r>
      <w:r>
        <w:t>етоды — разъяснение сути соматического заболевания и психологических реакций человека, контроль аномальной реакции на стресс, элементы когнитивной и поведенческой терапии.</w:t>
      </w:r>
    </w:p>
    <w:p w:rsidR="008E3F15" w:rsidRDefault="005F449A">
      <w:pPr>
        <w:ind w:left="2" w:right="15"/>
      </w:pPr>
      <w:r>
        <w:rPr>
          <w:b/>
        </w:rPr>
        <w:t xml:space="preserve">Фармакотерапия. </w:t>
      </w:r>
      <w:r>
        <w:t>Лечение с помощью лекарственных препаратов является основным методом</w:t>
      </w:r>
      <w:r>
        <w:t xml:space="preserve"> лечения, которое применяют врачи-интернисты. При легких формах психических расстройств в случаях неприятия пациентом медикаментозной терапии возможно использование фитопрепаратов с противотревожным (валериана, пустырник, мята перечная, мелисса, лавандовое</w:t>
      </w:r>
      <w:r>
        <w:t xml:space="preserve"> масло) и антидепрессивным эффектом (зверобой продырявленный). </w:t>
      </w:r>
      <w:r>
        <w:rPr>
          <w:i/>
        </w:rPr>
        <w:t xml:space="preserve">Антидепрессанты </w:t>
      </w:r>
      <w:r>
        <w:t>являются наиболее широко применяемыми психотропными препаратами (</w:t>
      </w:r>
      <w:r>
        <w:rPr>
          <w:b/>
        </w:rPr>
        <w:t>табл. 18.2</w:t>
      </w:r>
      <w:r>
        <w:t xml:space="preserve">). Эффективность различных антидепрессантов при депрессивных расстройствах существенно не отличается, </w:t>
      </w:r>
      <w:r>
        <w:t>поэтому выбор во многом определяется переносимостью, наличием соматических заболеваний и стоимостью (APA).</w:t>
      </w:r>
    </w:p>
    <w:p w:rsidR="008E3F15" w:rsidRDefault="005F449A">
      <w:pPr>
        <w:spacing w:after="31"/>
        <w:ind w:left="2" w:right="15"/>
      </w:pPr>
      <w:r>
        <w:rPr>
          <w:b/>
        </w:rPr>
        <w:t xml:space="preserve">Таблица 18.2. </w:t>
      </w:r>
      <w:r>
        <w:t>Классификация и дозы антидепрессантов</w:t>
      </w:r>
    </w:p>
    <w:tbl>
      <w:tblPr>
        <w:tblStyle w:val="TableGrid"/>
        <w:tblW w:w="10485" w:type="dxa"/>
        <w:tblInd w:w="37" w:type="dxa"/>
        <w:tblCellMar>
          <w:top w:w="80" w:type="dxa"/>
          <w:left w:w="39" w:type="dxa"/>
          <w:bottom w:w="0" w:type="dxa"/>
          <w:right w:w="51" w:type="dxa"/>
        </w:tblCellMar>
        <w:tblLook w:val="04A0" w:firstRow="1" w:lastRow="0" w:firstColumn="1" w:lastColumn="0" w:noHBand="0" w:noVBand="1"/>
      </w:tblPr>
      <w:tblGrid>
        <w:gridCol w:w="6885"/>
        <w:gridCol w:w="1725"/>
        <w:gridCol w:w="1875"/>
      </w:tblGrid>
      <w:tr w:rsidR="008E3F15">
        <w:trPr>
          <w:trHeight w:val="570"/>
        </w:trPr>
        <w:tc>
          <w:tcPr>
            <w:tcW w:w="68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rPr>
                <w:b/>
              </w:rPr>
              <w:t>Группа</w:t>
            </w:r>
          </w:p>
        </w:tc>
        <w:tc>
          <w:tcPr>
            <w:tcW w:w="172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12" w:right="0" w:firstLine="0"/>
            </w:pPr>
            <w:r>
              <w:rPr>
                <w:b/>
              </w:rPr>
              <w:t>Препараты</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Суточная доза, мг</w:t>
            </w:r>
          </w:p>
        </w:tc>
      </w:tr>
      <w:tr w:rsidR="008E3F15">
        <w:trPr>
          <w:trHeight w:val="330"/>
        </w:trPr>
        <w:tc>
          <w:tcPr>
            <w:tcW w:w="68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ТЦА и гетероциклические антидепрессанты</w:t>
            </w:r>
          </w:p>
        </w:tc>
        <w:tc>
          <w:tcPr>
            <w:tcW w:w="1725" w:type="dxa"/>
            <w:tcBorders>
              <w:top w:val="single" w:sz="6" w:space="0" w:color="000000"/>
              <w:left w:val="nil"/>
              <w:bottom w:val="single" w:sz="6" w:space="0" w:color="000000"/>
              <w:right w:val="nil"/>
            </w:tcBorders>
          </w:tcPr>
          <w:p w:rsidR="008E3F15" w:rsidRDefault="005F449A">
            <w:pPr>
              <w:spacing w:after="0" w:line="259" w:lineRule="auto"/>
              <w:ind w:left="12" w:right="0" w:firstLine="0"/>
              <w:jc w:val="both"/>
            </w:pPr>
            <w:r>
              <w:rPr>
                <w:bdr w:val="single" w:sz="12" w:space="0" w:color="000000"/>
              </w:rPr>
              <w:t>Амитриптилин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25–150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t>Имипрамин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25–150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12" w:right="0" w:firstLine="0"/>
              <w:jc w:val="both"/>
            </w:pPr>
            <w:r>
              <w:rPr>
                <w:bdr w:val="single" w:sz="12" w:space="0" w:color="000000"/>
              </w:rPr>
              <w:t>Кломипрамин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25–150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Пипофезин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50–200</w:t>
            </w:r>
          </w:p>
        </w:tc>
      </w:tr>
      <w:tr w:rsidR="008E3F15">
        <w:trPr>
          <w:trHeight w:val="330"/>
        </w:trPr>
        <w:tc>
          <w:tcPr>
            <w:tcW w:w="68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СИОЗС</w:t>
            </w:r>
          </w:p>
        </w:tc>
        <w:tc>
          <w:tcPr>
            <w:tcW w:w="17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Сертралин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50–200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t>Пароксетин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12" w:right="0" w:firstLine="0"/>
            </w:pPr>
            <w:r>
              <w:rPr>
                <w:bdr w:val="single" w:sz="12" w:space="0" w:color="000000"/>
              </w:rPr>
              <w:t>Флувоксамин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50–200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Флуоксетин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t>Циталопрам</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725"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12" w:right="0" w:firstLine="0"/>
              <w:jc w:val="both"/>
            </w:pPr>
            <w:r>
              <w:rPr>
                <w:bdr w:val="single" w:sz="12" w:space="0" w:color="000000"/>
              </w:rPr>
              <w:t>Эсциталопрам</w:t>
            </w:r>
          </w:p>
          <w:p w:rsidR="008E3F15" w:rsidRDefault="005F449A">
            <w:pPr>
              <w:spacing w:after="0" w:line="259" w:lineRule="auto"/>
              <w:ind w:left="12" w:right="0" w:firstLine="0"/>
            </w:pPr>
            <w:r>
              <w:rPr>
                <w:bdr w:val="single" w:sz="12" w:space="0" w:color="000000"/>
              </w:rPr>
              <w:t>Венлафаксин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5–20</w:t>
            </w:r>
          </w:p>
        </w:tc>
      </w:tr>
      <w:tr w:rsidR="008E3F15">
        <w:trPr>
          <w:trHeight w:val="330"/>
        </w:trPr>
        <w:tc>
          <w:tcPr>
            <w:tcW w:w="68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1816" w:firstLine="0"/>
            </w:pPr>
            <w:r>
              <w:t>Ингибиторы обратного захвата серотонина и норадреналина</w:t>
            </w:r>
          </w:p>
        </w:tc>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37,5–225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t>Дулоксетин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60–120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nil"/>
              <w:bottom w:val="single" w:sz="6" w:space="0" w:color="000000"/>
              <w:right w:val="nil"/>
            </w:tcBorders>
          </w:tcPr>
          <w:p w:rsidR="008E3F15" w:rsidRDefault="005F449A">
            <w:pPr>
              <w:spacing w:after="0" w:line="259" w:lineRule="auto"/>
              <w:ind w:left="12" w:right="0" w:firstLine="0"/>
              <w:jc w:val="both"/>
            </w:pPr>
            <w:r>
              <w:rPr>
                <w:bdr w:val="single" w:sz="12" w:space="0" w:color="000000"/>
              </w:rPr>
              <w:t>Милнаципран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100–150</w:t>
            </w:r>
          </w:p>
        </w:tc>
      </w:tr>
      <w:tr w:rsidR="008E3F15">
        <w:trPr>
          <w:trHeight w:val="330"/>
        </w:trPr>
        <w:tc>
          <w:tcPr>
            <w:tcW w:w="6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Обратимые ингибиторы моноаминооксидазы</w:t>
            </w:r>
          </w:p>
        </w:tc>
        <w:tc>
          <w:tcPr>
            <w:tcW w:w="1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Пирлиндол</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75–150</w:t>
            </w:r>
          </w:p>
        </w:tc>
      </w:tr>
      <w:tr w:rsidR="008E3F15">
        <w:trPr>
          <w:trHeight w:val="570"/>
        </w:trPr>
        <w:tc>
          <w:tcPr>
            <w:tcW w:w="68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7" w:firstLine="0"/>
            </w:pPr>
            <w:r>
              <w:t>Норадренергические и специфические серотонинергические антидепрессанты</w:t>
            </w:r>
          </w:p>
        </w:tc>
        <w:tc>
          <w:tcPr>
            <w:tcW w:w="17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2" w:right="0" w:firstLine="0"/>
            </w:pPr>
            <w:r>
              <w:t>Миртазапин</w:t>
            </w:r>
          </w:p>
        </w:tc>
        <w:tc>
          <w:tcPr>
            <w:tcW w:w="18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15–45</w:t>
            </w:r>
          </w:p>
        </w:tc>
      </w:tr>
      <w:tr w:rsidR="008E3F15">
        <w:trPr>
          <w:trHeight w:val="330"/>
        </w:trPr>
        <w:tc>
          <w:tcPr>
            <w:tcW w:w="6885"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Препараты других групп</w:t>
            </w:r>
          </w:p>
        </w:tc>
        <w:tc>
          <w:tcPr>
            <w:tcW w:w="17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2" w:right="0" w:firstLine="0"/>
            </w:pPr>
            <w:r>
              <w:t>Агомелатин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25–50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single" w:sz="6" w:space="0" w:color="000000"/>
              <w:bottom w:val="single" w:sz="6" w:space="0" w:color="000000"/>
              <w:right w:val="nil"/>
            </w:tcBorders>
          </w:tcPr>
          <w:p w:rsidR="008E3F15" w:rsidRDefault="005F449A">
            <w:pPr>
              <w:spacing w:after="0" w:line="259" w:lineRule="auto"/>
              <w:ind w:left="12" w:right="0" w:firstLine="0"/>
            </w:pPr>
            <w:r>
              <w:rPr>
                <w:bdr w:val="single" w:sz="12" w:space="0" w:color="000000"/>
              </w:rPr>
              <w:t>Вортиоксетин</w:t>
            </w:r>
          </w:p>
        </w:tc>
        <w:tc>
          <w:tcPr>
            <w:tcW w:w="187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5–20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7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2" w:right="0" w:firstLine="0"/>
            </w:pPr>
            <w:r>
              <w:t>Тразодон</w:t>
            </w:r>
          </w:p>
        </w:tc>
        <w:tc>
          <w:tcPr>
            <w:tcW w:w="18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50–300</w:t>
            </w:r>
          </w:p>
        </w:tc>
      </w:tr>
    </w:tbl>
    <w:p w:rsidR="008E3F15" w:rsidRDefault="005F449A">
      <w:pPr>
        <w:ind w:left="2" w:right="15"/>
      </w:pPr>
      <w:r>
        <w:t>При лечении ТЦА нередко отмечаются сухость во рту, запоры, головокружение, нарушение зрения и тремор. Прием СИОЗС чаще сопровождается гастроинтестинальными жалобами, гипонатриемией и сексуальными дисфункциями.</w:t>
      </w:r>
    </w:p>
    <w:p w:rsidR="008E3F15" w:rsidRDefault="005F449A">
      <w:pPr>
        <w:ind w:left="2" w:right="15"/>
      </w:pPr>
      <w:r>
        <w:t>Препараты из группы антидепрессантов применяются не только при депрессии, но и для лечения тревожных расстройств, навязчивостей, нарушения пищевого поведения, хронической боли.</w:t>
      </w:r>
    </w:p>
    <w:p w:rsidR="008E3F15" w:rsidRDefault="005F449A">
      <w:pPr>
        <w:ind w:left="2" w:right="15"/>
      </w:pPr>
      <w:r>
        <w:t>У большинства антидепрессантов терапевтический эффект нарастает постепенно и ст</w:t>
      </w:r>
      <w:r>
        <w:t>ановится значимым обычно к концу первых двух недель терапии. Необходимо проинформировать об этом больного, чтобы он не ожидал немедленного положительного эффекта от приема препарата.</w:t>
      </w:r>
    </w:p>
    <w:p w:rsidR="008E3F15" w:rsidRDefault="005F449A">
      <w:pPr>
        <w:ind w:left="2" w:right="15"/>
      </w:pPr>
      <w:r>
        <w:t>Лечение антидепрессантами обычно длительное и зависит от конкретного псих</w:t>
      </w:r>
      <w:r>
        <w:t>ического расстройства. Обычно препарат назначают однократно, отдельные препараты лучше принимать на ночь, что делает менее заметными некоторые побочные эффекты и улучшает сон.</w:t>
      </w:r>
    </w:p>
    <w:p w:rsidR="008E3F15" w:rsidRDefault="005F449A">
      <w:pPr>
        <w:spacing w:after="359"/>
        <w:ind w:left="2" w:right="15"/>
      </w:pPr>
      <w:r>
        <w:t>Пожилым и больным соматическими заболеваниями обычно назначают 1/3–1/2 обычной д</w:t>
      </w:r>
      <w:r>
        <w:t>озы препаратов. Предпочтение отдают СИОЗС, хорошо изученным при соматических заболеваниях.</w:t>
      </w:r>
    </w:p>
    <w:p w:rsidR="008E3F15" w:rsidRDefault="005F449A">
      <w:pPr>
        <w:pStyle w:val="Heading1"/>
        <w:ind w:left="2"/>
      </w:pPr>
      <w:r>
        <w:t>Часть II. Коморбидные болезни</w:t>
      </w:r>
    </w:p>
    <w:p w:rsidR="008E3F15" w:rsidRDefault="005F449A">
      <w:pPr>
        <w:ind w:left="2" w:right="466"/>
      </w:pPr>
      <w:r>
        <w:t>При нетяжелой депрессии возможно применение зверобоя продырявленного, который также ослабляет действие прямых антикоагулянтов, амиодаро</w:t>
      </w:r>
      <w:r>
        <w:t>на, дигоксина, эплеренона. Антидепрессанты применяются, наряду с депрессией, при широком спектре психических и соматических заболеваний (</w:t>
      </w:r>
      <w:r>
        <w:rPr>
          <w:b/>
        </w:rPr>
        <w:t>табл. 18.3</w:t>
      </w:r>
      <w:r>
        <w:t>).</w:t>
      </w:r>
    </w:p>
    <w:p w:rsidR="008E3F15" w:rsidRDefault="005F449A">
      <w:pPr>
        <w:spacing w:after="31"/>
        <w:ind w:left="2" w:right="15"/>
      </w:pPr>
      <w:r>
        <w:rPr>
          <w:b/>
        </w:rPr>
        <w:t xml:space="preserve">Таблица 18.3. </w:t>
      </w:r>
      <w:r>
        <w:t>Показания к приему антидепрессантов</w:t>
      </w:r>
    </w:p>
    <w:tbl>
      <w:tblPr>
        <w:tblStyle w:val="TableGrid"/>
        <w:tblW w:w="10485" w:type="dxa"/>
        <w:tblInd w:w="37" w:type="dxa"/>
        <w:tblCellMar>
          <w:top w:w="58" w:type="dxa"/>
          <w:left w:w="44" w:type="dxa"/>
          <w:bottom w:w="0" w:type="dxa"/>
          <w:right w:w="115" w:type="dxa"/>
        </w:tblCellMar>
        <w:tblLook w:val="04A0" w:firstRow="1" w:lastRow="0" w:firstColumn="1" w:lastColumn="0" w:noHBand="0" w:noVBand="1"/>
      </w:tblPr>
      <w:tblGrid>
        <w:gridCol w:w="3060"/>
        <w:gridCol w:w="7425"/>
      </w:tblGrid>
      <w:tr w:rsidR="008E3F15">
        <w:trPr>
          <w:trHeight w:val="330"/>
        </w:trPr>
        <w:tc>
          <w:tcPr>
            <w:tcW w:w="3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Эффекты</w:t>
            </w:r>
          </w:p>
        </w:tc>
        <w:tc>
          <w:tcPr>
            <w:tcW w:w="7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Показания</w:t>
            </w:r>
          </w:p>
        </w:tc>
      </w:tr>
      <w:tr w:rsidR="008E3F15">
        <w:trPr>
          <w:trHeight w:val="570"/>
        </w:trPr>
        <w:tc>
          <w:tcPr>
            <w:tcW w:w="3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Тимоаналептический</w:t>
            </w:r>
          </w:p>
          <w:p w:rsidR="008E3F15" w:rsidRDefault="005F449A">
            <w:pPr>
              <w:spacing w:after="0" w:line="259" w:lineRule="auto"/>
              <w:ind w:left="1" w:right="0" w:firstLine="0"/>
            </w:pPr>
            <w:r>
              <w:t>(улучшение настроения)</w:t>
            </w:r>
          </w:p>
        </w:tc>
        <w:tc>
          <w:tcPr>
            <w:tcW w:w="7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Депрессивный эпизод, рекуррентное депрессивное расстройство, дистимия</w:t>
            </w:r>
          </w:p>
        </w:tc>
      </w:tr>
      <w:tr w:rsidR="008E3F15">
        <w:trPr>
          <w:trHeight w:val="570"/>
        </w:trPr>
        <w:tc>
          <w:tcPr>
            <w:tcW w:w="3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Противотревожный (анксиолитический)</w:t>
            </w:r>
          </w:p>
        </w:tc>
        <w:tc>
          <w:tcPr>
            <w:tcW w:w="74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Паническое расстройство, генерализованная тревога</w:t>
            </w:r>
          </w:p>
        </w:tc>
      </w:tr>
      <w:tr w:rsidR="008E3F15">
        <w:trPr>
          <w:trHeight w:val="308"/>
        </w:trPr>
        <w:tc>
          <w:tcPr>
            <w:tcW w:w="306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0" w:firstLine="0"/>
            </w:pPr>
            <w:r>
              <w:t>Антиобсессивный</w:t>
            </w:r>
          </w:p>
        </w:tc>
        <w:tc>
          <w:tcPr>
            <w:tcW w:w="742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Обсессивно-компульсивное расстройство</w:t>
            </w:r>
          </w:p>
        </w:tc>
      </w:tr>
      <w:tr w:rsidR="008E3F15">
        <w:trPr>
          <w:trHeight w:val="12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08"/>
        </w:trPr>
        <w:tc>
          <w:tcPr>
            <w:tcW w:w="306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Седативный</w:t>
            </w:r>
          </w:p>
        </w:tc>
        <w:tc>
          <w:tcPr>
            <w:tcW w:w="742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Инсомнии</w:t>
            </w:r>
          </w:p>
        </w:tc>
      </w:tr>
      <w:tr w:rsidR="008E3F15">
        <w:trPr>
          <w:trHeight w:val="570"/>
        </w:trPr>
        <w:tc>
          <w:tcPr>
            <w:tcW w:w="3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Коррекция пищевого поведения</w:t>
            </w:r>
          </w:p>
        </w:tc>
        <w:tc>
          <w:tcPr>
            <w:tcW w:w="74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Нервная анорексия, булимия</w:t>
            </w:r>
          </w:p>
        </w:tc>
      </w:tr>
      <w:tr w:rsidR="008E3F15">
        <w:trPr>
          <w:trHeight w:val="570"/>
        </w:trPr>
        <w:tc>
          <w:tcPr>
            <w:tcW w:w="30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Анальгетический</w:t>
            </w:r>
          </w:p>
        </w:tc>
        <w:tc>
          <w:tcPr>
            <w:tcW w:w="7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Хроническая боль (рак, диабетическая невропатия), соматоформное болевое расстройство</w:t>
            </w:r>
          </w:p>
        </w:tc>
      </w:tr>
      <w:tr w:rsidR="008E3F15">
        <w:trPr>
          <w:trHeight w:val="1050"/>
        </w:trPr>
        <w:tc>
          <w:tcPr>
            <w:tcW w:w="30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Другие</w:t>
            </w:r>
          </w:p>
        </w:tc>
        <w:tc>
          <w:tcPr>
            <w:tcW w:w="7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Мигрень, головная боль напряжения, синдром хронической утомляемости, гиперкинетическое расстройство, предменструальный дисфорический синдром, синдром раздраженного кишечника, функциональная диспепсия, зуд</w:t>
            </w:r>
          </w:p>
        </w:tc>
      </w:tr>
    </w:tbl>
    <w:p w:rsidR="008E3F15" w:rsidRDefault="005F449A">
      <w:pPr>
        <w:ind w:left="2" w:right="407"/>
      </w:pPr>
      <w:r>
        <w:t>Антидепрессанты не входят в перечни психотропных в</w:t>
      </w:r>
      <w:r>
        <w:t>еществ, подлежащих контролю в Российской Федерации, и могут быть назначены в одном наименовании на рецептурном бланке № 107-1/у.</w:t>
      </w:r>
    </w:p>
    <w:p w:rsidR="008E3F15" w:rsidRDefault="005F449A">
      <w:pPr>
        <w:ind w:left="2" w:right="15"/>
      </w:pPr>
      <w:r>
        <w:t xml:space="preserve">Среди </w:t>
      </w:r>
      <w:r>
        <w:rPr>
          <w:i/>
        </w:rPr>
        <w:t>транквилизаторов</w:t>
      </w:r>
      <w:r>
        <w:t xml:space="preserve"> наиболее распространены бензодиазепиновые препараты (</w:t>
      </w:r>
      <w:r>
        <w:rPr>
          <w:b/>
        </w:rPr>
        <w:t>табл. 18.4</w:t>
      </w:r>
      <w:r>
        <w:t>). Бромдигидрохлорфенилбензодиазепин (Феназепам</w:t>
      </w:r>
      <w:r>
        <w:rPr>
          <w:sz w:val="31"/>
          <w:vertAlign w:val="superscript"/>
        </w:rPr>
        <w:t>♠</w:t>
      </w:r>
      <w:r>
        <w:t>), лоразепам и алпразолам обладают сильным противотревожным эффектом, оксазепам — слабым, а диазепам занимает промежуточное положение.</w:t>
      </w:r>
    </w:p>
    <w:p w:rsidR="008E3F15" w:rsidRDefault="005F449A">
      <w:pPr>
        <w:spacing w:after="31"/>
        <w:ind w:left="2" w:right="15"/>
      </w:pPr>
      <w:r>
        <w:rPr>
          <w:b/>
        </w:rPr>
        <w:t xml:space="preserve">Таблица 18.4. </w:t>
      </w:r>
      <w:r>
        <w:t>Классификация и дозы транквилизаторов</w:t>
      </w:r>
    </w:p>
    <w:tbl>
      <w:tblPr>
        <w:tblStyle w:val="TableGrid"/>
        <w:tblW w:w="10485" w:type="dxa"/>
        <w:tblInd w:w="37" w:type="dxa"/>
        <w:tblCellMar>
          <w:top w:w="80" w:type="dxa"/>
          <w:left w:w="45" w:type="dxa"/>
          <w:bottom w:w="0" w:type="dxa"/>
          <w:right w:w="115" w:type="dxa"/>
        </w:tblCellMar>
        <w:tblLook w:val="04A0" w:firstRow="1" w:lastRow="0" w:firstColumn="1" w:lastColumn="0" w:noHBand="0" w:noVBand="1"/>
      </w:tblPr>
      <w:tblGrid>
        <w:gridCol w:w="3330"/>
        <w:gridCol w:w="5385"/>
        <w:gridCol w:w="1770"/>
      </w:tblGrid>
      <w:tr w:rsidR="008E3F15">
        <w:trPr>
          <w:trHeight w:val="570"/>
        </w:trPr>
        <w:tc>
          <w:tcPr>
            <w:tcW w:w="33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Группа</w:t>
            </w:r>
          </w:p>
        </w:tc>
        <w:tc>
          <w:tcPr>
            <w:tcW w:w="538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rPr>
                <w:b/>
              </w:rPr>
              <w:t>Препараты</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rPr>
                <w:b/>
              </w:rPr>
              <w:t>Суто</w:t>
            </w:r>
            <w:r>
              <w:rPr>
                <w:b/>
              </w:rPr>
              <w:t>чная доза, мг</w:t>
            </w:r>
          </w:p>
        </w:tc>
      </w:tr>
      <w:tr w:rsidR="008E3F15">
        <w:trPr>
          <w:trHeight w:val="330"/>
        </w:trPr>
        <w:tc>
          <w:tcPr>
            <w:tcW w:w="333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Бензодиазепины</w:t>
            </w: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Алпразолам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0,75–4</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Диазепам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2–20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Клоназепам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1–2</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Лоразепам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2–4</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Оксазепам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10–50</w:t>
            </w:r>
          </w:p>
        </w:tc>
      </w:tr>
      <w:tr w:rsidR="008E3F15">
        <w:trPr>
          <w:trHeight w:val="645"/>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Бромдигидрохлорфенилбензодиазепин</w:t>
            </w:r>
          </w:p>
          <w:p w:rsidR="008E3F15" w:rsidRDefault="005F449A">
            <w:pPr>
              <w:spacing w:after="0" w:line="259" w:lineRule="auto"/>
              <w:ind w:left="1" w:right="0" w:firstLine="0"/>
            </w:pPr>
            <w:r>
              <w:t>(Феназепам</w:t>
            </w:r>
            <w:r>
              <w:rPr>
                <w:sz w:val="31"/>
                <w:vertAlign w:val="superscript"/>
              </w:rPr>
              <w:t>♠</w:t>
            </w:r>
            <w:r>
              <w:t>)</w:t>
            </w:r>
          </w:p>
        </w:tc>
        <w:tc>
          <w:tcPr>
            <w:tcW w:w="17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t>0,5–2</w:t>
            </w:r>
          </w:p>
        </w:tc>
      </w:tr>
      <w:tr w:rsidR="008E3F15">
        <w:trPr>
          <w:trHeight w:val="330"/>
        </w:trPr>
        <w:tc>
          <w:tcPr>
            <w:tcW w:w="0" w:type="auto"/>
            <w:vMerge/>
            <w:tcBorders>
              <w:top w:val="nil"/>
              <w:left w:val="double" w:sz="6" w:space="0" w:color="000000"/>
              <w:bottom w:val="double" w:sz="6" w:space="0" w:color="000000"/>
              <w:right w:val="double" w:sz="6" w:space="0" w:color="000000"/>
            </w:tcBorders>
            <w:vAlign w:val="bottom"/>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Тофизопам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50–300</w:t>
            </w:r>
          </w:p>
        </w:tc>
      </w:tr>
      <w:tr w:rsidR="008E3F15">
        <w:trPr>
          <w:trHeight w:val="330"/>
        </w:trPr>
        <w:tc>
          <w:tcPr>
            <w:tcW w:w="333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Небензодиазепиновые гипнотики</w:t>
            </w: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Зопиклон</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7,5–15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Золпидем</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5–10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Залеплон</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5–10</w:t>
            </w:r>
          </w:p>
        </w:tc>
      </w:tr>
      <w:tr w:rsidR="008E3F15">
        <w:trPr>
          <w:trHeight w:val="330"/>
        </w:trPr>
        <w:tc>
          <w:tcPr>
            <w:tcW w:w="333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Другие препараты</w:t>
            </w: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Буспирон</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20–60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Гидроксизин</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25–100</w:t>
            </w:r>
          </w:p>
        </w:tc>
      </w:tr>
      <w:tr w:rsidR="008E3F15">
        <w:trPr>
          <w:trHeight w:val="330"/>
        </w:trPr>
        <w:tc>
          <w:tcPr>
            <w:tcW w:w="0" w:type="auto"/>
            <w:vMerge/>
            <w:tcBorders>
              <w:top w:val="nil"/>
              <w:left w:val="double" w:sz="6" w:space="0" w:color="000000"/>
              <w:bottom w:val="nil"/>
              <w:right w:val="double" w:sz="6" w:space="0" w:color="000000"/>
            </w:tcBorders>
            <w:vAlign w:val="bottom"/>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Фабомотизол</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30–60</w:t>
            </w:r>
          </w:p>
        </w:tc>
      </w:tr>
      <w:tr w:rsidR="008E3F15">
        <w:trPr>
          <w:trHeight w:val="330"/>
        </w:trPr>
        <w:tc>
          <w:tcPr>
            <w:tcW w:w="0" w:type="auto"/>
            <w:vMerge/>
            <w:tcBorders>
              <w:top w:val="nil"/>
              <w:left w:val="double" w:sz="6" w:space="0" w:color="000000"/>
              <w:bottom w:val="double" w:sz="6" w:space="0" w:color="000000"/>
              <w:right w:val="double" w:sz="6" w:space="0" w:color="000000"/>
            </w:tcBorders>
            <w:vAlign w:val="bottom"/>
          </w:tcPr>
          <w:p w:rsidR="008E3F15" w:rsidRDefault="008E3F15">
            <w:pPr>
              <w:spacing w:after="160" w:line="259" w:lineRule="auto"/>
              <w:ind w:left="0" w:right="0" w:firstLine="0"/>
            </w:pPr>
          </w:p>
        </w:tc>
        <w:tc>
          <w:tcPr>
            <w:tcW w:w="5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Этифоксин</w:t>
            </w:r>
          </w:p>
        </w:tc>
        <w:tc>
          <w:tcPr>
            <w:tcW w:w="17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150–200</w:t>
            </w:r>
          </w:p>
        </w:tc>
      </w:tr>
    </w:tbl>
    <w:p w:rsidR="008E3F15" w:rsidRDefault="005F449A">
      <w:pPr>
        <w:ind w:left="2" w:right="15"/>
      </w:pPr>
      <w:r>
        <w:t>Наряду с бензодиазепинами в клинической практике применяют небензодиазипиновые препараты, обладающие минимальным риском физической зависимости и передозировки, пригодные для длительной терапии.</w:t>
      </w:r>
    </w:p>
    <w:p w:rsidR="008E3F15" w:rsidRDefault="005F449A">
      <w:pPr>
        <w:ind w:left="2" w:right="79"/>
      </w:pPr>
      <w:r>
        <w:t>Препараты из группы транквилизаторов обычно применяются при тр</w:t>
      </w:r>
      <w:r>
        <w:t>евожных расстройствах, а также при нарушениях сна, алкогольной абстиненции, судорогах, мышечном напряжении. Важно отметить, что транквилизаторы не влияют на выраженность депрессии, а только уменьшают симптомы тревоги, которые нередко встречаются при депрес</w:t>
      </w:r>
      <w:r>
        <w:t>сивных расстройствах. Более того, транквилизаторы могут усилить проявления депрессии. При лечении тревожных расстройств эффект обычно развивается в первые дни, нередко встречаются случаи достижения значимого результата на 7–10-й день. Бензодиазепины коротк</w:t>
      </w:r>
      <w:r>
        <w:t>ого действия (алпразолам, клоназепам, лоразепам, оксазепам, темазепам) рекомендуют применять 3–4 раза в день, а пролонгированные (диазепам) — 1–2 раза в день. В отличие от антидепрессантов, при длительном применении бензодиазепиновых транквилизаторов возмо</w:t>
      </w:r>
      <w:r>
        <w:t>жно формирование физиологической зависимости с синдромом отмены. Поэтому не рекомендуют принимать транквилизаторы непрерывно более 3–4 нед. У соматических больных часто имеется повышенная чувствительность к препаратам, поэтому начинают с малых доз (наприме</w:t>
      </w:r>
      <w:r>
        <w:t>р, диазепам 2,5–5 мг/сут).</w:t>
      </w:r>
    </w:p>
    <w:p w:rsidR="008E3F15" w:rsidRDefault="005F449A">
      <w:pPr>
        <w:ind w:left="2" w:right="15"/>
      </w:pPr>
      <w:r>
        <w:t>Отсутствие противотревожного эффекта препаратов заставляет усомниться в невротической природе заболевания.</w:t>
      </w:r>
    </w:p>
    <w:p w:rsidR="008E3F15" w:rsidRDefault="005F449A">
      <w:pPr>
        <w:ind w:left="2" w:right="15"/>
      </w:pPr>
      <w:r>
        <w:t>Максимальная выраженность побочных эффектов (сонливость, умственная заторможенность, мышечная релаксация) приходится на пе</w:t>
      </w:r>
      <w:r>
        <w:t>рвые дни приема и затем постепенно снижается. Транквилизаторы используются как при тревожных расстройствах, так и при других психических и соматических заболеваниях (</w:t>
      </w:r>
      <w:r>
        <w:rPr>
          <w:b/>
        </w:rPr>
        <w:t>табл. 18.5</w:t>
      </w:r>
      <w:r>
        <w:t>).</w:t>
      </w:r>
    </w:p>
    <w:p w:rsidR="008E3F15" w:rsidRDefault="005F449A">
      <w:pPr>
        <w:spacing w:after="31"/>
        <w:ind w:left="2" w:right="15"/>
      </w:pPr>
      <w:r>
        <w:rPr>
          <w:b/>
        </w:rPr>
        <w:t xml:space="preserve">Таблица 18.5. </w:t>
      </w:r>
      <w:r>
        <w:t>Показания к приему транквилизаторов</w:t>
      </w:r>
    </w:p>
    <w:tbl>
      <w:tblPr>
        <w:tblStyle w:val="TableGrid"/>
        <w:tblW w:w="10485" w:type="dxa"/>
        <w:tblInd w:w="37" w:type="dxa"/>
        <w:tblCellMar>
          <w:top w:w="80" w:type="dxa"/>
          <w:left w:w="45" w:type="dxa"/>
          <w:bottom w:w="0" w:type="dxa"/>
          <w:right w:w="115" w:type="dxa"/>
        </w:tblCellMar>
        <w:tblLook w:val="04A0" w:firstRow="1" w:lastRow="0" w:firstColumn="1" w:lastColumn="0" w:noHBand="0" w:noVBand="1"/>
      </w:tblPr>
      <w:tblGrid>
        <w:gridCol w:w="3750"/>
        <w:gridCol w:w="6735"/>
      </w:tblGrid>
      <w:tr w:rsidR="008E3F15">
        <w:trPr>
          <w:trHeight w:val="330"/>
        </w:trPr>
        <w:tc>
          <w:tcPr>
            <w:tcW w:w="37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Эффекты</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Показания</w:t>
            </w:r>
          </w:p>
        </w:tc>
      </w:tr>
      <w:tr w:rsidR="008E3F15">
        <w:trPr>
          <w:trHeight w:val="570"/>
        </w:trPr>
        <w:tc>
          <w:tcPr>
            <w:tcW w:w="37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Противотревожный (анксиолитический)</w:t>
            </w:r>
          </w:p>
        </w:tc>
        <w:tc>
          <w:tcPr>
            <w:tcW w:w="67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Панические атаки, генерализованная тревога</w:t>
            </w:r>
          </w:p>
        </w:tc>
      </w:tr>
      <w:tr w:rsidR="008E3F15">
        <w:trPr>
          <w:trHeight w:val="570"/>
        </w:trPr>
        <w:tc>
          <w:tcPr>
            <w:tcW w:w="37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Седативный</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Нарушения сна, премедикация перед инвазивными вмешательствами, индукция наркоза</w:t>
            </w:r>
          </w:p>
        </w:tc>
      </w:tr>
      <w:tr w:rsidR="008E3F15">
        <w:trPr>
          <w:trHeight w:val="330"/>
        </w:trPr>
        <w:tc>
          <w:tcPr>
            <w:tcW w:w="37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Антистрессовый</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Расстройство адаптации, острое стрессовое расстройство</w:t>
            </w:r>
          </w:p>
        </w:tc>
      </w:tr>
      <w:tr w:rsidR="008E3F15">
        <w:trPr>
          <w:trHeight w:val="330"/>
        </w:trPr>
        <w:tc>
          <w:tcPr>
            <w:tcW w:w="37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Противоабстинентный</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Алкогольная абстиненция</w:t>
            </w:r>
          </w:p>
        </w:tc>
      </w:tr>
      <w:tr w:rsidR="008E3F15">
        <w:trPr>
          <w:trHeight w:val="330"/>
        </w:trPr>
        <w:tc>
          <w:tcPr>
            <w:tcW w:w="37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Противосудорожный</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Судороги эпилептические, судороги эпилептиформные</w:t>
            </w:r>
          </w:p>
        </w:tc>
      </w:tr>
      <w:tr w:rsidR="008E3F15">
        <w:trPr>
          <w:trHeight w:val="570"/>
        </w:trPr>
        <w:tc>
          <w:tcPr>
            <w:tcW w:w="37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Миорелаксирующий</w:t>
            </w:r>
          </w:p>
        </w:tc>
        <w:tc>
          <w:tcPr>
            <w:tcW w:w="67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Миофасциальные боли, боли в спине, синдром беспокойных ног</w:t>
            </w:r>
          </w:p>
        </w:tc>
      </w:tr>
    </w:tbl>
    <w:p w:rsidR="008E3F15" w:rsidRDefault="005F449A">
      <w:pPr>
        <w:spacing w:after="359"/>
        <w:ind w:left="2" w:right="15"/>
      </w:pPr>
      <w:r>
        <w:t>Следует предупредить пациентов о нежелательности употребления алкоголя, усиливающего седативное действие бензодиазепинов. Транквилизаторы снижают скорость психомоторных реакций, что делает нежелательным вождение транспорта, по меньшей мере, до адаптации па</w:t>
      </w:r>
      <w:r>
        <w:t>циента к действию препаратов. В пожилом возрасте применение транквилизаторов может быть сопряжено с повышенным риском падений, некоторым ухудшением когнитивных функций.</w:t>
      </w:r>
    </w:p>
    <w:p w:rsidR="008E3F15" w:rsidRDefault="005F449A">
      <w:pPr>
        <w:pStyle w:val="Heading1"/>
        <w:ind w:left="2"/>
      </w:pPr>
      <w:r>
        <w:t>Часть II. Коморбидные болезни</w:t>
      </w:r>
    </w:p>
    <w:p w:rsidR="008E3F15" w:rsidRDefault="005F449A">
      <w:pPr>
        <w:ind w:left="2" w:right="15"/>
      </w:pPr>
      <w:r>
        <w:t>Бензодиазепиновые транквилизаторы входят в перечень III п</w:t>
      </w:r>
      <w:r>
        <w:t>сихотропных веществ, подлежащих контролю в Российской Федерации, и могут быть назначены в одном наименовании на рецептурном бланке № 148-1/у-88. Исключение составляют тофизопам и небензодиазепиновые препараты, не относящиеся к снотворным (буспирон, гидрокс</w:t>
      </w:r>
      <w:r>
        <w:t>изин, этифоксин, фабомотизол), которые можно выписать на обычном рецептурном бланке № 1071/у в одном наименовании.</w:t>
      </w:r>
    </w:p>
    <w:p w:rsidR="008E3F15" w:rsidRDefault="005F449A">
      <w:pPr>
        <w:spacing w:after="31"/>
        <w:ind w:left="2" w:right="15"/>
      </w:pPr>
      <w:r>
        <w:rPr>
          <w:i/>
        </w:rPr>
        <w:t>Антипсихотики</w:t>
      </w:r>
      <w:r>
        <w:t>, кроме подавления психотических симптомов, могут ослабить</w:t>
      </w:r>
    </w:p>
    <w:p w:rsidR="008E3F15" w:rsidRDefault="005F449A">
      <w:pPr>
        <w:ind w:left="2" w:right="15"/>
      </w:pPr>
      <w:r>
        <w:t>соматизированные симптомы, тревогу, улучшить сон, уменьшить боли, рво</w:t>
      </w:r>
      <w:r>
        <w:t>ту, гипертермию, кожный зуд (</w:t>
      </w:r>
      <w:r>
        <w:rPr>
          <w:b/>
        </w:rPr>
        <w:t>табл. 18.6</w:t>
      </w:r>
      <w:r>
        <w:t xml:space="preserve">, </w:t>
      </w:r>
      <w:r>
        <w:rPr>
          <w:b/>
        </w:rPr>
        <w:t>18.7</w:t>
      </w:r>
      <w:r>
        <w:t>).</w:t>
      </w:r>
    </w:p>
    <w:p w:rsidR="008E3F15" w:rsidRDefault="005F449A">
      <w:pPr>
        <w:spacing w:after="31"/>
        <w:ind w:left="2" w:right="15"/>
      </w:pPr>
      <w:r>
        <w:rPr>
          <w:b/>
        </w:rPr>
        <w:t xml:space="preserve">Таблица 18.6. </w:t>
      </w:r>
      <w:r>
        <w:t>Показания к приему антипсихотиков</w:t>
      </w:r>
    </w:p>
    <w:tbl>
      <w:tblPr>
        <w:tblStyle w:val="TableGrid"/>
        <w:tblW w:w="10485" w:type="dxa"/>
        <w:tblInd w:w="37" w:type="dxa"/>
        <w:tblCellMar>
          <w:top w:w="80" w:type="dxa"/>
          <w:left w:w="45" w:type="dxa"/>
          <w:bottom w:w="0" w:type="dxa"/>
          <w:right w:w="74" w:type="dxa"/>
        </w:tblCellMar>
        <w:tblLook w:val="04A0" w:firstRow="1" w:lastRow="0" w:firstColumn="1" w:lastColumn="0" w:noHBand="0" w:noVBand="1"/>
      </w:tblPr>
      <w:tblGrid>
        <w:gridCol w:w="3150"/>
        <w:gridCol w:w="7335"/>
      </w:tblGrid>
      <w:tr w:rsidR="008E3F15">
        <w:trPr>
          <w:trHeight w:val="330"/>
        </w:trPr>
        <w:tc>
          <w:tcPr>
            <w:tcW w:w="3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Эффекты</w:t>
            </w:r>
          </w:p>
        </w:tc>
        <w:tc>
          <w:tcPr>
            <w:tcW w:w="7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Показания</w:t>
            </w:r>
          </w:p>
        </w:tc>
      </w:tr>
      <w:tr w:rsidR="008E3F15">
        <w:trPr>
          <w:trHeight w:val="1290"/>
        </w:trPr>
        <w:tc>
          <w:tcPr>
            <w:tcW w:w="31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16" w:lineRule="auto"/>
              <w:ind w:left="0" w:right="0" w:firstLine="0"/>
            </w:pPr>
            <w:r>
              <w:t>Антипсихотический (бред, галлюцинации, нарушение</w:t>
            </w:r>
          </w:p>
          <w:p w:rsidR="008E3F15" w:rsidRDefault="005F449A">
            <w:pPr>
              <w:spacing w:after="0" w:line="259" w:lineRule="auto"/>
              <w:ind w:left="0" w:right="0" w:firstLine="0"/>
            </w:pPr>
            <w:r>
              <w:t>мышления)</w:t>
            </w:r>
          </w:p>
        </w:tc>
        <w:tc>
          <w:tcPr>
            <w:tcW w:w="7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Шизофрения, шизоаффективное расстройство, вторичные психозы (черепно-мозговая травма, цереброваскулярные, нейродегенеративные, инфекционные и другие заболевания, прием психоактивных веществ, лекарственных препаратов), психотическая депрессия</w:t>
            </w:r>
          </w:p>
        </w:tc>
      </w:tr>
      <w:tr w:rsidR="008E3F15">
        <w:trPr>
          <w:trHeight w:val="330"/>
        </w:trPr>
        <w:tc>
          <w:tcPr>
            <w:tcW w:w="3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Антиманиакальный</w:t>
            </w:r>
          </w:p>
        </w:tc>
        <w:tc>
          <w:tcPr>
            <w:tcW w:w="7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Биполярное расстройство (мании, смешанные эпизоды)</w:t>
            </w:r>
          </w:p>
        </w:tc>
      </w:tr>
      <w:tr w:rsidR="008E3F15">
        <w:trPr>
          <w:trHeight w:val="810"/>
        </w:trPr>
        <w:tc>
          <w:tcPr>
            <w:tcW w:w="3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Купирование психомоторного возбуждения</w:t>
            </w:r>
          </w:p>
        </w:tc>
        <w:tc>
          <w:tcPr>
            <w:tcW w:w="73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5" w:right="0" w:firstLine="0"/>
            </w:pPr>
            <w:r>
              <w:t>Шизофрения, биполярное расстройство, другие психозы</w:t>
            </w:r>
          </w:p>
        </w:tc>
      </w:tr>
      <w:tr w:rsidR="008E3F15">
        <w:trPr>
          <w:trHeight w:val="330"/>
        </w:trPr>
        <w:tc>
          <w:tcPr>
            <w:tcW w:w="31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Антиэметический</w:t>
            </w:r>
          </w:p>
        </w:tc>
        <w:tc>
          <w:tcPr>
            <w:tcW w:w="7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Тошнота, рвота</w:t>
            </w:r>
          </w:p>
        </w:tc>
      </w:tr>
      <w:tr w:rsidR="008E3F15">
        <w:trPr>
          <w:trHeight w:val="570"/>
        </w:trPr>
        <w:tc>
          <w:tcPr>
            <w:tcW w:w="31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Другие</w:t>
            </w:r>
          </w:p>
        </w:tc>
        <w:tc>
          <w:tcPr>
            <w:tcW w:w="73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Соматоформные расстройства, тревожные расстройства, аутизм, нарушение сна, кожный зуд</w:t>
            </w:r>
          </w:p>
        </w:tc>
      </w:tr>
    </w:tbl>
    <w:p w:rsidR="008E3F15" w:rsidRDefault="005F449A">
      <w:pPr>
        <w:spacing w:after="31"/>
        <w:ind w:left="2" w:right="15"/>
      </w:pPr>
      <w:r>
        <w:rPr>
          <w:b/>
        </w:rPr>
        <w:t xml:space="preserve">Таблица 18.7. </w:t>
      </w:r>
      <w:r>
        <w:t>Классификация и дозы антипсихотиков</w:t>
      </w:r>
    </w:p>
    <w:tbl>
      <w:tblPr>
        <w:tblStyle w:val="TableGrid"/>
        <w:tblW w:w="8685" w:type="dxa"/>
        <w:tblInd w:w="37" w:type="dxa"/>
        <w:tblCellMar>
          <w:top w:w="80" w:type="dxa"/>
          <w:left w:w="44" w:type="dxa"/>
          <w:bottom w:w="0" w:type="dxa"/>
          <w:right w:w="39" w:type="dxa"/>
        </w:tblCellMar>
        <w:tblLook w:val="04A0" w:firstRow="1" w:lastRow="0" w:firstColumn="1" w:lastColumn="0" w:noHBand="0" w:noVBand="1"/>
      </w:tblPr>
      <w:tblGrid>
        <w:gridCol w:w="4680"/>
        <w:gridCol w:w="1800"/>
        <w:gridCol w:w="2205"/>
      </w:tblGrid>
      <w:tr w:rsidR="008E3F15">
        <w:trPr>
          <w:trHeight w:val="330"/>
        </w:trPr>
        <w:tc>
          <w:tcPr>
            <w:tcW w:w="46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Группа</w:t>
            </w:r>
          </w:p>
        </w:tc>
        <w:tc>
          <w:tcPr>
            <w:tcW w:w="180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8" w:right="0" w:firstLine="0"/>
            </w:pPr>
            <w:r>
              <w:rPr>
                <w:b/>
              </w:rPr>
              <w:t>Препараты</w:t>
            </w:r>
          </w:p>
        </w:tc>
        <w:tc>
          <w:tcPr>
            <w:tcW w:w="220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Суточная доза, мг</w:t>
            </w:r>
          </w:p>
        </w:tc>
      </w:tr>
      <w:tr w:rsidR="008E3F15">
        <w:trPr>
          <w:trHeight w:val="330"/>
        </w:trPr>
        <w:tc>
          <w:tcPr>
            <w:tcW w:w="468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jc w:val="both"/>
            </w:pPr>
            <w:r>
              <w:t>Типичные антипсихотики (нейролептики)</w:t>
            </w: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Алимемазин</w:t>
            </w:r>
          </w:p>
        </w:tc>
        <w:tc>
          <w:tcPr>
            <w:tcW w:w="220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5–30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Галоперидол</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1,5–15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Сульпирид</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50–300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8" w:right="0" w:firstLine="0"/>
            </w:pPr>
            <w:r>
              <w:t>Тиоридазин</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25–100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800" w:type="dxa"/>
            <w:tcBorders>
              <w:top w:val="single" w:sz="6" w:space="0" w:color="000000"/>
              <w:left w:val="nil"/>
              <w:bottom w:val="single" w:sz="6" w:space="0" w:color="000000"/>
              <w:right w:val="nil"/>
            </w:tcBorders>
          </w:tcPr>
          <w:p w:rsidR="008E3F15" w:rsidRDefault="005F449A">
            <w:pPr>
              <w:spacing w:after="0" w:line="259" w:lineRule="auto"/>
              <w:ind w:left="8" w:right="0" w:firstLine="0"/>
              <w:jc w:val="both"/>
            </w:pPr>
            <w:r>
              <w:rPr>
                <w:bdr w:val="single" w:sz="12" w:space="0" w:color="000000"/>
              </w:rPr>
              <w:t>Хлорпротиксен</w:t>
            </w:r>
          </w:p>
        </w:tc>
        <w:tc>
          <w:tcPr>
            <w:tcW w:w="220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15–150</w:t>
            </w:r>
          </w:p>
        </w:tc>
      </w:tr>
      <w:tr w:rsidR="008E3F15">
        <w:trPr>
          <w:trHeight w:val="330"/>
        </w:trPr>
        <w:tc>
          <w:tcPr>
            <w:tcW w:w="468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Атипичные антипсихотики</w:t>
            </w:r>
          </w:p>
        </w:tc>
        <w:tc>
          <w:tcPr>
            <w:tcW w:w="18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Арипипразол</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Кветиапин</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25–300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Оланзапин</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20–60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8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Рисперидон</w:t>
            </w:r>
          </w:p>
        </w:tc>
        <w:tc>
          <w:tcPr>
            <w:tcW w:w="22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2–4</w:t>
            </w:r>
          </w:p>
        </w:tc>
      </w:tr>
    </w:tbl>
    <w:p w:rsidR="008E3F15" w:rsidRDefault="005F449A">
      <w:pPr>
        <w:ind w:left="2" w:right="15"/>
      </w:pPr>
      <w:r>
        <w:t>В практике интернистов возможно использование «малых» антипсихотиков (алимемазин, сульпирид), особенно при неэффективности препаратов первого ряда.</w:t>
      </w:r>
    </w:p>
    <w:p w:rsidR="008E3F15" w:rsidRDefault="005F449A">
      <w:pPr>
        <w:ind w:left="2" w:right="15"/>
      </w:pPr>
      <w:r>
        <w:t>Длительное применение антипсихотиков у пациентов с соматическими заболеваниями требует дополнительной оценки</w:t>
      </w:r>
      <w:r>
        <w:t xml:space="preserve"> отношения пользы/риска терапии (</w:t>
      </w:r>
      <w:r>
        <w:rPr>
          <w:b/>
        </w:rPr>
        <w:t>табл. 18.8</w:t>
      </w:r>
      <w:r>
        <w:t xml:space="preserve">). Например, найдена связь приема антипсихотиков и повышения риска общей и внезапной смерти, ассоциированного с СД, курением и удлинением </w:t>
      </w:r>
      <w:r>
        <w:rPr>
          <w:i/>
        </w:rPr>
        <w:t>Q–T</w:t>
      </w:r>
      <w:r>
        <w:t>-интервала (Hasnain M., Vieweg W., 2014; Salvo F. et al., 2016). Сульпир</w:t>
      </w:r>
      <w:r>
        <w:t>ид может вызвать гиперпролактинемию.</w:t>
      </w:r>
    </w:p>
    <w:p w:rsidR="008E3F15" w:rsidRDefault="005F449A">
      <w:pPr>
        <w:spacing w:after="31"/>
        <w:ind w:left="2" w:right="15"/>
      </w:pPr>
      <w:r>
        <w:rPr>
          <w:b/>
        </w:rPr>
        <w:t xml:space="preserve">Таблица 18.8. </w:t>
      </w:r>
      <w:r>
        <w:t>Побочные соматические эффекты антипсихотиков</w:t>
      </w:r>
    </w:p>
    <w:tbl>
      <w:tblPr>
        <w:tblStyle w:val="TableGrid"/>
        <w:tblW w:w="10485" w:type="dxa"/>
        <w:tblInd w:w="37" w:type="dxa"/>
        <w:tblCellMar>
          <w:top w:w="78" w:type="dxa"/>
          <w:left w:w="38" w:type="dxa"/>
          <w:bottom w:w="0" w:type="dxa"/>
          <w:right w:w="41" w:type="dxa"/>
        </w:tblCellMar>
        <w:tblLook w:val="04A0" w:firstRow="1" w:lastRow="0" w:firstColumn="1" w:lastColumn="0" w:noHBand="0" w:noVBand="1"/>
      </w:tblPr>
      <w:tblGrid>
        <w:gridCol w:w="1575"/>
        <w:gridCol w:w="1230"/>
        <w:gridCol w:w="780"/>
        <w:gridCol w:w="1575"/>
        <w:gridCol w:w="2730"/>
        <w:gridCol w:w="2595"/>
      </w:tblGrid>
      <w:tr w:rsidR="008E3F15">
        <w:trPr>
          <w:trHeight w:val="570"/>
        </w:trPr>
        <w:tc>
          <w:tcPr>
            <w:tcW w:w="157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7" w:right="0" w:firstLine="0"/>
            </w:pPr>
            <w:r>
              <w:rPr>
                <w:b/>
              </w:rPr>
              <w:t>Препарат</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rPr>
                <w:b/>
              </w:rPr>
              <w:t>&gt;массы тела</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Риск СД</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rPr>
                <w:b/>
              </w:rPr>
              <w:t>&gt;</w:t>
            </w:r>
            <w:r>
              <w:rPr>
                <w:b/>
                <w:i/>
              </w:rPr>
              <w:t xml:space="preserve">Q–T </w:t>
            </w:r>
            <w:r>
              <w:rPr>
                <w:b/>
              </w:rPr>
              <w:t>интервала</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rPr>
                <w:b/>
              </w:rPr>
              <w:t>Холинолитический эффект</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Ортостатическая гипотензия</w:t>
            </w:r>
          </w:p>
        </w:tc>
      </w:tr>
      <w:tr w:rsidR="008E3F15">
        <w:trPr>
          <w:trHeight w:val="330"/>
        </w:trPr>
        <w:tc>
          <w:tcPr>
            <w:tcW w:w="1575"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7" w:right="0" w:firstLine="0"/>
            </w:pPr>
            <w:r>
              <w:rPr>
                <w:bdr w:val="single" w:sz="12" w:space="0" w:color="000000"/>
              </w:rPr>
              <w:t>Алимемазин</w:t>
            </w:r>
          </w:p>
          <w:p w:rsidR="008E3F15" w:rsidRDefault="005F449A">
            <w:pPr>
              <w:spacing w:after="0" w:line="259" w:lineRule="auto"/>
              <w:ind w:left="7" w:right="0" w:firstLine="0"/>
              <w:jc w:val="both"/>
            </w:pPr>
            <w:r>
              <w:rPr>
                <w:bdr w:val="single" w:sz="12" w:space="0" w:color="000000"/>
              </w:rPr>
              <w:t>Арипипразол</w:t>
            </w:r>
          </w:p>
          <w:p w:rsidR="008E3F15" w:rsidRDefault="005F449A">
            <w:pPr>
              <w:spacing w:after="0" w:line="259" w:lineRule="auto"/>
              <w:ind w:left="7" w:right="0" w:firstLine="0"/>
              <w:jc w:val="both"/>
            </w:pPr>
            <w:r>
              <w:rPr>
                <w:bdr w:val="single" w:sz="12" w:space="0" w:color="000000"/>
              </w:rPr>
              <w:t>Галоперидол</w:t>
            </w:r>
          </w:p>
          <w:p w:rsidR="008E3F15" w:rsidRDefault="005F449A">
            <w:pPr>
              <w:spacing w:after="0" w:line="259" w:lineRule="auto"/>
              <w:ind w:left="7" w:right="0" w:firstLine="0"/>
            </w:pPr>
            <w:r>
              <w:rPr>
                <w:bdr w:val="single" w:sz="12" w:space="0" w:color="000000"/>
              </w:rPr>
              <w:t>Зипрасидон</w:t>
            </w:r>
          </w:p>
          <w:p w:rsidR="008E3F15" w:rsidRDefault="005F449A">
            <w:pPr>
              <w:spacing w:after="0" w:line="259" w:lineRule="auto"/>
              <w:ind w:left="7" w:right="0" w:firstLine="0"/>
            </w:pPr>
            <w:r>
              <w:rPr>
                <w:bdr w:val="single" w:sz="12" w:space="0" w:color="000000"/>
              </w:rPr>
              <w:t>Карипразин</w:t>
            </w: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0" w:type="auto"/>
            <w:vMerge/>
            <w:tcBorders>
              <w:top w:val="nil"/>
              <w:left w:val="single" w:sz="6" w:space="0" w:color="000000"/>
              <w:bottom w:val="nil"/>
              <w:right w:val="nil"/>
            </w:tcBorders>
          </w:tcPr>
          <w:p w:rsidR="008E3F15" w:rsidRDefault="008E3F15">
            <w:pPr>
              <w:spacing w:after="160" w:line="259" w:lineRule="auto"/>
              <w:ind w:left="0" w:right="0" w:firstLine="0"/>
            </w:pP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Кветиапин</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Клозапин</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Луразидон</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7" w:right="0" w:firstLine="0"/>
            </w:pPr>
            <w:r>
              <w:t>Оланзапин</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7" w:right="0" w:firstLine="0"/>
            </w:pPr>
            <w:r>
              <w:rPr>
                <w:bdr w:val="single" w:sz="12" w:space="0" w:color="000000"/>
              </w:rPr>
              <w:t>Перфеназин</w:t>
            </w:r>
          </w:p>
          <w:p w:rsidR="008E3F15" w:rsidRDefault="005F449A">
            <w:pPr>
              <w:spacing w:after="0" w:line="259" w:lineRule="auto"/>
              <w:ind w:left="7" w:right="0" w:firstLine="0"/>
            </w:pPr>
            <w:r>
              <w:rPr>
                <w:bdr w:val="single" w:sz="12" w:space="0" w:color="000000"/>
              </w:rPr>
              <w:t>Рисперидон</w:t>
            </w: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7" w:right="0" w:firstLine="0"/>
            </w:pPr>
            <w:r>
              <w:t>Сертиндол</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r w:rsidR="008E3F15">
        <w:trPr>
          <w:trHeight w:val="330"/>
        </w:trPr>
        <w:tc>
          <w:tcPr>
            <w:tcW w:w="1575" w:type="dxa"/>
            <w:tcBorders>
              <w:top w:val="single" w:sz="6" w:space="0" w:color="000000"/>
              <w:left w:val="single" w:sz="6" w:space="0" w:color="000000"/>
              <w:bottom w:val="single" w:sz="6" w:space="0" w:color="000000"/>
              <w:right w:val="nil"/>
            </w:tcBorders>
          </w:tcPr>
          <w:p w:rsidR="008E3F15" w:rsidRDefault="005F449A">
            <w:pPr>
              <w:spacing w:after="0" w:line="259" w:lineRule="auto"/>
              <w:ind w:left="7" w:right="0" w:firstLine="0"/>
            </w:pPr>
            <w:r>
              <w:rPr>
                <w:bdr w:val="single" w:sz="12" w:space="0" w:color="000000"/>
              </w:rPr>
              <w:t>Тиоридазин</w:t>
            </w:r>
          </w:p>
        </w:tc>
        <w:tc>
          <w:tcPr>
            <w:tcW w:w="123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7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w:t>
            </w:r>
          </w:p>
        </w:tc>
        <w:tc>
          <w:tcPr>
            <w:tcW w:w="15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1" w:right="0" w:firstLine="0"/>
            </w:pPr>
            <w:r>
              <w:t>+++</w:t>
            </w:r>
          </w:p>
        </w:tc>
        <w:tc>
          <w:tcPr>
            <w:tcW w:w="27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3" w:right="0" w:firstLine="0"/>
            </w:pPr>
            <w:r>
              <w:t>+++</w:t>
            </w:r>
          </w:p>
        </w:tc>
        <w:tc>
          <w:tcPr>
            <w:tcW w:w="25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r>
    </w:tbl>
    <w:p w:rsidR="008E3F15" w:rsidRDefault="005F449A">
      <w:pPr>
        <w:spacing w:after="31"/>
        <w:ind w:left="2" w:right="15"/>
      </w:pPr>
      <w:r>
        <w:rPr>
          <w:b/>
        </w:rPr>
        <w:t>Примечание.</w:t>
      </w:r>
      <w:r>
        <w:t xml:space="preserve"> – — нет, + — редко, ++ — иногда, +++ — часто.</w:t>
      </w:r>
    </w:p>
    <w:p w:rsidR="008E3F15" w:rsidRDefault="005F449A">
      <w:pPr>
        <w:spacing w:after="31"/>
        <w:ind w:left="2" w:right="15"/>
      </w:pPr>
      <w:r>
        <w:rPr>
          <w:i/>
        </w:rPr>
        <w:t>Источники.</w:t>
      </w:r>
      <w:r>
        <w:t xml:space="preserve"> APS, NHS, Cochrane Reviews, Huhn M. et al., 2019 и Pillinger T. et al., 2020.</w:t>
      </w:r>
    </w:p>
    <w:p w:rsidR="008E3F15" w:rsidRDefault="005F449A">
      <w:pPr>
        <w:ind w:left="2" w:right="168"/>
      </w:pPr>
      <w:r>
        <w:rPr>
          <w:b/>
        </w:rPr>
        <w:t xml:space="preserve">Организация помощи. </w:t>
      </w:r>
      <w:r>
        <w:t>В ряде стран, например в США, Великобритании, Германии, Финляндии, Швейцарии, «психосоматическая медицина» или «консультативновзаимодействующая психиатрия (consultation-liaison psychiatry)» утверждены в качестве субспециальности психиатрии. Специалисты это</w:t>
      </w:r>
      <w:r>
        <w:t>го профиля консультируют в соматических клиниках и работают в составе команды специалистов, подготовлены для диагностики и лечения психических расстройств в соматической клинике, учитывая особенности клиники и лечения соматических заболеваний, влияние и вз</w:t>
      </w:r>
      <w:r>
        <w:t>аимодействие психотропных и соматотропных препаратов.</w:t>
      </w:r>
    </w:p>
    <w:p w:rsidR="008E3F15" w:rsidRDefault="005F449A">
      <w:pPr>
        <w:spacing w:after="179"/>
        <w:ind w:left="2" w:right="15"/>
      </w:pPr>
      <w:r>
        <w:t>Подготовленный врач-интернист может, как это принято во многих странах, выявлять и лечить нетяжелые депрессивные, тревожные, стрессовые и соматоформные расстройства. Например, 74% пациентов с депрессией</w:t>
      </w:r>
      <w:r>
        <w:t xml:space="preserve"> в США лечатся врачами общей практики, имеющими соответствующую подготовку для лечения распространенных заболеваний, относящихся к разным специальностям медицины (Olfson M. et al., 2016). Консультация психиатра показана в следующих случаях:</w:t>
      </w:r>
    </w:p>
    <w:p w:rsidR="008E3F15" w:rsidRDefault="005F449A">
      <w:pPr>
        <w:ind w:left="347" w:right="2979"/>
      </w:pPr>
      <w:r>
        <w:rPr>
          <w:rFonts w:ascii="Calibri" w:eastAsia="Calibri" w:hAnsi="Calibri" w:cs="Calibri"/>
          <w:noProof/>
          <w:color w:val="000000"/>
          <w:sz w:val="22"/>
        </w:rPr>
        <mc:AlternateContent>
          <mc:Choice Requires="wpg">
            <w:drawing>
              <wp:anchor distT="0" distB="0" distL="114300" distR="114300" simplePos="0" relativeHeight="251928576"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36147" name="Group 33614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2120" name="Shape 22120"/>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122" name="Shape 22122"/>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124" name="Shape 2212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126" name="Shape 22126"/>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128" name="Shape 22128"/>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6147" style="width:4.5pt;height:52.5pt;position:absolute;mso-position-horizontal-relative:text;mso-position-horizontal:absolute;margin-left:16.8633pt;mso-position-vertical-relative:text;margin-top:2.73438pt;" coordsize="571,6667">
                <v:shape id="Shape 22120" style="position:absolute;width:571;height:571;left:0;top:0;" coordsize="57150,57150" path="m28575,0c32364,0,36009,794,39510,2183c43011,3373,46101,5556,48781,8136c51460,10716,53525,13891,54975,17463c56425,21034,57150,24805,57150,28575c57150,32345,56425,35917,54975,39291c53525,42664,51460,45839,48781,48617c46101,51197,43011,53181,39510,54769c36009,56356,32364,56952,28575,57150c24786,56952,21141,56356,17640,54769c14139,53181,11049,51197,8369,48617c5690,45839,3625,42664,2175,39291c725,35917,0,32345,0,28575c0,24805,725,21034,2175,17661c3625,13891,5690,10716,8369,8136c11049,5556,14139,3373,17640,2183c21141,794,24786,0,28575,0x">
                  <v:stroke weight="0pt" endcap="flat" joinstyle="miter" miterlimit="4" on="false" color="#000000" opacity="0"/>
                  <v:fill on="true" color="#333333"/>
                </v:shape>
                <v:shape id="Shape 22122" style="position:absolute;width:571;height:571;left:0;top:1524;" coordsize="57150,57150" path="m28575,0c32364,0,36009,794,39510,2183c43011,3373,46101,5358,48781,8136c51460,10716,53525,13891,54975,17264c56425,20836,57150,24606,57150,28575c57150,32345,56425,35917,54975,39291c53525,42664,51460,45839,48781,48617c46101,51395,43011,53380,39510,54769c36009,56356,32364,56952,28575,57150c24786,56952,21141,56356,17640,54769c14139,53380,11049,51395,8369,48617c5690,45839,3625,42664,2175,39291c725,35917,0,32345,0,28575c0,24606,725,20836,2175,17264c3625,13891,5690,10716,8369,8136c11049,5358,14139,3373,17640,2183c21141,794,24786,0,28575,0x">
                  <v:stroke weight="0pt" endcap="flat" joinstyle="miter" miterlimit="4" on="false" color="#000000" opacity="0"/>
                  <v:fill on="true" color="#333333"/>
                </v:shape>
                <v:shape id="Shape 22124" style="position:absolute;width:571;height:571;left:0;top:3048;" coordsize="57150,57150" path="m28575,0c32364,0,36009,794,39510,2183c43011,3373,46101,5556,48781,8334c51460,10914,53525,14089,54975,17463c56425,21034,57150,24805,57150,28575c57150,32345,56425,35917,54975,39291c53525,42664,51460,45839,48781,48617c46101,51197,43011,53181,39510,54769c36009,56356,32364,56952,28575,57150c24786,56952,21141,56356,17640,54769c14139,53181,11049,51197,8369,48617c5690,45839,3625,42664,2175,39291c725,35917,0,32345,0,28575c0,24805,725,21034,2175,17463c3625,14089,5690,10914,8369,8334c11049,5556,14139,3373,17640,2183c21141,794,24786,0,28575,0x">
                  <v:stroke weight="0pt" endcap="flat" joinstyle="miter" miterlimit="4" on="false" color="#000000" opacity="0"/>
                  <v:fill on="true" color="#333333"/>
                </v:shape>
                <v:shape id="Shape 22126" style="position:absolute;width:571;height:571;left:0;top:4572;" coordsize="57150,57150" path="m28575,0c32364,0,36009,794,39510,2183c43011,3373,46101,5556,48781,8334c51460,10914,53525,14089,54975,17463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463c3625,14089,5690,10914,8369,8334c11049,5556,14139,3373,17640,2183c21141,794,24786,0,28575,0x">
                  <v:stroke weight="0pt" endcap="flat" joinstyle="miter" miterlimit="4" on="false" color="#000000" opacity="0"/>
                  <v:fill on="true" color="#333333"/>
                </v:shape>
                <v:shape id="Shape 22128" style="position:absolute;width:571;height:571;left:0;top:6096;" coordsize="57150,57150" path="m28575,0c32364,0,36009,595,39510,1984c43011,3373,46101,5556,48781,8334c51460,10914,53525,14089,54975,17463c56425,21034,57150,24805,57150,28575c57150,32345,56425,35917,54975,39291c53525,42664,51460,45839,48781,48617c46101,51197,43011,53181,39510,54769c36009,56356,32364,56952,28575,57150c24786,56952,21141,56356,17640,54769c14139,53181,11049,51197,8369,48617c5690,45839,3625,42664,2175,39291c725,35917,0,32345,0,28575c0,24805,725,21034,2175,17463c3625,14089,5690,10914,8369,8334c11049,5556,14139,3373,17640,1984c21141,595,24786,0,28575,0x">
                  <v:stroke weight="0pt" endcap="flat" joinstyle="miter" miterlimit="4" on="false" color="#000000" opacity="0"/>
                  <v:fill on="true" color="#333333"/>
                </v:shape>
                <w10:wrap type="square"/>
              </v:group>
            </w:pict>
          </mc:Fallback>
        </mc:AlternateContent>
      </w:r>
      <w:r>
        <w:t xml:space="preserve">психотические </w:t>
      </w:r>
      <w:r>
        <w:t>симптомы (бред, галлюцинации); суицидальные мысли, попытки;</w:t>
      </w:r>
    </w:p>
    <w:p w:rsidR="008E3F15" w:rsidRDefault="005F449A">
      <w:pPr>
        <w:spacing w:after="31"/>
        <w:ind w:left="347" w:right="15"/>
      </w:pPr>
      <w:r>
        <w:t>отсутствие эффекта лечения (для депрессии в течение 4 нед);</w:t>
      </w:r>
    </w:p>
    <w:p w:rsidR="008E3F15" w:rsidRDefault="005F449A">
      <w:pPr>
        <w:spacing w:after="359"/>
        <w:ind w:left="347" w:right="15"/>
      </w:pPr>
      <w:r>
        <w:t>психомоторное возбуждение, препятствующее лечению соматического заболевания; делирий — острое расстройство, характеризующееся сочетанным</w:t>
      </w:r>
      <w:r>
        <w:t xml:space="preserve"> расстройством сознания и внимания, восприятия, мышления, памяти, психомоторного поведения, эмоций и ритма сон-бодрствование.</w:t>
      </w:r>
    </w:p>
    <w:p w:rsidR="008E3F15" w:rsidRDefault="005F449A">
      <w:pPr>
        <w:pStyle w:val="Heading1"/>
        <w:ind w:left="2"/>
      </w:pPr>
      <w:r>
        <w:t>Часть II. Коморбидные болезни</w:t>
      </w:r>
    </w:p>
    <w:p w:rsidR="008E3F15" w:rsidRDefault="005F449A">
      <w:pPr>
        <w:ind w:left="2" w:right="186"/>
      </w:pPr>
      <w:r>
        <w:t>Необходимость активного участия интернистов в ведении психосоматических расстройств связана с тем, ч</w:t>
      </w:r>
      <w:r>
        <w:t>то большинство пациентов с психосоматической патологией обращаются не в специализированные психиатрические, а в общесоматические учреждения. Кроме того, среди населения всех стран существует стойкое предубеждение перед консультацией психиатра.</w:t>
      </w:r>
    </w:p>
    <w:p w:rsidR="008E3F15" w:rsidRDefault="005F449A">
      <w:pPr>
        <w:spacing w:after="179"/>
        <w:ind w:left="2" w:right="15"/>
      </w:pPr>
      <w:r>
        <w:t>В случае нео</w:t>
      </w:r>
      <w:r>
        <w:t>бходимости консультации психиатра важно подготовить пациента. С этой целью можно подчеркнуть наличие дистресса, вызванного заболеванием, и целесообразность консультации специалиста в этой области. Желательно указать, что пациент продолжит обследование и ле</w:t>
      </w:r>
      <w:r>
        <w:t xml:space="preserve">чение у терапевта. Наилучшим вариантом следует признать посещение психиатра соматического отделения и совместную консультацию с врачом общей практики. </w:t>
      </w:r>
      <w:r>
        <w:rPr>
          <w:b/>
        </w:rPr>
        <w:t>Профилактика</w:t>
      </w:r>
      <w:r>
        <w:t xml:space="preserve"> психических расстройств включает:</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29600" behindDoc="0" locked="0" layoutInCell="1" allowOverlap="1">
                <wp:simplePos x="0" y="0"/>
                <wp:positionH relativeFrom="column">
                  <wp:posOffset>214164</wp:posOffset>
                </wp:positionH>
                <wp:positionV relativeFrom="paragraph">
                  <wp:posOffset>34727</wp:posOffset>
                </wp:positionV>
                <wp:extent cx="57150" cy="514350"/>
                <wp:effectExtent l="0" t="0" r="0" b="0"/>
                <wp:wrapSquare wrapText="bothSides"/>
                <wp:docPr id="329028" name="Group 32902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2172" name="Shape 22172"/>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175" name="Shape 22175"/>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177" name="Shape 2217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9028" style="width:4.5pt;height:40.5pt;position:absolute;mso-position-horizontal-relative:text;mso-position-horizontal:absolute;margin-left:16.8633pt;mso-position-vertical-relative:text;margin-top:2.73438pt;" coordsize="571,5143">
                <v:shape id="Shape 22172" style="position:absolute;width:571;height:571;left:0;top:0;" coordsize="57150,57150" path="m28575,0c32364,0,36009,595,39510,1984c43011,3373,46101,5358,48781,8136c51460,10914,53525,14089,54975,17463c56425,20836,57150,24606,57150,28575c57150,32345,56425,35917,54975,39489c53525,42863,51460,46038,48781,48617c46101,51197,43011,53380,39510,54570c36009,56356,32364,56952,28575,57150c24786,56952,21141,56356,17640,54769c14139,53380,11049,51197,8369,48617c5690,46038,3625,42863,2175,39489c725,35917,0,32345,0,28575c0,24606,725,20836,2175,17463c3625,14089,5690,10914,8369,8136c11049,5358,14139,3373,17640,1984c21141,595,24786,0,28575,0x">
                  <v:stroke weight="0pt" endcap="flat" joinstyle="miter" miterlimit="10" on="false" color="#000000" opacity="0"/>
                  <v:fill on="true" color="#333333"/>
                </v:shape>
                <v:shape id="Shape 22175" style="position:absolute;width:571;height:571;left:0;top:3048;"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v:shape id="Shape 22177" style="position:absolute;width:571;height:571;left:0;top:4572;"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358,14139,3373,17640,1984c21141,595,24786,0,28575,0x">
                  <v:stroke weight="0pt" endcap="flat" joinstyle="miter" miterlimit="10" on="false" color="#000000" opacity="0"/>
                  <v:fill on="true" color="#333333"/>
                </v:shape>
                <w10:wrap type="square"/>
              </v:group>
            </w:pict>
          </mc:Fallback>
        </mc:AlternateContent>
      </w:r>
      <w:r>
        <w:t>укрепление общего здоровья населения (методы контроля стр</w:t>
      </w:r>
      <w:r>
        <w:t>есса, физические нагрузки);</w:t>
      </w:r>
    </w:p>
    <w:p w:rsidR="008E3F15" w:rsidRDefault="005F449A">
      <w:pPr>
        <w:spacing w:after="359"/>
        <w:ind w:left="347" w:right="248"/>
      </w:pPr>
      <w:r>
        <w:t>систему ранней диагностики и предупреждение обострения психических заболеваний; психическую реабилитацию больных и инвалидов с соматической патологией (ИМ, инсульт, хроническая обструктивная болезнь легких, ХСН, рак и т. д.).</w:t>
      </w:r>
    </w:p>
    <w:p w:rsidR="008E3F15" w:rsidRDefault="005F449A">
      <w:pPr>
        <w:pStyle w:val="Heading1"/>
        <w:ind w:left="2"/>
      </w:pPr>
      <w:r>
        <w:t>Ча</w:t>
      </w:r>
      <w:r>
        <w:t>сть II. Коморбидные болезни</w:t>
      </w:r>
    </w:p>
    <w:p w:rsidR="008E3F15" w:rsidRDefault="005F449A">
      <w:pPr>
        <w:spacing w:after="31"/>
        <w:ind w:left="2" w:right="15"/>
      </w:pPr>
      <w:r>
        <w:t>Тревожные, депрессивные и соматоформные расстройства</w:t>
      </w:r>
    </w:p>
    <w:p w:rsidR="008E3F15" w:rsidRDefault="005F449A">
      <w:pPr>
        <w:ind w:left="2" w:right="15"/>
      </w:pPr>
      <w:r>
        <w:rPr>
          <w:b/>
        </w:rPr>
        <w:t xml:space="preserve">Депрессивные расстройства. </w:t>
      </w:r>
      <w:r>
        <w:t>Депрессия — патологическое состояние эмоциональной сферы, характеризующееся сниженным настроением, с пессимистической оценкой себя, ситуации, окружающей действительности, интеллектуальным и двигательным торможением, снижением побуждений и соматовегетативны</w:t>
      </w:r>
      <w:r>
        <w:t>ми нарушениями.</w:t>
      </w:r>
    </w:p>
    <w:p w:rsidR="008E3F15" w:rsidRDefault="005F449A">
      <w:pPr>
        <w:ind w:left="2" w:right="562"/>
      </w:pPr>
      <w:r>
        <w:t>Утрачивается чувство радости, удовольствия от общения, еды, секса. Пропадает интерес к тому, что ранее привлекало и волновало: к семье, детям, работе. Настоящее и будущее воспринимаются в мрачном свете. Возникают идеи самообвинения, самоуни</w:t>
      </w:r>
      <w:r>
        <w:t>чижения, суицидальные мысли, нарушаются сон и аппетит. Внешне это проявляется грустным выражением лица, больные выглядят старше своих лет, у них седеют и выпадают волосы, становятся ломкими ногти.</w:t>
      </w:r>
    </w:p>
    <w:p w:rsidR="008E3F15" w:rsidRDefault="005F449A">
      <w:pPr>
        <w:ind w:left="2" w:right="1147"/>
      </w:pPr>
      <w:r>
        <w:t>Необходимость своевременной диагностики депрессии и помощи больным связана с высокой опасностью данного заболевания для жизни, поскольку до 15% больных с депрессивными расстройствами заканчивают жизнь самоубийством.</w:t>
      </w:r>
    </w:p>
    <w:p w:rsidR="008E3F15" w:rsidRDefault="005F449A">
      <w:pPr>
        <w:ind w:left="2" w:right="977"/>
      </w:pPr>
      <w:r>
        <w:t>Депрессию следует отличать от естественн</w:t>
      </w:r>
      <w:r>
        <w:t>ой (физиологической) реакции человека на неприятные ситуации, жизненные неудачи и психические травмы.</w:t>
      </w:r>
    </w:p>
    <w:p w:rsidR="008E3F15" w:rsidRDefault="005F449A">
      <w:pPr>
        <w:ind w:left="2" w:right="87"/>
      </w:pPr>
      <w:r>
        <w:rPr>
          <w:i/>
        </w:rPr>
        <w:t>Депрессивный эпизод</w:t>
      </w:r>
      <w:r>
        <w:t xml:space="preserve"> — состояние депрессии продолжительностью более 2 нед — может повторяться в рамках рекуррентного депрессивного или биполярного (с эпизо</w:t>
      </w:r>
      <w:r>
        <w:t xml:space="preserve">дами гипомании, мании или смешанной аффективной симптоматики) расстройства. Для лечения назначают антидепрессанты, среди которых в условиях соматических лечебных учреждений предпочтение отдают более безопасным и лучше изученным при заболеваниях внутренних </w:t>
      </w:r>
      <w:r>
        <w:t>органов СИОЗС. При нетяжелой депрессии лечение проводят амбулаторно в течение 6– 12 мес. В случае риска суицида, при наличии психотических симптомов в виде галлюцинаций и бреда, тяжелом течении необходима консультация психиатра.</w:t>
      </w:r>
    </w:p>
    <w:p w:rsidR="008E3F15" w:rsidRDefault="005F449A">
      <w:pPr>
        <w:ind w:left="2" w:right="223"/>
      </w:pPr>
      <w:r>
        <w:t>При диагностике депрессивны</w:t>
      </w:r>
      <w:r>
        <w:t xml:space="preserve">х расстройств необходимо учитывать возможность биполярного аффективного расстройства, вследствие чего нужно обращать внимание на наличие гипомании/мании, смешанных аффективных симптомов в анамнезе, случаев биполярного аффективного расстройства у ближайших </w:t>
      </w:r>
      <w:r>
        <w:t xml:space="preserve">родственников. В этих случаях назначение антидепрессанта может вызывать манию. Лечение биполярной депрессии включает нормотимики и во многих случаях атипичные нейролептики (из антидепрессантов назначаются коротким курсом СИОЗС, а также возможно назначение </w:t>
      </w:r>
      <w:r>
        <w:t xml:space="preserve">других антидепрессантов с минимальным риском инверсии депрессии) и проводится психиатром. </w:t>
      </w:r>
      <w:r>
        <w:rPr>
          <w:i/>
        </w:rPr>
        <w:t>Дистимия</w:t>
      </w:r>
      <w:r>
        <w:t xml:space="preserve"> — не менее двух лет постоянная или часто повторяющаяся депрессия с возможными периодами нормального настроения, редко продолжающимися больше нескольких недел</w:t>
      </w:r>
      <w:r>
        <w:t>ь. Применяют когнитивно-поведенческую психотерапию или антидепрессанты в течение не менее 12–24 мес.</w:t>
      </w:r>
    </w:p>
    <w:p w:rsidR="008E3F15" w:rsidRDefault="005F449A">
      <w:pPr>
        <w:ind w:left="2" w:right="15"/>
      </w:pPr>
      <w:r>
        <w:t>В американской классификации DSM-5 и статистического руководства по психическим расстройствам 5-го издания была введена рубрика персистирующего депрессивно</w:t>
      </w:r>
      <w:r>
        <w:t>го расстройства, объединяющая дистимию и хроническое депрессивное расстройство, поскольку не было найдено значимых различий между ними.</w:t>
      </w:r>
    </w:p>
    <w:p w:rsidR="008E3F15" w:rsidRDefault="005F449A">
      <w:pPr>
        <w:ind w:left="2" w:right="15"/>
      </w:pPr>
      <w:r>
        <w:rPr>
          <w:i/>
        </w:rPr>
        <w:t>Расстройство адаптации</w:t>
      </w:r>
      <w:r>
        <w:t xml:space="preserve"> в виде кратковременной (до 1 мес) или пролонгированной (1 мес – 2 года) депрессивной реакции появ</w:t>
      </w:r>
      <w:r>
        <w:t>ляется в течение месяца после стрессового жизненного события (включая наличие или возможность серьезной физической болезни) и обычно проходит после прекращения действия стрессорного фактора в период до полугода. Психотерапевтическое воздействие является ос</w:t>
      </w:r>
      <w:r>
        <w:t>новным методом лечения. Проявляя сочувствие и внимание, следует побуждать человека к самостоятельному поиску альтернативных путей решения проблемы. Антидепрессанты используют только при выраженной и пролонгированной депрессивной симптоматике.</w:t>
      </w:r>
    </w:p>
    <w:p w:rsidR="008E3F15" w:rsidRDefault="005F449A">
      <w:pPr>
        <w:ind w:left="2" w:right="278"/>
      </w:pPr>
      <w:r>
        <w:rPr>
          <w:i/>
        </w:rPr>
        <w:t>Депрессия, вы</w:t>
      </w:r>
      <w:r>
        <w:rPr>
          <w:i/>
        </w:rPr>
        <w:t>званная соматической болезнью,</w:t>
      </w:r>
      <w:r>
        <w:t xml:space="preserve"> характеризуется снижением настроения и обычно сопровождается изменением общей активности вследствие церебрального или физического расстройства, наличие которого должно быть подтверждено адекватными соматическими и лабораторны</w:t>
      </w:r>
      <w:r>
        <w:t>ми исследованиями или объективными анамнестическими сведениями.</w:t>
      </w:r>
    </w:p>
    <w:p w:rsidR="008E3F15" w:rsidRDefault="005F449A">
      <w:pPr>
        <w:ind w:left="2" w:right="118"/>
      </w:pPr>
      <w:r>
        <w:rPr>
          <w:b/>
        </w:rPr>
        <w:t xml:space="preserve">Тревожные расстройства. </w:t>
      </w:r>
      <w:r>
        <w:t>Тревога характеризуется напряженным ожиданием неблагоприятного события, реального или мнимого. Тревога обычно сопряжена с соматическими и вегетативными симптомами, вклю</w:t>
      </w:r>
      <w:r>
        <w:t>чая дрожь, головокружение, мышечное напряжение, одышку, затруднение при глотании, тахикардию, потливость, похолодание рук, диарею, учащенное мочеиспускание, различные неприятные ощущения, например боль в спине, головную боль напряжения, парестезии в конечн</w:t>
      </w:r>
      <w:r>
        <w:t>остях.</w:t>
      </w:r>
    </w:p>
    <w:p w:rsidR="008E3F15" w:rsidRDefault="005F449A">
      <w:pPr>
        <w:ind w:left="2" w:right="15"/>
      </w:pPr>
      <w:r>
        <w:t>Группа тревожных расстройств включает паническое расстройство, генерализованное тревожное расстройство, фобии. Достаточно часто в клинической практике встречаются смешанные тревожные расстройства. Тревога также определяет симптоматику обсессивнокомп</w:t>
      </w:r>
      <w:r>
        <w:t>ульсивного и посттравматического стрессового расстройства.</w:t>
      </w:r>
    </w:p>
    <w:p w:rsidR="008E3F15" w:rsidRDefault="005F449A">
      <w:pPr>
        <w:ind w:left="2" w:right="15"/>
      </w:pPr>
      <w:r>
        <w:rPr>
          <w:i/>
        </w:rPr>
        <w:t>Паническое расстройство</w:t>
      </w:r>
      <w:r>
        <w:t xml:space="preserve"> характеризуется спонтанными приступами пароксизмальной тревоги (паники), которые нередко сочетаются с агорафобией (боязнью оказаться в ситуации, где помощь больному ограниче</w:t>
      </w:r>
      <w:r>
        <w:t>нна). В клинике панического расстройства наиболее ярко выступают вегетативные симптомы тревоги. В межприступный период может сохраняться тревога ожидания.</w:t>
      </w:r>
    </w:p>
    <w:p w:rsidR="008E3F15" w:rsidRDefault="005F449A">
      <w:pPr>
        <w:spacing w:after="359"/>
        <w:ind w:left="2" w:right="15"/>
      </w:pPr>
      <w:r>
        <w:t>Обычно приступ паники проходит самостоятельно до 30 мин. При необходимости можно использовать успокаи</w:t>
      </w:r>
      <w:r>
        <w:t>вающее самовнушение, при гипервентиляции дышат в пакет, для уменьшения сердцебиения и тревоги ожидания применяют пропранолол.</w:t>
      </w:r>
    </w:p>
    <w:p w:rsidR="008E3F15" w:rsidRDefault="005F449A">
      <w:pPr>
        <w:pStyle w:val="Heading1"/>
        <w:ind w:left="2"/>
      </w:pPr>
      <w:r>
        <w:t>Часть II. Коморбидные болезни</w:t>
      </w:r>
    </w:p>
    <w:p w:rsidR="008E3F15" w:rsidRDefault="005F449A">
      <w:pPr>
        <w:ind w:left="2" w:right="15"/>
      </w:pPr>
      <w:r>
        <w:t>Для непродолжительного лечения используют бензодиазепиновые транквилизаторы (алпразолам 0,25–1 мг, к</w:t>
      </w:r>
      <w:r>
        <w:t>лоназепам 0,5–1 мг 3 раза в день) или небензодиазепиновые анксиолитики (гидроксизин 25–50 мг 2 раза). При необходимости дозу транквилизаторов постепенно увеличивают через каждые 3 дня. Для однократного приема можно использовать клоназепам 0,5–1 мг с начало</w:t>
      </w:r>
      <w:r>
        <w:t>м действия через 15–30 мин.</w:t>
      </w:r>
    </w:p>
    <w:p w:rsidR="008E3F15" w:rsidRDefault="005F449A">
      <w:pPr>
        <w:ind w:left="2" w:right="495"/>
      </w:pPr>
      <w:r>
        <w:t>При частых и тяжелых приступах проводят длительную терапию антидепрессантами (предпочтительнее СИОЗС, например сертралин 50–200 мг или эсциталопрам 10–20 мг) до 12–18 мес.</w:t>
      </w:r>
    </w:p>
    <w:p w:rsidR="008E3F15" w:rsidRDefault="005F449A">
      <w:pPr>
        <w:ind w:left="2" w:right="658"/>
      </w:pPr>
      <w:r>
        <w:rPr>
          <w:i/>
        </w:rPr>
        <w:t>Генерализованное тревожное расстройство</w:t>
      </w:r>
      <w:r>
        <w:t xml:space="preserve"> характеризуется </w:t>
      </w:r>
      <w:r>
        <w:t>тревогой, которая носит генерализованный и стойкий (&gt;6 мес) характер, но не ограничивается какими-либо определенными средовыми обстоятельствами. Доминирующие симптомы очень вариабельны, но частыми являются жалобы на чувство постоянной нервозности, дрожь, м</w:t>
      </w:r>
      <w:r>
        <w:t>ышечное напряжение, потливость, сердцебиение, головокружение и дискомфорт в эпигастральной области.</w:t>
      </w:r>
    </w:p>
    <w:p w:rsidR="008E3F15" w:rsidRDefault="005F449A">
      <w:pPr>
        <w:ind w:left="2" w:right="587"/>
      </w:pPr>
      <w:r>
        <w:t>Лечение генерализованного тревожного расстройства начинают обычно с сочетания психотерапевтического лечения и психотропных средств (препаратами выбора являются СИОЗС, венлафаксин) и проводится длительно, обычно не менее года. В тяжелых случаях дополнительн</w:t>
      </w:r>
      <w:r>
        <w:t>о используют короткий курс транквилизаторов (например, алпразолам или диазепам).</w:t>
      </w:r>
    </w:p>
    <w:p w:rsidR="008E3F15" w:rsidRDefault="005F449A">
      <w:pPr>
        <w:ind w:left="2" w:right="15"/>
      </w:pPr>
      <w:r>
        <w:rPr>
          <w:i/>
        </w:rPr>
        <w:t>Специфические фобии</w:t>
      </w:r>
      <w:r>
        <w:t xml:space="preserve"> (иррациональный страх какого-либо объекта или ситуации), </w:t>
      </w:r>
      <w:r>
        <w:rPr>
          <w:i/>
        </w:rPr>
        <w:t>социальная фобия</w:t>
      </w:r>
      <w:r>
        <w:t xml:space="preserve"> (страх публичного выступления) характеризуются доминированием психологических сим</w:t>
      </w:r>
      <w:r>
        <w:t>птомов тревоги и легко распознаются. Когнитивно-поведенческая терапия, основанная на постепенной адаптации к пугающей ситуации и изменении фобического мышления, является основным методом лечения.</w:t>
      </w:r>
    </w:p>
    <w:p w:rsidR="008E3F15" w:rsidRDefault="005F449A">
      <w:pPr>
        <w:ind w:left="2" w:right="113"/>
      </w:pPr>
      <w:r>
        <w:rPr>
          <w:i/>
        </w:rPr>
        <w:t xml:space="preserve">Посттравматическое стрессовое расстройство — </w:t>
      </w:r>
      <w:r>
        <w:t>отставленная и/</w:t>
      </w:r>
      <w:r>
        <w:t>или затяжная реакция на стрессовое событие или ситуацию, включающая эпизоды повторного переживания травмы в виде навязчивых воспоминаний, снов или кошмаров, отчуждения от других людей, отсутствия реакции на окружающее, уклонения от деятельности и ситуаций,</w:t>
      </w:r>
      <w:r>
        <w:t xml:space="preserve"> напоминающих о травме, вегетативное возбуждение, усиление реакции испуга, бессонницу.</w:t>
      </w:r>
    </w:p>
    <w:p w:rsidR="008E3F15" w:rsidRDefault="005F449A">
      <w:pPr>
        <w:ind w:left="2" w:right="15"/>
      </w:pPr>
      <w:r>
        <w:t>Обычный подход в терапии — сочетанное применение психофармакологии (как правило, СИОЗС, антидепрессанты двойного действия, при клинической необходимости — транквилизатор</w:t>
      </w:r>
      <w:r>
        <w:t>ы, атипичные антипсихотики) и психотерапии.</w:t>
      </w:r>
    </w:p>
    <w:p w:rsidR="008E3F15" w:rsidRDefault="005F449A">
      <w:pPr>
        <w:ind w:left="2" w:right="15"/>
      </w:pPr>
      <w:r>
        <w:rPr>
          <w:b/>
        </w:rPr>
        <w:t xml:space="preserve">Соматоформные расстройства. </w:t>
      </w:r>
      <w:r>
        <w:t>Соматоформные расстройства характеризуются симптомами, напоминающими соматическое заболевание, но при этом не обнаруживается никаких органических изменений, которые можно было бы отнес</w:t>
      </w:r>
      <w:r>
        <w:t>ти к известной в медицине болезни. Основное значение в развитии данных нарушений придается психологическому дистрессу. Выделено несколько типов соматоформных расстройств: соматизированное расстройство, недифференцированное соматоформное расстройство, ипохо</w:t>
      </w:r>
      <w:r>
        <w:t>ндрия, соматоформная вегетативная дисфункция, хроническое соматоформное болевое расстройство.</w:t>
      </w:r>
    </w:p>
    <w:p w:rsidR="008E3F15" w:rsidRDefault="005F449A">
      <w:pPr>
        <w:ind w:left="2" w:right="15"/>
      </w:pPr>
      <w:r>
        <w:rPr>
          <w:i/>
        </w:rPr>
        <w:t xml:space="preserve">Соматизированное расстройство </w:t>
      </w:r>
      <w:r>
        <w:t>характеризуется наличием множественных, повторно возникающих и часто видоизменяющихся соматических симптомов, часто с драматическим,</w:t>
      </w:r>
      <w:r>
        <w:t xml:space="preserve"> напористым характером предъявления, в любой части тела или системе. Часто встречаются</w:t>
      </w:r>
    </w:p>
    <w:p w:rsidR="008E3F15" w:rsidRDefault="005F449A">
      <w:pPr>
        <w:ind w:left="2" w:right="362"/>
      </w:pPr>
      <w:r>
        <w:t>желудочно-кишечные ощущения и аномальные кожные ощущения (зуд, жжение, покалывание, онемение, болезненность и т.д.). Течение расстройства хроническое и флюктуирующее, со</w:t>
      </w:r>
      <w:r>
        <w:t>четается с длительным нарушением социального, межперсонального и семейного поведения. Пациенты проходят длительный и сложный путь обследования и лечения в первичной и специализированной медицинской службе. Как правило, длительность жалоб должна превышать с</w:t>
      </w:r>
      <w:r>
        <w:t>рок в 2 года.</w:t>
      </w:r>
    </w:p>
    <w:p w:rsidR="008E3F15" w:rsidRDefault="005F449A">
      <w:pPr>
        <w:ind w:left="2" w:right="15"/>
      </w:pPr>
      <w:r>
        <w:t xml:space="preserve">Лечение сочетает психофармакотерапию с психотерапевтическими мероприятиями, направленными на уменьшение злоупотребления лекарственными средствами или другими лечебными и диагностическими процедурами, ограничение хождения пациентов по врачам. </w:t>
      </w:r>
      <w:r>
        <w:rPr>
          <w:i/>
        </w:rPr>
        <w:t xml:space="preserve">Ипохондрическое расстройство </w:t>
      </w:r>
      <w:r>
        <w:t>характеризуется упорным, сохраняющимся не менее 6 мес убеждением в наличии серьезного соматического заболевания. Пациенты отказываются верить медицинским заключениям специалистов и результатам лабораторных тестов, указывающим н</w:t>
      </w:r>
      <w:r>
        <w:t>а отсутствие соматического заболевания. Ограничиваются психотерапевтическим воздействием, избегая лекарственных препаратов.</w:t>
      </w:r>
    </w:p>
    <w:p w:rsidR="008E3F15" w:rsidRDefault="005F449A">
      <w:pPr>
        <w:ind w:left="2" w:right="172"/>
      </w:pPr>
      <w:r>
        <w:rPr>
          <w:i/>
        </w:rPr>
        <w:t xml:space="preserve">Соматоформная вегетативная дисфункция </w:t>
      </w:r>
      <w:r>
        <w:t>проявляется как объективными признаками вегетативного возбуждения (потливость, тремор, покрасн</w:t>
      </w:r>
      <w:r>
        <w:t>ение и др.), так и субъективными и неспецифическими симптомами, которые относятся больными к определенному органу или системе, например сердечно-сосудистой (кардиалгия, сердцебиение), дыхательной (одышка) или желудочно-кишечной системе (боли в животе, расс</w:t>
      </w:r>
      <w:r>
        <w:t>тройство стула). В большинстве случаев вегетативная дисфункция вторична и обусловлена тревожными и другими психическими расстройствами. В лечении первичных вегетативных дисфункций акцент делают на коррекции вегетативного дисбаланса и симптоматической терап</w:t>
      </w:r>
      <w:r>
        <w:t xml:space="preserve">ии. </w:t>
      </w:r>
      <w:r>
        <w:rPr>
          <w:i/>
        </w:rPr>
        <w:t xml:space="preserve">Соматоформное болевое расстройство </w:t>
      </w:r>
      <w:r>
        <w:t>проявляется постоянной, тяжелой и психически угнетающей болью. Для лечения применяют программы лечения хронической боли, включающие психотерапевтические методы и при необходимости — антидепрессанты (ТЦА, и особенно кл</w:t>
      </w:r>
      <w:r>
        <w:t>омипрамин, СИОЗС и норадреналина).</w:t>
      </w:r>
    </w:p>
    <w:p w:rsidR="008E3F15" w:rsidRDefault="005F449A">
      <w:pPr>
        <w:spacing w:after="359"/>
        <w:ind w:left="2" w:right="15"/>
      </w:pPr>
      <w:r>
        <w:t xml:space="preserve">В американской классификации DSM-5 предложено объединить большую часть соматоформных расстройств, включая недифференцированные, что следует признать прагматичным подходом. Критерии расстройства с соматическими симптомами </w:t>
      </w:r>
      <w:r>
        <w:t xml:space="preserve">включают один или более соматический симптом, вызывающий дистресс или значительно нарушающий жизнедеятельность, сопровождающийся чрезмерными мыслями, чувствами, изменением поведения. Большинство пациентов с ипохондрией соответствуют критериям расстройства </w:t>
      </w:r>
      <w:r>
        <w:t>с соматическими симптомами, а остальные включены в расстройство с тревогой о здоровье, если озабоченность наличием или появлением серьезного заболевания не сопровождается выраженными соматическими симптомами.</w:t>
      </w:r>
    </w:p>
    <w:p w:rsidR="008E3F15" w:rsidRDefault="005F449A">
      <w:pPr>
        <w:pStyle w:val="Heading1"/>
        <w:ind w:left="2"/>
      </w:pPr>
      <w:r>
        <w:t>Часть II. Коморбидные болезни</w:t>
      </w:r>
    </w:p>
    <w:p w:rsidR="008E3F15" w:rsidRDefault="005F449A">
      <w:pPr>
        <w:spacing w:after="31"/>
        <w:ind w:left="2" w:right="15"/>
      </w:pPr>
      <w:r>
        <w:t>Когнитивные наруш</w:t>
      </w:r>
      <w:r>
        <w:t>ения и деменция</w:t>
      </w:r>
    </w:p>
    <w:p w:rsidR="008E3F15" w:rsidRDefault="005F449A">
      <w:pPr>
        <w:ind w:left="2" w:right="15"/>
      </w:pPr>
      <w:r>
        <w:t>Под деменцией понимают нарушения памяти, мышления и ориентировки, которые вызывают затруднения в повседневной и профессиональной деятельности.</w:t>
      </w:r>
    </w:p>
    <w:p w:rsidR="008E3F15" w:rsidRDefault="005F449A">
      <w:pPr>
        <w:ind w:left="2" w:right="140"/>
      </w:pPr>
      <w:r>
        <w:t>Болезнь Альцгеймера представляет собой наиболее распространенную форму деменций у лиц старшего во</w:t>
      </w:r>
      <w:r>
        <w:t>зраста, которая обусловлена накоплением в паренхиме головного мозга βамилоида и τ-протеина, приводящих к гибели нейронов (</w:t>
      </w:r>
      <w:r>
        <w:rPr>
          <w:b/>
        </w:rPr>
        <w:t>рис. 18.2</w:t>
      </w:r>
      <w:r>
        <w:t>). При раннем (до 65 лет) начале болезни важную роль играет генетическая отягощенность.</w:t>
      </w:r>
    </w:p>
    <w:p w:rsidR="008E3F15" w:rsidRDefault="005F449A">
      <w:pPr>
        <w:spacing w:after="65" w:line="259" w:lineRule="auto"/>
        <w:ind w:left="7" w:right="0" w:firstLine="0"/>
      </w:pPr>
      <w:r>
        <w:rPr>
          <w:noProof/>
        </w:rPr>
        <w:drawing>
          <wp:inline distT="0" distB="0" distL="0" distR="0">
            <wp:extent cx="5057775" cy="3886200"/>
            <wp:effectExtent l="0" t="0" r="0" b="0"/>
            <wp:docPr id="22398" name="Picture 22398"/>
            <wp:cNvGraphicFramePr/>
            <a:graphic xmlns:a="http://schemas.openxmlformats.org/drawingml/2006/main">
              <a:graphicData uri="http://schemas.openxmlformats.org/drawingml/2006/picture">
                <pic:pic xmlns:pic="http://schemas.openxmlformats.org/drawingml/2006/picture">
                  <pic:nvPicPr>
                    <pic:cNvPr id="22398" name="Picture 22398"/>
                    <pic:cNvPicPr/>
                  </pic:nvPicPr>
                  <pic:blipFill>
                    <a:blip r:embed="rId179"/>
                    <a:stretch>
                      <a:fillRect/>
                    </a:stretch>
                  </pic:blipFill>
                  <pic:spPr>
                    <a:xfrm>
                      <a:off x="0" y="0"/>
                      <a:ext cx="5057775" cy="3886200"/>
                    </a:xfrm>
                    <a:prstGeom prst="rect">
                      <a:avLst/>
                    </a:prstGeom>
                  </pic:spPr>
                </pic:pic>
              </a:graphicData>
            </a:graphic>
          </wp:inline>
        </w:drawing>
      </w:r>
    </w:p>
    <w:p w:rsidR="008E3F15" w:rsidRDefault="005F449A">
      <w:pPr>
        <w:ind w:left="2" w:right="15"/>
      </w:pPr>
      <w:r>
        <w:rPr>
          <w:b/>
        </w:rPr>
        <w:t xml:space="preserve">Рис. 18.2. </w:t>
      </w:r>
      <w:r>
        <w:t>Причины деменции у лиц ≥68 лет в исследовании Medicare FFS (Goodman R. et al., 2017)</w:t>
      </w:r>
    </w:p>
    <w:p w:rsidR="008E3F15" w:rsidRDefault="005F449A">
      <w:pPr>
        <w:ind w:left="2" w:right="15"/>
      </w:pPr>
      <w:r>
        <w:t>В Европе частота болезни Альцгеймера составляет 5%, у мужчин 3% и у женщин 7% (Niu H. et al., 2017). В странах с высоким уровнем доходов деменция занимает второе место после коронарной болезни среди причин смертности населения (ВОЗ Global Health Estimates)</w:t>
      </w:r>
      <w:r>
        <w:t>. Деменция обычно развивается постепенно (за исключением посттравматических, постинсультных расстройств), в течение нескольких месяцев или лет могут выявляться когнитивные нарушения в виде нарушения памяти и концентрации внимания, не приводящие к социально</w:t>
      </w:r>
      <w:r>
        <w:t>й дезадаптации пациента.</w:t>
      </w:r>
    </w:p>
    <w:p w:rsidR="008E3F15" w:rsidRDefault="005F449A">
      <w:pPr>
        <w:spacing w:after="165"/>
        <w:ind w:left="2" w:right="15"/>
      </w:pPr>
      <w:r>
        <w:t>Экспертами ВОЗ выделены следующие стадии деменции.</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30624"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24746" name="Group 324746"/>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2410" name="Shape 22410"/>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413" name="Shape 2241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24746" style="width:4.5pt;height:28.5pt;position:absolute;mso-position-horizontal-relative:text;mso-position-horizontal:absolute;margin-left:16.8633pt;mso-position-vertical-relative:text;margin-top:2.73438pt;" coordsize="571,3619">
                <v:shape id="Shape 22410" style="position:absolute;width:571;height:571;left:0;top:0;" coordsize="57150,57150" path="m28575,0c32364,0,36009,794,39510,2183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2183c21141,794,24786,0,28575,0x">
                  <v:stroke weight="0pt" endcap="flat" joinstyle="miter" miterlimit="10" on="false" color="#000000" opacity="0"/>
                  <v:fill on="true" color="#333333"/>
                </v:shape>
                <v:shape id="Shape 22413" style="position:absolute;width:571;height:571;left:0;top:3048;" coordsize="57150,57150" path="m28575,0c32364,0,36009,794,39510,2183c43011,3373,46101,5358,48781,8136c51460,10716,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716,8369,8136c11049,5358,14139,3373,17640,2183c21141,794,24786,0,28575,0x">
                  <v:stroke weight="0pt" endcap="flat" joinstyle="miter" miterlimit="10" on="false" color="#000000" opacity="0"/>
                  <v:fill on="true" color="#333333"/>
                </v:shape>
                <w10:wrap type="square"/>
              </v:group>
            </w:pict>
          </mc:Fallback>
        </mc:AlternateContent>
      </w:r>
      <w:r>
        <w:t>Ранняя стадия: забывчивость, потеря счета времени, нарушение ориентации в знакомой местности.</w:t>
      </w:r>
    </w:p>
    <w:p w:rsidR="008E3F15" w:rsidRDefault="005F449A">
      <w:pPr>
        <w:ind w:left="347" w:right="15"/>
      </w:pPr>
      <w:r>
        <w:t>Средняя стадия: забывчивость в отношении недавних событий и имен людей, нарушение ори</w:t>
      </w:r>
      <w:r>
        <w:t>ентации дома, возрастающие трудности в общении, потребность в помощи для ухода за собой, поведенческие проблемы, включая бесцельное хождение и задавание одних и тех же вопросов.</w:t>
      </w:r>
    </w:p>
    <w:p w:rsidR="008E3F15" w:rsidRDefault="005F449A">
      <w:pPr>
        <w:spacing w:after="179"/>
        <w:ind w:left="607" w:right="143"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24748" name="Group 32474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2418" name="Shape 22418"/>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24748" style="width:4.5pt;height:4.5pt;mso-position-horizontal-relative:char;mso-position-vertical-relative:line" coordsize="571,571">
                <v:shape id="Shape 22418" style="position:absolute;width:571;height:571;left:0;top:0;" coordsize="57150,57150" path="m28575,0c32364,0,36009,794,39510,2183c43011,3373,46101,5358,48781,8136c51460,10716,53525,13891,54975,17463c56425,20836,57150,24606,57150,28575c57150,32345,56425,35917,54975,39291c53525,42664,51460,45839,48781,48617c46101,51395,43011,53380,39510,54769c36009,56356,32364,56952,28575,57150c24786,56952,21141,56356,17640,54769c14139,53380,11049,51395,8369,48617c5690,45839,3625,42664,2175,39092c725,35719,0,32345,0,28575c0,24606,725,20836,2175,17463c3625,13891,5690,10716,8369,8136c11049,5358,14139,3373,17640,2183c21141,794,24786,0,28575,0x">
                  <v:stroke weight="0pt" endcap="flat" joinstyle="miter" miterlimit="10" on="false" color="#000000" opacity="0"/>
                  <v:fill on="true" color="#333333"/>
                </v:shape>
              </v:group>
            </w:pict>
          </mc:Fallback>
        </mc:AlternateContent>
      </w:r>
      <w:r>
        <w:t xml:space="preserve"> Поздняя стадия: потеря ориентации во времени и пространстве, проблемы в узна</w:t>
      </w:r>
      <w:r>
        <w:t>вании родственников и друзей, возрастающая потребность в помощи для ухода за собой, трудности в передвижении, поведенческие изменения, которые могут усугубляться и включать агрессивность.</w:t>
      </w:r>
    </w:p>
    <w:p w:rsidR="008E3F15" w:rsidRDefault="005F449A">
      <w:pPr>
        <w:ind w:left="2" w:right="160"/>
      </w:pPr>
      <w:r>
        <w:rPr>
          <w:b/>
        </w:rPr>
        <w:t>Диагностика.</w:t>
      </w:r>
      <w:r>
        <w:t xml:space="preserve"> Для скрининга деменции в общемедицинской практике часто</w:t>
      </w:r>
      <w:r>
        <w:t xml:space="preserve"> используют тест Mini-Gog, включающий запоминание 3 слов и рисунок часов со стрелками. В случае 0– 2 баллов можно диагностировать деменцию.</w:t>
      </w:r>
    </w:p>
    <w:p w:rsidR="008E3F15" w:rsidRDefault="005F449A">
      <w:pPr>
        <w:ind w:left="2" w:right="15"/>
      </w:pPr>
      <w:r>
        <w:t>Также применяют серийный счет, называние месяцев в обратном порядке, повторение цифр, заучивание слов, запоминание п</w:t>
      </w:r>
      <w:r>
        <w:t>редметов или рисунков, повторение поз и жестов, нахождение обобщающего термина или различий между предметами.</w:t>
      </w:r>
    </w:p>
    <w:p w:rsidR="008E3F15" w:rsidRDefault="005F449A">
      <w:pPr>
        <w:ind w:left="2" w:right="15"/>
      </w:pPr>
      <w:r>
        <w:t>При выявлении когнитивных нарушений, не достигающих деменции, показано динамическое наблюдение с повторным осмотром, обычно через 6–12 мес.</w:t>
      </w:r>
    </w:p>
    <w:p w:rsidR="008E3F15" w:rsidRDefault="005F449A">
      <w:pPr>
        <w:ind w:left="2" w:right="15"/>
      </w:pPr>
      <w:r>
        <w:t xml:space="preserve">Важна </w:t>
      </w:r>
      <w:r>
        <w:t>оценка эмоциональных расстройств. При подозрении на выраженные тревожнодепрессивные, поведенческие расстройства требуется консультация психиатра.</w:t>
      </w:r>
    </w:p>
    <w:p w:rsidR="008E3F15" w:rsidRDefault="005F449A">
      <w:pPr>
        <w:ind w:left="2" w:right="15"/>
      </w:pPr>
      <w:r>
        <w:t>Для исключения соматической природы когнитивных нарушений обычно проводят анализы крови, глюкозы, электролитов</w:t>
      </w:r>
      <w:r>
        <w:t>, трансаминаз, креатинина, гормонов щитовидной железы, уровня витамина В</w:t>
      </w:r>
      <w:r>
        <w:rPr>
          <w:sz w:val="31"/>
          <w:vertAlign w:val="subscript"/>
        </w:rPr>
        <w:t>12</w:t>
      </w:r>
      <w:r>
        <w:t xml:space="preserve"> и фолатов.</w:t>
      </w:r>
    </w:p>
    <w:p w:rsidR="008E3F15" w:rsidRDefault="005F449A">
      <w:pPr>
        <w:ind w:left="2" w:right="15"/>
      </w:pPr>
      <w:r>
        <w:t>При наличии факторов риска необходимо оценить наличие ФП (ЭКГ покоя, мониторирование ЭКГ), провести эхокардиографию, исследование магистральных сосудов головы, тест на ли</w:t>
      </w:r>
      <w:r>
        <w:t>пидограмму.</w:t>
      </w:r>
    </w:p>
    <w:p w:rsidR="008E3F15" w:rsidRDefault="005F449A">
      <w:pPr>
        <w:ind w:left="2" w:right="15"/>
      </w:pPr>
      <w:r>
        <w:t>Методы нейровизуализации позволяют определить структурные изменения головного мозга (опухоль, гематома, гидроцефалия, атрофия).</w:t>
      </w:r>
    </w:p>
    <w:p w:rsidR="008E3F15" w:rsidRDefault="005F449A">
      <w:pPr>
        <w:ind w:left="2" w:right="15"/>
      </w:pPr>
      <w:r>
        <w:t>Потенциально обратимые причины деменции (лекарства, депрессия, заболевания щитовидной железы, инфекция центральной н</w:t>
      </w:r>
      <w:r>
        <w:t>ервной системы, дефицит витаминов, опухоль головного мозга) можно выявить нечасто (&lt;15%).</w:t>
      </w:r>
    </w:p>
    <w:p w:rsidR="008E3F15" w:rsidRDefault="005F449A">
      <w:pPr>
        <w:spacing w:after="165"/>
        <w:ind w:left="2" w:right="15"/>
      </w:pPr>
      <w:r>
        <w:t>Для объективной диагностики болезни Альцгеймера используются:</w:t>
      </w:r>
    </w:p>
    <w:p w:rsidR="008E3F15" w:rsidRDefault="005F449A">
      <w:pPr>
        <w:ind w:left="347" w:right="956"/>
      </w:pPr>
      <w:r>
        <w:rPr>
          <w:rFonts w:ascii="Calibri" w:eastAsia="Calibri" w:hAnsi="Calibri" w:cs="Calibri"/>
          <w:noProof/>
          <w:color w:val="000000"/>
          <w:sz w:val="22"/>
        </w:rPr>
        <mc:AlternateContent>
          <mc:Choice Requires="wpg">
            <w:drawing>
              <wp:anchor distT="0" distB="0" distL="114300" distR="114300" simplePos="0" relativeHeight="251931648"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33149" name="Group 333149"/>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2474" name="Shape 22474"/>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77" name="Shape 22477"/>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80" name="Shape 22480"/>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3149" style="width:4.5pt;height:52.5pt;position:absolute;mso-position-horizontal-relative:text;mso-position-horizontal:absolute;margin-left:16.8633pt;mso-position-vertical-relative:text;margin-top:2.73438pt;" coordsize="571,6667">
                <v:shape id="Shape 22474" style="position:absolute;width:571;height:571;left:0;top:0;" coordsize="57150,57150" path="m28575,0c32364,0,36009,595,39510,1984c43011,3373,46101,5358,48781,8136c51460,10914,53525,14089,54975,17463c56425,20836,57150,24606,57150,28575c57150,32345,56425,35917,54975,39489c53525,42863,51460,45839,48781,48617c46101,51197,43011,53380,39510,54570c36009,56356,32364,56952,28575,57150c24786,56952,21141,56356,17640,54769c14139,53380,11049,51197,8369,48617c5690,45839,3625,42664,2175,39092c725,35719,0,32345,0,28575c0,24606,725,20836,2175,17463c3625,14089,5690,10914,8369,8136c11049,5358,14139,3373,17640,1984c21141,595,24786,0,28575,0x">
                  <v:stroke weight="0pt" endcap="flat" joinstyle="miter" miterlimit="4" on="false" color="#000000" opacity="0"/>
                  <v:fill on="true" color="#333333"/>
                </v:shape>
                <v:shape id="Shape 22477" style="position:absolute;width:571;height:571;left:0;top:3048;"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2480" style="position:absolute;width:571;height:571;left:0;top:6096;"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w10:wrap type="square"/>
              </v:group>
            </w:pict>
          </mc:Fallback>
        </mc:AlternateContent>
      </w:r>
      <w:r>
        <w:t>магнитно-резонансная томография: атрофия коры головного мозга в теменных и височных долях;</w:t>
      </w:r>
    </w:p>
    <w:p w:rsidR="008E3F15" w:rsidRDefault="005F449A">
      <w:pPr>
        <w:spacing w:after="179"/>
        <w:ind w:left="347" w:right="829"/>
      </w:pPr>
      <w:r>
        <w:t>позитронно-э</w:t>
      </w:r>
      <w:r>
        <w:t>миссионная томография с радиоизотопными метками (18F, 11C) для оценки β-амилоидных бляшек и τ-белков; спинномозговая жидкость: β-амилоид, τ-белки.</w:t>
      </w:r>
    </w:p>
    <w:p w:rsidR="008E3F15" w:rsidRDefault="005F449A">
      <w:pPr>
        <w:ind w:left="2" w:right="15"/>
      </w:pPr>
      <w:r>
        <w:rPr>
          <w:b/>
        </w:rPr>
        <w:t>Лечение.</w:t>
      </w:r>
      <w:r>
        <w:t xml:space="preserve"> В настоящее время не существует какой-либо терапии для излечения болезни Альцгеймера или изменения х</w:t>
      </w:r>
      <w:r>
        <w:t>ода ее развития.</w:t>
      </w:r>
    </w:p>
    <w:p w:rsidR="008E3F15" w:rsidRDefault="005F449A">
      <w:pPr>
        <w:spacing w:after="165"/>
        <w:ind w:left="2" w:right="15"/>
      </w:pPr>
      <w:r>
        <w:t>При лечении когнитивных нарушений, наряду с лекарственными препаратами, рекомендуют:</w:t>
      </w:r>
    </w:p>
    <w:p w:rsidR="008E3F15" w:rsidRDefault="005F449A">
      <w:pPr>
        <w:ind w:left="347" w:right="6670"/>
      </w:pPr>
      <w:r>
        <w:rPr>
          <w:rFonts w:ascii="Calibri" w:eastAsia="Calibri" w:hAnsi="Calibri" w:cs="Calibri"/>
          <w:noProof/>
          <w:color w:val="000000"/>
          <w:sz w:val="22"/>
        </w:rPr>
        <mc:AlternateContent>
          <mc:Choice Requires="wpg">
            <w:drawing>
              <wp:anchor distT="0" distB="0" distL="114300" distR="114300" simplePos="0" relativeHeight="251932672"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33150" name="Group 333150"/>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2486" name="Shape 22486"/>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517"/>
                                  <a:pt x="53525" y="13692"/>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692"/>
                                  <a:pt x="5690" y="10517"/>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88" name="Shape 22488"/>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90" name="Shape 22490"/>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92" name="Shape 22492"/>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641"/>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641"/>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2495" name="Shape 22495"/>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1034"/>
                                  <a:pt x="57150" y="24805"/>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3150" style="width:4.5pt;height:64.5pt;position:absolute;mso-position-horizontal-relative:text;mso-position-horizontal:absolute;margin-left:16.8633pt;mso-position-vertical-relative:text;margin-top:2.73438pt;" coordsize="571,8191">
                <v:shape id="Shape 22486" style="position:absolute;width:571;height:571;left:0;top:0;" coordsize="57150,57150" path="m28575,0c32364,0,36009,595,39510,1984c43011,3373,46101,5358,48781,8136c51460,10517,53525,13692,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692,5690,10517,8369,8136c11049,5358,14139,3373,17640,1984c21141,595,24786,0,28575,0x">
                  <v:stroke weight="0pt" endcap="flat" joinstyle="miter" miterlimit="4" on="false" color="#000000" opacity="0"/>
                  <v:fill on="true" color="#333333"/>
                </v:shape>
                <v:shape id="Shape 22488" style="position:absolute;width:571;height:571;left:0;top:1524;" coordsize="57150,57150" path="m28575,0c32364,0,36009,794,39510,2183c43011,3373,46101,5556,48781,8334c51460,10914,53525,14089,54975,17661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4089,5690,10914,8369,8334c11049,5556,14139,3373,17640,2183c21141,794,24786,0,28575,0x">
                  <v:stroke weight="0pt" endcap="flat" joinstyle="miter" miterlimit="4" on="false" color="#000000" opacity="0"/>
                  <v:fill on="true" color="#333333"/>
                </v:shape>
                <v:shape id="Shape 22490" style="position:absolute;width:571;height:571;left:0;top:3048;" coordsize="57150,57150" path="m28575,0c32364,0,36009,794,39510,2183c43011,3373,46101,5556,48781,8334c51460,10914,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914,8369,8334c11049,5556,14139,3373,17640,2183c21141,794,24786,0,28575,0x">
                  <v:stroke weight="0pt" endcap="flat" joinstyle="miter" miterlimit="4" on="false" color="#000000" opacity="0"/>
                  <v:fill on="true" color="#333333"/>
                </v:shape>
                <v:shape id="Shape 22492" style="position:absolute;width:571;height:571;left:0;top:4572;" coordsize="57150,57150" path="m28575,0c32364,0,36009,794,39510,2183c43011,3373,46101,5556,48781,8136c51460,10716,53525,13891,54975,17463c56425,21034,57150,24805,57150,28575c57150,32147,56425,35719,54975,39092c53525,42664,51460,45641,48781,48617c46101,51197,43011,53380,39510,54570c36009,56158,32364,56952,28575,57150c24786,56952,21141,56158,17640,54570c14139,53380,11049,51197,8369,48617c5690,45641,3625,42664,2175,39092c725,35719,0,32147,0,28575c0,24805,725,21034,2175,17661c3625,13891,5690,10716,8369,8136c11049,5556,14139,3373,17640,2183c21141,794,24786,0,28575,0x">
                  <v:stroke weight="0pt" endcap="flat" joinstyle="miter" miterlimit="4" on="false" color="#000000" opacity="0"/>
                  <v:fill on="true" color="#333333"/>
                </v:shape>
                <v:shape id="Shape 22495" style="position:absolute;width:571;height:571;left:0;top:7620;" coordsize="57150,57150" path="m28575,0c32364,0,36009,794,39510,2183c43011,3373,46101,5556,48781,8136c51460,10716,53525,13891,54975,17264c56425,21034,57150,24805,57150,28575c57150,32147,56425,35719,54975,39092c53525,42664,51460,45641,48781,48617c46101,50998,43011,53181,39510,54570c36009,56158,32364,56952,28575,57150c24786,56952,21141,56158,17640,54570c14139,53181,11049,50998,8369,48617c5690,45641,3625,42664,2175,39092c725,35719,0,32147,0,28575c0,24805,725,21034,2175,17661c3625,13891,5690,10716,8369,8136c11049,5556,14139,3373,17640,2183c21141,794,24786,0,28575,0x">
                  <v:stroke weight="0pt" endcap="flat" joinstyle="miter" miterlimit="4" on="false" color="#000000" opacity="0"/>
                  <v:fill on="true" color="#333333"/>
                </v:shape>
                <w10:wrap type="square"/>
              </v:group>
            </w:pict>
          </mc:Fallback>
        </mc:AlternateContent>
      </w:r>
      <w:r>
        <w:t>физическую активность; отказ от курения;</w:t>
      </w:r>
    </w:p>
    <w:p w:rsidR="008E3F15" w:rsidRDefault="005F449A">
      <w:pPr>
        <w:spacing w:after="31"/>
        <w:ind w:left="347" w:right="15"/>
      </w:pPr>
      <w:r>
        <w:t>сокращение пагубного употребления алкоголя;</w:t>
      </w:r>
    </w:p>
    <w:p w:rsidR="008E3F15" w:rsidRDefault="005F449A">
      <w:pPr>
        <w:spacing w:after="179"/>
        <w:ind w:left="347" w:right="1703"/>
      </w:pPr>
      <w:r>
        <w:t>контроль ФП (антикоагулянты), артериальной гипертензии, СД, ожирения, дислипидемии; лечение соматических и психических болезней.</w:t>
      </w:r>
    </w:p>
    <w:p w:rsidR="008E3F15" w:rsidRDefault="005F449A">
      <w:pPr>
        <w:ind w:left="2" w:right="15"/>
      </w:pPr>
      <w:r>
        <w:t>Могут быть полезны, особенно при легких формах, когнитивные тренировки, включающие структурированные упражнения, направленные н</w:t>
      </w:r>
      <w:r>
        <w:t>а стимуляцию когнитивных способностей: решение проблем, рассуждения, внимание, выполнение, рабочую память.</w:t>
      </w:r>
    </w:p>
    <w:p w:rsidR="008E3F15" w:rsidRDefault="005F449A">
      <w:pPr>
        <w:ind w:left="2" w:right="15"/>
      </w:pPr>
      <w:r>
        <w:t>В независимых исследованиях показан небольшой эффект мемантина и ингибиторов ацетилхолинэстеразы (Fink H. et al., 2020; Rojas-Fernandez C. et al., 20</w:t>
      </w:r>
      <w:r>
        <w:t xml:space="preserve">13; DOMINO). Схемы лечения с помощью лекарственных препаратов представлены в </w:t>
      </w:r>
      <w:r>
        <w:rPr>
          <w:b/>
        </w:rPr>
        <w:t>табл. 18.9</w:t>
      </w:r>
      <w:r>
        <w:t>.</w:t>
      </w:r>
    </w:p>
    <w:p w:rsidR="008E3F15" w:rsidRDefault="005F449A">
      <w:pPr>
        <w:spacing w:after="31"/>
        <w:ind w:left="2" w:right="15"/>
      </w:pPr>
      <w:r>
        <w:rPr>
          <w:b/>
        </w:rPr>
        <w:t xml:space="preserve">Таблица 18.9. </w:t>
      </w:r>
      <w:r>
        <w:t>Препараты базисной терапии деменции</w:t>
      </w:r>
    </w:p>
    <w:tbl>
      <w:tblPr>
        <w:tblStyle w:val="TableGrid"/>
        <w:tblW w:w="10485" w:type="dxa"/>
        <w:tblInd w:w="37" w:type="dxa"/>
        <w:tblCellMar>
          <w:top w:w="80" w:type="dxa"/>
          <w:left w:w="45" w:type="dxa"/>
          <w:bottom w:w="15" w:type="dxa"/>
          <w:right w:w="45" w:type="dxa"/>
        </w:tblCellMar>
        <w:tblLook w:val="04A0" w:firstRow="1" w:lastRow="0" w:firstColumn="1" w:lastColumn="0" w:noHBand="0" w:noVBand="1"/>
      </w:tblPr>
      <w:tblGrid>
        <w:gridCol w:w="1500"/>
        <w:gridCol w:w="8985"/>
      </w:tblGrid>
      <w:tr w:rsidR="008E3F15">
        <w:trPr>
          <w:trHeight w:val="330"/>
        </w:trPr>
        <w:tc>
          <w:tcPr>
            <w:tcW w:w="1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Препарат</w:t>
            </w:r>
          </w:p>
        </w:tc>
        <w:tc>
          <w:tcPr>
            <w:tcW w:w="89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Дозирование</w:t>
            </w:r>
          </w:p>
        </w:tc>
      </w:tr>
      <w:tr w:rsidR="008E3F15">
        <w:trPr>
          <w:trHeight w:val="330"/>
        </w:trPr>
        <w:tc>
          <w:tcPr>
            <w:tcW w:w="1048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i/>
              </w:rPr>
              <w:t>Ингибиторы ацетилхолинэстеразы</w:t>
            </w:r>
          </w:p>
        </w:tc>
      </w:tr>
      <w:tr w:rsidR="008E3F15">
        <w:trPr>
          <w:trHeight w:val="330"/>
        </w:trPr>
        <w:tc>
          <w:tcPr>
            <w:tcW w:w="15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Донепезил</w:t>
            </w:r>
          </w:p>
        </w:tc>
        <w:tc>
          <w:tcPr>
            <w:tcW w:w="89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 мг, через 4 нед повышать дозу до 10 мг однократно</w:t>
            </w:r>
          </w:p>
        </w:tc>
      </w:tr>
      <w:tr w:rsidR="008E3F15">
        <w:trPr>
          <w:trHeight w:val="330"/>
        </w:trPr>
        <w:tc>
          <w:tcPr>
            <w:tcW w:w="150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pPr>
            <w:r>
              <w:rPr>
                <w:bdr w:val="single" w:sz="12" w:space="0" w:color="000000"/>
              </w:rPr>
              <w:t>Галантамин</w:t>
            </w:r>
          </w:p>
        </w:tc>
        <w:tc>
          <w:tcPr>
            <w:tcW w:w="89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4 мг, повышать через 4 нед до 8–12 мг однократно</w:t>
            </w:r>
          </w:p>
        </w:tc>
      </w:tr>
      <w:tr w:rsidR="008E3F15">
        <w:trPr>
          <w:trHeight w:val="810"/>
        </w:trPr>
        <w:tc>
          <w:tcPr>
            <w:tcW w:w="150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Ривастигмин</w:t>
            </w:r>
          </w:p>
        </w:tc>
        <w:tc>
          <w:tcPr>
            <w:tcW w:w="89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 мг дважды с увеличением дозы на 1,5 мг через каждые 2 нед до 6 мг дважды. Пластырь 4,6 мг/сут с увеличением через 4 нед до 9,5 мг/сут однократно, через 6 мес возможно до 13,3 мг</w:t>
            </w:r>
          </w:p>
        </w:tc>
      </w:tr>
      <w:tr w:rsidR="008E3F15">
        <w:trPr>
          <w:trHeight w:val="330"/>
        </w:trPr>
        <w:tc>
          <w:tcPr>
            <w:tcW w:w="1048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i/>
              </w:rPr>
              <w:t>Блокаторы NMDA-глутаматных рецепторов</w:t>
            </w:r>
          </w:p>
        </w:tc>
      </w:tr>
      <w:tr w:rsidR="008E3F15">
        <w:trPr>
          <w:trHeight w:val="330"/>
        </w:trPr>
        <w:tc>
          <w:tcPr>
            <w:tcW w:w="1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Мемантин</w:t>
            </w:r>
          </w:p>
        </w:tc>
        <w:tc>
          <w:tcPr>
            <w:tcW w:w="89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 мг с увеличением на 5 мг в нед до 20 мг однократно</w:t>
            </w:r>
          </w:p>
        </w:tc>
      </w:tr>
      <w:tr w:rsidR="008E3F15">
        <w:trPr>
          <w:trHeight w:val="330"/>
        </w:trPr>
        <w:tc>
          <w:tcPr>
            <w:tcW w:w="1048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i/>
              </w:rPr>
              <w:t>Антитела к β-амилоиду</w:t>
            </w:r>
          </w:p>
        </w:tc>
      </w:tr>
      <w:tr w:rsidR="008E3F15">
        <w:trPr>
          <w:trHeight w:val="390"/>
        </w:trPr>
        <w:tc>
          <w:tcPr>
            <w:tcW w:w="1500" w:type="dxa"/>
            <w:tcBorders>
              <w:top w:val="single" w:sz="6" w:space="0" w:color="000000"/>
              <w:left w:val="single" w:sz="6" w:space="0" w:color="000000"/>
              <w:bottom w:val="single" w:sz="6" w:space="0" w:color="000000"/>
              <w:right w:val="nil"/>
            </w:tcBorders>
            <w:vAlign w:val="bottom"/>
          </w:tcPr>
          <w:p w:rsidR="008E3F15" w:rsidRDefault="005F449A">
            <w:pPr>
              <w:spacing w:after="0" w:line="259" w:lineRule="auto"/>
              <w:ind w:left="0" w:right="0" w:firstLine="0"/>
              <w:jc w:val="both"/>
            </w:pPr>
            <w:r>
              <w:rPr>
                <w:bdr w:val="single" w:sz="12" w:space="0" w:color="000000"/>
              </w:rPr>
              <w:t>Леканемаб</w:t>
            </w:r>
            <w:r>
              <w:rPr>
                <w:rFonts w:ascii="Times New Roman" w:eastAsia="Times New Roman" w:hAnsi="Times New Roman" w:cs="Times New Roman"/>
                <w:sz w:val="31"/>
                <w:bdr w:val="single" w:sz="12" w:space="0" w:color="000000"/>
                <w:vertAlign w:val="superscript"/>
              </w:rPr>
              <w:t>℘</w:t>
            </w:r>
          </w:p>
        </w:tc>
        <w:tc>
          <w:tcPr>
            <w:tcW w:w="89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10 мг/кг внутривенно каждые 2 нед</w:t>
            </w:r>
          </w:p>
        </w:tc>
      </w:tr>
    </w:tbl>
    <w:p w:rsidR="008E3F15" w:rsidRDefault="005F449A">
      <w:pPr>
        <w:pStyle w:val="Heading1"/>
        <w:ind w:left="2"/>
      </w:pPr>
      <w:r>
        <w:t>Часть II. Коморбидные болезни</w:t>
      </w:r>
    </w:p>
    <w:p w:rsidR="008E3F15" w:rsidRDefault="005F449A">
      <w:pPr>
        <w:ind w:left="2" w:right="389"/>
      </w:pPr>
      <w:r>
        <w:t>Ингибиторы ацетилхолинэстеразы рекомендуют при легкой и средней степени деменции. Предупредить побочные эффекты возможно при медленном титровании дозы, приеме во время или сразу после еды. Препараты противопоказаны при брадиаритмиях, активной гастродуодена</w:t>
      </w:r>
      <w:r>
        <w:t>льной язве, тяжелой бронхиальной обструкции.</w:t>
      </w:r>
    </w:p>
    <w:p w:rsidR="008E3F15" w:rsidRDefault="005F449A">
      <w:pPr>
        <w:ind w:left="2" w:right="787"/>
      </w:pPr>
      <w:r>
        <w:t>При появлении побочного эффекта возможны пропуск 1–2 приемов, снижение дозы до прежнего уровня или назначение корректоров (домперидон при тошноте).</w:t>
      </w:r>
    </w:p>
    <w:p w:rsidR="008E3F15" w:rsidRDefault="005F449A">
      <w:pPr>
        <w:ind w:left="2" w:right="15"/>
      </w:pPr>
      <w:r>
        <w:t>Мемантин, селективный блокатор NMDA-глутаматных рецепторов, пре</w:t>
      </w:r>
      <w:r>
        <w:t>дпочтительнее при средней и тяжелой деменции. Мемантин обычно хорошо переносится, но иногда встречается преходящее головокружение или спутанность сознания.</w:t>
      </w:r>
    </w:p>
    <w:p w:rsidR="008E3F15" w:rsidRDefault="005F449A">
      <w:pPr>
        <w:spacing w:after="31"/>
        <w:ind w:left="2" w:right="15"/>
      </w:pPr>
      <w:r>
        <w:t>Имеются данные о большей эффективности сочетанного приема мемантина и ингибиторов ацетилхолинэстераз</w:t>
      </w:r>
      <w:r>
        <w:t>ы по сравнению с монотерапией.</w:t>
      </w:r>
    </w:p>
    <w:p w:rsidR="008E3F15" w:rsidRDefault="005F449A">
      <w:pPr>
        <w:ind w:left="2" w:right="15"/>
      </w:pPr>
      <w:r>
        <w:t>Леканемаб</w:t>
      </w:r>
      <w:r>
        <w:rPr>
          <w:rFonts w:ascii="Times New Roman" w:eastAsia="Times New Roman" w:hAnsi="Times New Roman" w:cs="Times New Roman"/>
          <w:sz w:val="31"/>
          <w:vertAlign w:val="superscript"/>
        </w:rPr>
        <w:t>℘</w:t>
      </w:r>
      <w:r>
        <w:t>, моноклональное антитело IgG1, связывается с растворимыми протофибриллами бета-амилоида и замедляет прогрессирование ранней болезни Альцгеймера, по данным рандомизированного исследования Clarity AD.</w:t>
      </w:r>
    </w:p>
    <w:p w:rsidR="008E3F15" w:rsidRDefault="005F449A">
      <w:pPr>
        <w:ind w:left="2" w:right="15"/>
      </w:pPr>
      <w:r>
        <w:t>Положительное д</w:t>
      </w:r>
      <w:r>
        <w:t>ействие при приеме базисных препаратов выражается во временном улучшении или замедлении снижения памяти и других когнитивных функций, регрессе поведенческих и психотических нарушений, снижении зависимости от окружающих. Чаще эффект проявляется в замедлении</w:t>
      </w:r>
      <w:r>
        <w:t xml:space="preserve"> ухудшения состояния пациента.</w:t>
      </w:r>
    </w:p>
    <w:p w:rsidR="008E3F15" w:rsidRDefault="005F449A">
      <w:pPr>
        <w:ind w:left="2" w:right="15"/>
      </w:pPr>
      <w:r>
        <w:t>Оценка терапевтической эффективности препаратов проводится через 2–3 мес. При положительном эффекте препарата хотя бы на одну сферу (когнитивную, функциональную, поведенческую) и удовлетворительной переносимости рекомендуется</w:t>
      </w:r>
      <w:r>
        <w:t xml:space="preserve"> его длительный прием с последующим контролем эффективности каждые 6 мес.</w:t>
      </w:r>
    </w:p>
    <w:p w:rsidR="008E3F15" w:rsidRDefault="005F449A">
      <w:pPr>
        <w:ind w:left="2" w:right="559"/>
      </w:pPr>
      <w:r>
        <w:t>Нужно обеспечить контроль приема лекарств со стороны ухаживающих лиц. При появлении психотических расстройств (бред, галлюцинации, делирий), агрессии, возбуждения необходимо исключит</w:t>
      </w:r>
      <w:r>
        <w:t>ь присоединение соматических заболеваний, а также нежелательные явления лекарственных препаратов.</w:t>
      </w:r>
    </w:p>
    <w:p w:rsidR="008E3F15" w:rsidRDefault="005F449A">
      <w:pPr>
        <w:ind w:left="2" w:right="15"/>
      </w:pPr>
      <w:r>
        <w:t>Антипсихотики могут повысить смертность пациентов старшего возраста, поэтому их используют только при очевидной необходимости. Рекомендуют атипичные нейролепт</w:t>
      </w:r>
      <w:r>
        <w:t>ики (кветиапин, рисперидон, оланзапин) в минимальных дозах.</w:t>
      </w:r>
    </w:p>
    <w:p w:rsidR="008E3F15" w:rsidRDefault="005F449A">
      <w:pPr>
        <w:ind w:left="2" w:right="84"/>
      </w:pPr>
      <w:r>
        <w:t xml:space="preserve">Если при приеме антипсихотика в течение 5–7 дней состояние пациента не улучшается, то выбранный препарат должен быть заменен другим. Терапия назначается на 3–4 нед, после регресса психотических и поведенческих расстройств дозу препарата постепенно снижают </w:t>
      </w:r>
      <w:r>
        <w:t>вплоть до отмены. Если на фоне отмены или снижения суточной дозы психопатологическая симптоматика появляется или усиливается, лечение продолжают в прежней дозе. Следует воздерживаться от назначения бензодиазепинов, которые могут ухудшить когнитивные функци</w:t>
      </w:r>
      <w:r>
        <w:t>и.</w:t>
      </w:r>
    </w:p>
    <w:p w:rsidR="008E3F15" w:rsidRDefault="005F449A">
      <w:pPr>
        <w:spacing w:after="359"/>
        <w:ind w:left="2" w:right="15"/>
      </w:pPr>
      <w:r>
        <w:t>При наличии депрессии оправданно назначение антидепрессантов из группы СИОЗС. Эффективность ноотропных и вазоактивных препаратов, средств с антиоксидантным, нейрометаболическим действием не доказана.</w:t>
      </w:r>
    </w:p>
    <w:p w:rsidR="008E3F15" w:rsidRDefault="005F449A">
      <w:pPr>
        <w:pStyle w:val="Heading1"/>
        <w:ind w:left="2"/>
      </w:pPr>
      <w:r>
        <w:t>Часть II. Коморбидные болезни</w:t>
      </w:r>
    </w:p>
    <w:p w:rsidR="008E3F15" w:rsidRDefault="005F449A">
      <w:pPr>
        <w:spacing w:after="31"/>
        <w:ind w:left="2" w:right="15"/>
      </w:pPr>
      <w:r>
        <w:t>Расстройства, связанные</w:t>
      </w:r>
      <w:r>
        <w:t xml:space="preserve"> с употреблением алкоголя</w:t>
      </w:r>
    </w:p>
    <w:p w:rsidR="008E3F15" w:rsidRDefault="005F449A">
      <w:pPr>
        <w:ind w:left="2" w:right="730"/>
      </w:pPr>
      <w:r>
        <w:t xml:space="preserve">По данным, представленным ВОЗ, доля смертей, связанных с употреблением алкоголя, в России в 2016 г. составила 22% (23% у мужчин и 20% у женщин). Структура смертей, связанных с злоупотреблением алкоголем, представлена на </w:t>
      </w:r>
      <w:r>
        <w:rPr>
          <w:b/>
        </w:rPr>
        <w:t>рис. 18.3</w:t>
      </w:r>
      <w:r>
        <w:t>.</w:t>
      </w:r>
    </w:p>
    <w:p w:rsidR="008E3F15" w:rsidRDefault="005F449A">
      <w:pPr>
        <w:spacing w:after="65" w:line="259" w:lineRule="auto"/>
        <w:ind w:left="7" w:right="0" w:firstLine="0"/>
      </w:pPr>
      <w:r>
        <w:rPr>
          <w:noProof/>
        </w:rPr>
        <w:drawing>
          <wp:inline distT="0" distB="0" distL="0" distR="0">
            <wp:extent cx="5057775" cy="3514725"/>
            <wp:effectExtent l="0" t="0" r="0" b="0"/>
            <wp:docPr id="22599" name="Picture 22599"/>
            <wp:cNvGraphicFramePr/>
            <a:graphic xmlns:a="http://schemas.openxmlformats.org/drawingml/2006/main">
              <a:graphicData uri="http://schemas.openxmlformats.org/drawingml/2006/picture">
                <pic:pic xmlns:pic="http://schemas.openxmlformats.org/drawingml/2006/picture">
                  <pic:nvPicPr>
                    <pic:cNvPr id="22599" name="Picture 22599"/>
                    <pic:cNvPicPr/>
                  </pic:nvPicPr>
                  <pic:blipFill>
                    <a:blip r:embed="rId180"/>
                    <a:stretch>
                      <a:fillRect/>
                    </a:stretch>
                  </pic:blipFill>
                  <pic:spPr>
                    <a:xfrm>
                      <a:off x="0" y="0"/>
                      <a:ext cx="5057775" cy="3514725"/>
                    </a:xfrm>
                    <a:prstGeom prst="rect">
                      <a:avLst/>
                    </a:prstGeom>
                  </pic:spPr>
                </pic:pic>
              </a:graphicData>
            </a:graphic>
          </wp:inline>
        </w:drawing>
      </w:r>
    </w:p>
    <w:p w:rsidR="008E3F15" w:rsidRDefault="005F449A">
      <w:pPr>
        <w:ind w:left="2" w:right="15"/>
      </w:pPr>
      <w:r>
        <w:rPr>
          <w:b/>
        </w:rPr>
        <w:t xml:space="preserve">Рис. 18.3. </w:t>
      </w:r>
      <w:r>
        <w:t>Структура смертей, связанных с алкоголем (Всемирная организация здравоохранения, 2016)</w:t>
      </w:r>
    </w:p>
    <w:p w:rsidR="008E3F15" w:rsidRDefault="005F449A">
      <w:pPr>
        <w:ind w:left="2" w:right="758"/>
      </w:pPr>
      <w:r>
        <w:rPr>
          <w:b/>
        </w:rPr>
        <w:t>Острая алкогольная интоксикация</w:t>
      </w:r>
      <w:r>
        <w:t>характеризуется расторможенностью, нарушением внимания и мышления, лабильностью настроения и агрессивностью в сочетании с на</w:t>
      </w:r>
      <w:r>
        <w:t>рушением речи, походки, сохранения вертикального положения тела.</w:t>
      </w:r>
    </w:p>
    <w:p w:rsidR="008E3F15" w:rsidRDefault="005F449A">
      <w:pPr>
        <w:ind w:left="2" w:right="108"/>
      </w:pPr>
      <w:r>
        <w:t>При тяжелой интоксикации, если с момента приема алкоголя прошло не более 2 ч, с помощью рвоты, промывания желудка и слабительного можно предотвратить дальнейшее всасывание этанола. Регидратац</w:t>
      </w:r>
      <w:r>
        <w:t>ию перорально или внутривенно (1–1,5 л/сут) проводят при потере жидкости с рвотой или выраженным потоотделением. Инфузионная терапия является основным методом детоксикации. Растворы вводятся со скоростью не более 500 мл/час, в объеме до 3–4 л в сутки. Агре</w:t>
      </w:r>
      <w:r>
        <w:t>ссивным пациентам при двигательном возбуждении, судорогах назначается внутривенно диазепам (5 мг, при необходимости повторяя введение до дозы 0,25 мг/кг).</w:t>
      </w:r>
    </w:p>
    <w:p w:rsidR="008E3F15" w:rsidRDefault="005F449A">
      <w:pPr>
        <w:ind w:left="2" w:right="78"/>
      </w:pPr>
      <w:r>
        <w:rPr>
          <w:b/>
        </w:rPr>
        <w:t>Синдром отмены алкоголя,</w:t>
      </w:r>
      <w:r>
        <w:t xml:space="preserve"> или алкогольный абстинентный синдром, включает вегетативные (тахикардия, гип</w:t>
      </w:r>
      <w:r>
        <w:t>ертензия, потливость), соматические (тошнота, рвота), неврологические (головная боль, тремор, судороги) и психические (возбуждение, бессонница, галлюцинации, иллюзии) нарушения, возникающие у зависимых от алкоголя лиц при резком сокращении длительного и ма</w:t>
      </w:r>
      <w:r>
        <w:t>ссивного потребления алкоголя. В тяжелых случаях может развиться делирий с помрачением сознания, иллюзиями и сценоподобными истинными галлюцинациями, психомоторным возбуждением, нарушением ориентировки в месте и времени при сохраненной оценке собственной л</w:t>
      </w:r>
      <w:r>
        <w:t>ичности. Длительность абстинентного синдрома — от 2 сут до 2 нед, в среднем 3–5 сут. В отличие от постинтоксикационного состояния имеется желание выпить спиртное (опохмелиться). При легкой степени абстинентного синдрома предпочтительно пероральное введение</w:t>
      </w:r>
      <w:r>
        <w:t xml:space="preserve"> жидкости (декстроза, калий, натрий). При выраженных симптомах проводят инфузионную терапию (с калием, магнием) с рекомендованным объемом вводимой жидкости 10–20 мл/кг.</w:t>
      </w:r>
    </w:p>
    <w:p w:rsidR="008E3F15" w:rsidRDefault="005F449A">
      <w:pPr>
        <w:ind w:left="2" w:right="414"/>
      </w:pPr>
      <w:r>
        <w:t>Для профилактики энцефалопатии назначают тиамин до лечения гипогликемии. Основным метод</w:t>
      </w:r>
      <w:r>
        <w:t>ом терапии алкогольного абстинентного синдрома являются бензодиазепиновые транквилизаторы — диазепам</w:t>
      </w:r>
    </w:p>
    <w:p w:rsidR="008E3F15" w:rsidRDefault="005F449A">
      <w:pPr>
        <w:ind w:left="2" w:right="15"/>
      </w:pPr>
      <w:r>
        <w:t>или бромдигидрохлорфенилбензодиазепин. В течение первых 3–5 дней лечения препараты назначаются внутримышечно и/или внутрь в средней терапевтически эффектив</w:t>
      </w:r>
      <w:r>
        <w:t>ной дозе через равные интервалы времени до 4–6 раз в день до достижения седации и купирования симптомов.</w:t>
      </w:r>
    </w:p>
    <w:p w:rsidR="008E3F15" w:rsidRDefault="005F449A">
      <w:pPr>
        <w:ind w:left="2" w:right="15"/>
      </w:pPr>
      <w:r>
        <w:t>β-Адреноблокаторы применяют при коронарной болезни, аритмии, треморе и выраженной симпатикотонии. Основное лечение аритмий сердца заключается в коррекц</w:t>
      </w:r>
      <w:r>
        <w:t>ии дефицита калия и магния. Назначается декстроза для купирования гипогликемии.</w:t>
      </w:r>
    </w:p>
    <w:p w:rsidR="008E3F15" w:rsidRDefault="005F449A">
      <w:pPr>
        <w:ind w:left="2" w:right="15"/>
      </w:pPr>
      <w:r>
        <w:rPr>
          <w:b/>
        </w:rPr>
        <w:t>Пагубное употребление (злоупотребление) алкоголя</w:t>
      </w:r>
      <w:r>
        <w:rPr>
          <w:b/>
          <w:i/>
        </w:rPr>
        <w:t>.</w:t>
      </w:r>
      <w:r>
        <w:t xml:space="preserve"> Для постановки диагноза должны иметься четкие данные, что употребление алкоголя обусловило или в значительной мере способствовало развитию соматических (ФП, кардиомиопатия, гепатит/цирроз, панкреатит, невропатия, энцефалопатия) или психических (депрессия,</w:t>
      </w:r>
      <w:r>
        <w:t xml:space="preserve"> нарушение поведения) вредных изменений. Следствием злоупотребления алкоголем могут быть проблемы</w:t>
      </w:r>
    </w:p>
    <w:p w:rsidR="008E3F15" w:rsidRDefault="005F449A">
      <w:pPr>
        <w:ind w:left="2" w:right="15"/>
      </w:pPr>
      <w:r>
        <w:t>в профессиональной деятельности, инвалидизация, насилие, семейные проблемы. Обычно спиртные напитки употребляются не реже 1–2 раз в неделю, а в ряде случаев —</w:t>
      </w:r>
      <w:r>
        <w:t xml:space="preserve"> ежедневно. Лабораторные маркеры употребления алкоголя разделяются на прямые и непрямые. Прямые тесты определения содержания алкоголя и/или его метаболитов в крови, моче или выдыхаемом воздухе позволяют зафиксировать лишь недавний прием алкоголя и не позво</w:t>
      </w:r>
      <w:r>
        <w:t>ляют отличить хроническое злоупотребление от разового приема алкоголя. Достаточно эффективно определяют потребление алкоголя тесты фосфатидилэтанола и чрескожного мониторирования алкоголя (Hahn J. et al., 2023).</w:t>
      </w:r>
    </w:p>
    <w:p w:rsidR="008E3F15" w:rsidRDefault="005F449A">
      <w:pPr>
        <w:ind w:left="2" w:right="15"/>
      </w:pPr>
      <w:r>
        <w:t>Непрямые маркеры употребления алкоголя (средний объем эритроцита, трансаминазы, гаммаглютамилтрансфераза) имеют невысокую специ фичность, поскольку повышаются при ряде соматических заболеваний, а также при приеме некоторых лекарств.</w:t>
      </w:r>
    </w:p>
    <w:p w:rsidR="008E3F15" w:rsidRDefault="005F449A">
      <w:pPr>
        <w:ind w:left="2" w:right="15"/>
      </w:pPr>
      <w:r>
        <w:t>Более надежным непрямым</w:t>
      </w:r>
      <w:r>
        <w:t xml:space="preserve"> маркером хронического потребления алкоголя считается карбогидрат-дефицитный трансферрин. Повышение карбогидрат-дефицитного трансферрина наблюдается у лиц, потреблявших большое количество алкоголя (≥50–80 г) в течение недели, и медленно возвращается к норм</w:t>
      </w:r>
      <w:r>
        <w:t>альному уровню с периодом полувыведения около 14 сут. У большинства пациентов с заболеваниями печени уровень карбогидрат-дефицитного трансферрина остается в пределах нормы.</w:t>
      </w:r>
    </w:p>
    <w:p w:rsidR="008E3F15" w:rsidRDefault="005F449A">
      <w:pPr>
        <w:spacing w:after="179"/>
        <w:ind w:left="2" w:right="633"/>
      </w:pPr>
      <w:r>
        <w:rPr>
          <w:b/>
        </w:rPr>
        <w:t>Синдром зависимости от алкоголя</w:t>
      </w:r>
      <w:r>
        <w:rPr>
          <w:b/>
          <w:i/>
        </w:rPr>
        <w:t>.</w:t>
      </w:r>
      <w:r>
        <w:t>Согласно МКБ-10 диагноз синдрома зависимости от алк</w:t>
      </w:r>
      <w:r>
        <w:t>оголя может быть поставлен при наличии ≥3 симптомов за предыдущий год.</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3696" behindDoc="0" locked="0" layoutInCell="1" allowOverlap="1">
                <wp:simplePos x="0" y="0"/>
                <wp:positionH relativeFrom="column">
                  <wp:posOffset>214164</wp:posOffset>
                </wp:positionH>
                <wp:positionV relativeFrom="paragraph">
                  <wp:posOffset>34727</wp:posOffset>
                </wp:positionV>
                <wp:extent cx="57150" cy="1428750"/>
                <wp:effectExtent l="0" t="0" r="0" b="0"/>
                <wp:wrapSquare wrapText="bothSides"/>
                <wp:docPr id="331950" name="Group 331950"/>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22677" name="Shape 22677"/>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79" name="Shape 22679"/>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81" name="Shape 22681"/>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83" name="Shape 22683"/>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86" name="Shape 22686"/>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89" name="Shape 22689"/>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692" name="Shape 22692"/>
                        <wps:cNvSpPr/>
                        <wps:spPr>
                          <a:xfrm>
                            <a:off x="0" y="13716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1950" style="width:4.5pt;height:112.5pt;position:absolute;mso-position-horizontal-relative:text;mso-position-horizontal:absolute;margin-left:16.8633pt;mso-position-vertical-relative:text;margin-top:2.73438pt;" coordsize="571,14287">
                <v:shape id="Shape 22677" style="position:absolute;width:571;height:571;left:0;top:0;" coordsize="57150,57150" path="m28575,0c32364,0,36009,595,39510,1984c43011,3373,46101,5358,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358,14139,3373,17640,1984c21141,595,24786,0,28575,0x">
                  <v:stroke weight="0pt" endcap="flat" joinstyle="miter" miterlimit="10" on="false" color="#000000" opacity="0"/>
                  <v:fill on="true" color="#333333"/>
                </v:shape>
                <v:shape id="Shape 22679" style="position:absolute;width:571;height:571;left:0;top:1524;"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2681" style="position:absolute;width:571;height:571;left:0;top:3048;" coordsize="57150,57150" path="m28575,0c32364,0,36009,794,39510,2183c43011,3373,46101,5556,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556,14139,3373,17640,1984c21141,595,24786,0,28575,0x">
                  <v:stroke weight="0pt" endcap="flat" joinstyle="miter" miterlimit="10" on="false" color="#000000" opacity="0"/>
                  <v:fill on="true" color="#333333"/>
                </v:shape>
                <v:shape id="Shape 22683" style="position:absolute;width:571;height:571;left:0;top:4572;" coordsize="57150,57150" path="m28575,0c32364,0,36009,595,39510,1984c43011,3373,46101,5556,48781,8334c51460,10914,53525,14089,54975,17463c56425,21034,57150,24805,57150,28575c57150,32345,56425,35917,54975,39489c53525,42863,51460,45839,48781,48617c46101,51197,43011,53181,39510,54769c36009,56158,32364,56952,28575,57150c24786,56952,21141,56158,17640,54769c14139,53181,11049,51197,8369,48617c5690,45839,3625,42664,2175,39291c725,35917,0,32345,0,28575c0,24805,725,21034,2175,17463c3625,14089,5690,10914,8369,8334c11049,5556,14139,3373,17640,1984c21141,595,24786,0,28575,0x">
                  <v:stroke weight="0pt" endcap="flat" joinstyle="miter" miterlimit="10" on="false" color="#000000" opacity="0"/>
                  <v:fill on="true" color="#333333"/>
                </v:shape>
                <v:shape id="Shape 22686" style="position:absolute;width:571;height:571;left:0;top:7620;" coordsize="57150,57150" path="m28575,0c32364,0,36009,595,39510,1984c43011,3373,46101,5556,48781,8334c51460,10914,53525,14089,54975,17463c56425,20836,57150,24606,57150,28575c57150,32147,56425,35719,54975,39291c53525,42664,51460,45839,48781,48617c46101,51197,43011,53380,39510,54769c36009,56356,32364,56952,28575,57150c24786,56952,21141,56356,17640,54967c14139,53380,11049,51197,8369,48617c5690,45839,3625,42664,2175,39291c725,35719,0,32147,0,28575c0,24606,725,20836,2175,17463c3625,14089,5690,10914,8369,8334c11049,5556,14139,3373,17640,1984c21141,595,24786,0,28575,0x">
                  <v:stroke weight="0pt" endcap="flat" joinstyle="miter" miterlimit="10" on="false" color="#000000" opacity="0"/>
                  <v:fill on="true" color="#333333"/>
                </v:shape>
                <v:shape id="Shape 22689" style="position:absolute;width:571;height:571;left:0;top:10668;" coordsize="57150,57150" path="m28575,0c32364,0,36009,595,39510,1984c43011,3373,46101,5556,48781,8334c51460,10914,53525,14089,54975,17463c56425,20836,57150,24606,57150,28575c57150,32147,56425,35719,54975,39291c53525,42664,51460,45839,48781,48617c46101,51197,43011,53380,39510,54769c36009,56356,32364,56952,28575,57150c24786,56952,21141,56356,17640,54967c14139,53380,11049,51197,8369,48617c5690,45839,3625,42664,2175,39291c725,35719,0,32147,0,28575c0,24606,725,20836,2175,17463c3625,14089,5690,10914,8369,8334c11049,5556,14139,3373,17640,1984c21141,595,24786,0,28575,0x">
                  <v:stroke weight="0pt" endcap="flat" joinstyle="miter" miterlimit="10" on="false" color="#000000" opacity="0"/>
                  <v:fill on="true" color="#333333"/>
                </v:shape>
                <v:shape id="Shape 22692" style="position:absolute;width:571;height:571;left:0;top:13716;" coordsize="57150,57150" path="m28575,0c32364,0,36009,595,39510,1984c43011,3373,46101,5556,48781,8334c51460,10914,53525,14089,54975,17463c56425,20836,57150,24606,57150,28575c57150,32345,56425,35917,54975,39489c53525,42863,51460,46038,48781,48816c46101,51395,43011,53380,39510,54967c36009,56356,32364,56952,28575,57150c24786,56952,21141,56356,17640,54967c14139,53380,11049,51395,8369,48816c5690,46038,3625,42863,2175,39489c725,35917,0,32345,0,28575c0,24606,725,20836,2175,17463c3625,14089,5690,10914,8369,8334c11049,5556,14139,3373,17640,1984c21141,595,24786,0,28575,0x">
                  <v:stroke weight="0pt" endcap="flat" joinstyle="miter" miterlimit="10" on="false" color="#000000" opacity="0"/>
                  <v:fill on="true" color="#333333"/>
                </v:shape>
                <w10:wrap type="square"/>
              </v:group>
            </w:pict>
          </mc:Fallback>
        </mc:AlternateContent>
      </w:r>
      <w:r>
        <w:t>Сильная потребность принять алкоголь.</w:t>
      </w:r>
    </w:p>
    <w:p w:rsidR="008E3F15" w:rsidRDefault="005F449A">
      <w:pPr>
        <w:spacing w:after="31"/>
        <w:ind w:left="347" w:right="15"/>
      </w:pPr>
      <w:r>
        <w:t>Нарушение способности контролировать длительность приема и дозировку алкоголя.</w:t>
      </w:r>
    </w:p>
    <w:p w:rsidR="008E3F15" w:rsidRDefault="005F449A">
      <w:pPr>
        <w:spacing w:after="31"/>
        <w:ind w:left="347" w:right="15"/>
      </w:pPr>
      <w:r>
        <w:t>Синдром отмены алкоголя.</w:t>
      </w:r>
    </w:p>
    <w:p w:rsidR="008E3F15" w:rsidRDefault="005F449A">
      <w:pPr>
        <w:ind w:left="347" w:right="15"/>
      </w:pPr>
      <w:r>
        <w:t>Использование другого вещества для облегче</w:t>
      </w:r>
      <w:r>
        <w:t>ния или избегания синдрома отмены алкоголя.</w:t>
      </w:r>
    </w:p>
    <w:p w:rsidR="008E3F15" w:rsidRDefault="005F449A">
      <w:pPr>
        <w:ind w:left="347" w:right="15"/>
      </w:pPr>
      <w:r>
        <w:t>Признаки толерантности, такие как повышение дозы алкоголя для достижения такого эффекта, который ранее достигался меньшей дозой.</w:t>
      </w:r>
    </w:p>
    <w:p w:rsidR="008E3F15" w:rsidRDefault="005F449A">
      <w:pPr>
        <w:ind w:left="347" w:right="15"/>
      </w:pPr>
      <w:r>
        <w:t>Прогрессирующее забвение других интересов и удовольствий, кроме употребления алкого</w:t>
      </w:r>
      <w:r>
        <w:t>ля.</w:t>
      </w:r>
    </w:p>
    <w:p w:rsidR="008E3F15" w:rsidRDefault="005F449A">
      <w:pPr>
        <w:spacing w:after="345"/>
        <w:ind w:left="347" w:right="15"/>
      </w:pPr>
      <w:r>
        <w:t>Продолжение приема алкоголя, несмотря на негативные последствия.</w:t>
      </w:r>
    </w:p>
    <w:p w:rsidR="008E3F15" w:rsidRDefault="005F449A">
      <w:pPr>
        <w:pStyle w:val="Heading1"/>
        <w:ind w:left="2"/>
      </w:pPr>
      <w:r>
        <w:t>Часть II. Коморбидные болезни</w:t>
      </w:r>
    </w:p>
    <w:p w:rsidR="008E3F15" w:rsidRDefault="005F449A">
      <w:pPr>
        <w:ind w:left="2" w:right="96"/>
      </w:pPr>
      <w:r>
        <w:t>В начале формирования зависимости появляются повышение толерантности и патологическое влечение к алкоголю с утратой контроля над потреблением, позднее развив</w:t>
      </w:r>
      <w:r>
        <w:t>ается синдром отмены с приемом спиртного для облегчения состояния. Постепенно изменяется и деформируется личность, включая притупление высших эмоций (совесть, долг, забота, сострадание) и усиление низших (эгоизм, раздражительность, любовь к наслаждениям, п</w:t>
      </w:r>
      <w:r>
        <w:t>аразитические тенденции). Происходит снижение когнитивных функций: ухудшается внимание, снижается способность запоминать, затрудняется приобретение новых знаний и навыков. Снижается толерантность к алкоголю — опьянение возникает уже после небольшого количе</w:t>
      </w:r>
      <w:r>
        <w:t>ства спиртного.</w:t>
      </w:r>
    </w:p>
    <w:p w:rsidR="008E3F15" w:rsidRDefault="005F449A">
      <w:pPr>
        <w:ind w:left="2" w:right="15"/>
      </w:pPr>
      <w:r>
        <w:t>Пьянство может носить постоянный, перемежающийся или запойный характер. Постоянная форма характеризуется длительным употреблением алкоголя с редкими и кратковременными (до 2–3 дней) перерывами. Перемежающаяся форма — на фоне длительного пья</w:t>
      </w:r>
      <w:r>
        <w:t>нства возникают периоды резкого усиления и перерывов потребления спиртного. При запойной форме регулярно повторяются периоды ежедневного (дни-недели) злоупотребления алкоголем, чередующиеся с периодами трезвости.</w:t>
      </w:r>
    </w:p>
    <w:p w:rsidR="008E3F15" w:rsidRDefault="005F449A">
      <w:pPr>
        <w:ind w:left="2" w:right="256"/>
      </w:pPr>
      <w:r>
        <w:t>Обязательным условием лечения алкогольной з</w:t>
      </w:r>
      <w:r>
        <w:t>ависимости является добровольный отказ от употребления алкоголя. На первом этапе купируют симптомы абстиненции, проводится детоксикационная терапия с назначением транквилизаторов.</w:t>
      </w:r>
    </w:p>
    <w:p w:rsidR="008E3F15" w:rsidRDefault="005F449A">
      <w:pPr>
        <w:ind w:left="2" w:right="302"/>
      </w:pPr>
      <w:r>
        <w:t>С целью достижения стойкой ремиссии подавляют патологическое влечение к алко</w:t>
      </w:r>
      <w:r>
        <w:t>голю с помощью блокаторов опиатных рецепторов (налтрексон, налмефен), которые снижают эффект эндогенных опиоидов, отвечающих за получение удовольствия от приема алкоголя, что приводит к снижению влечения к алкоголю, а в случае его употребления — утрате эйф</w:t>
      </w:r>
      <w:r>
        <w:t>ории.</w:t>
      </w:r>
    </w:p>
    <w:p w:rsidR="008E3F15" w:rsidRDefault="005F449A">
      <w:pPr>
        <w:ind w:left="2" w:right="446"/>
      </w:pPr>
      <w:r>
        <w:t>При неэффективности блокаторов опиатных рецепторов можно использовать топирамат и габапентин (APA).</w:t>
      </w:r>
    </w:p>
    <w:p w:rsidR="008E3F15" w:rsidRDefault="005F449A">
      <w:pPr>
        <w:ind w:left="2" w:right="15"/>
      </w:pPr>
      <w:r>
        <w:t>Сенсибилизирующие средства блокируют ацетальдегиддегидрогеназу (дисульфирам, цианамид) и приводят к выраженному дискомфорту и неприятным симптомам при</w:t>
      </w:r>
      <w:r>
        <w:t xml:space="preserve"> приеме алкоголя. Препараты используются при отсутствии ССЗ, хорошей приверженности и могут быть полезны для отдельных пациентов.</w:t>
      </w:r>
    </w:p>
    <w:p w:rsidR="008E3F15" w:rsidRDefault="005F449A">
      <w:pPr>
        <w:ind w:left="2" w:right="15"/>
      </w:pPr>
      <w:r>
        <w:t>Для контроля эмоционального состояния, сопутствующих тревожных и депрессивных симптомов используют антидепрессанты и стабилизаторы настроения.</w:t>
      </w:r>
    </w:p>
    <w:p w:rsidR="008E3F15" w:rsidRDefault="005F449A">
      <w:pPr>
        <w:ind w:left="2" w:right="15"/>
      </w:pPr>
      <w:r>
        <w:t>Важное место в лечении алкогольных расстройств занимают психотерапевтические методы лечения. Врачу следует не осу</w:t>
      </w:r>
      <w:r>
        <w:t>ждать пациента, а повысить самооценку и усилить уверенность в себе.</w:t>
      </w:r>
    </w:p>
    <w:p w:rsidR="008E3F15" w:rsidRDefault="005F449A">
      <w:pPr>
        <w:ind w:left="2" w:right="189"/>
      </w:pPr>
      <w:r>
        <w:t>В широкой медицинской практике рекомендуют использовать краткосрочную психотерапевтическую интервенцию, которая состоит из оценки потребления пациентом алкоголя (опросники AUDIT, CAGE), ср</w:t>
      </w:r>
      <w:r>
        <w:t>авнения уровня потребления с общепринятыми нормами, информирования пациента о негативных последствиях для здоровья чрезмерного употребления алкоголя, обсуждения факторов, стимулирующих и тормозящих употребление алкоголя, поиска факторов, способствующих воз</w:t>
      </w:r>
      <w:r>
        <w:t>держанию, планирования изменений и их мониторинга.</w:t>
      </w:r>
    </w:p>
    <w:p w:rsidR="008E3F15" w:rsidRDefault="005F449A">
      <w:pPr>
        <w:ind w:left="2" w:right="15"/>
      </w:pPr>
      <w:r>
        <w:t>Когнитивно-поведенческая терапия ставит целью улучшение самоконтроля и формирование оптимального поведения на основе выявления неверных мыслей, которые способствуют потреблению алкоголя. Сочетание когнитив</w:t>
      </w:r>
      <w:r>
        <w:t>но-поведенческой и фармакологической терапии более эффективно, чем только медикаментозное лечение.</w:t>
      </w:r>
    </w:p>
    <w:p w:rsidR="008E3F15" w:rsidRDefault="005F449A">
      <w:pPr>
        <w:spacing w:after="359"/>
        <w:ind w:left="2" w:right="15"/>
      </w:pPr>
      <w:r>
        <w:t>Помогает контролировать заболевание общество анонимных алкоголиков, в котором люди делятся своим позитивным опытом борьбы с зависимостью.</w:t>
      </w:r>
    </w:p>
    <w:p w:rsidR="008E3F15" w:rsidRDefault="005F449A">
      <w:pPr>
        <w:pStyle w:val="Heading1"/>
        <w:ind w:left="2"/>
      </w:pPr>
      <w:r>
        <w:t>Часть II. Коморбидн</w:t>
      </w:r>
      <w:r>
        <w:t>ые болезни</w:t>
      </w:r>
    </w:p>
    <w:p w:rsidR="008E3F15" w:rsidRDefault="005F449A">
      <w:pPr>
        <w:spacing w:after="31"/>
        <w:ind w:left="2" w:right="15"/>
      </w:pPr>
      <w:r>
        <w:t>Коморбидность</w:t>
      </w:r>
    </w:p>
    <w:p w:rsidR="008E3F15" w:rsidRDefault="005F449A">
      <w:pPr>
        <w:spacing w:after="31"/>
        <w:ind w:left="2" w:right="604"/>
      </w:pPr>
      <w:r>
        <w:t xml:space="preserve">Особенности лечения психических расстройств при частых сопутствующих заболеваниях и состояниях представлены в </w:t>
      </w:r>
      <w:r>
        <w:rPr>
          <w:b/>
        </w:rPr>
        <w:t>табл. 18.10</w:t>
      </w:r>
      <w:r>
        <w:t xml:space="preserve"> (Белялов Ф.И., 2022). </w:t>
      </w:r>
      <w:r>
        <w:rPr>
          <w:b/>
        </w:rPr>
        <w:t xml:space="preserve">Таблица 18.10. </w:t>
      </w:r>
      <w:r>
        <w:t>Выбор препаратов при коморбидных заболеваниях</w:t>
      </w:r>
    </w:p>
    <w:tbl>
      <w:tblPr>
        <w:tblStyle w:val="TableGrid"/>
        <w:tblW w:w="10485" w:type="dxa"/>
        <w:tblInd w:w="37" w:type="dxa"/>
        <w:tblCellMar>
          <w:top w:w="58" w:type="dxa"/>
          <w:left w:w="42" w:type="dxa"/>
          <w:bottom w:w="0" w:type="dxa"/>
          <w:right w:w="45" w:type="dxa"/>
        </w:tblCellMar>
        <w:tblLook w:val="04A0" w:firstRow="1" w:lastRow="0" w:firstColumn="1" w:lastColumn="0" w:noHBand="0" w:noVBand="1"/>
      </w:tblPr>
      <w:tblGrid>
        <w:gridCol w:w="1920"/>
        <w:gridCol w:w="4470"/>
        <w:gridCol w:w="4095"/>
      </w:tblGrid>
      <w:tr w:rsidR="008E3F15">
        <w:trPr>
          <w:trHeight w:val="330"/>
        </w:trPr>
        <w:tc>
          <w:tcPr>
            <w:tcW w:w="19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3" w:right="0" w:firstLine="0"/>
            </w:pPr>
            <w:r>
              <w:rPr>
                <w:b/>
              </w:rPr>
              <w:t>Заболевание</w:t>
            </w:r>
          </w:p>
        </w:tc>
        <w:tc>
          <w:tcPr>
            <w:tcW w:w="4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rPr>
                <w:b/>
              </w:rPr>
              <w:t>Предпочтительн</w:t>
            </w:r>
            <w:r>
              <w:rPr>
                <w:b/>
              </w:rPr>
              <w:t>ое лечение</w:t>
            </w:r>
          </w:p>
        </w:tc>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Нежелательные препараты</w:t>
            </w:r>
          </w:p>
        </w:tc>
      </w:tr>
      <w:tr w:rsidR="008E3F15">
        <w:trPr>
          <w:trHeight w:val="810"/>
        </w:trPr>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Артериальная гипертензия</w:t>
            </w:r>
          </w:p>
        </w:tc>
        <w:tc>
          <w:tcPr>
            <w:tcW w:w="4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СИОЗС, агомелатин, пипофезин, пирлиндол, бензодиазепины</w:t>
            </w:r>
          </w:p>
        </w:tc>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ТЦА, ингибиторы обратного захвата серотонина и норадреналина, анти психотики</w:t>
            </w:r>
          </w:p>
        </w:tc>
      </w:tr>
      <w:tr w:rsidR="008E3F15">
        <w:trPr>
          <w:trHeight w:val="788"/>
        </w:trPr>
        <w:tc>
          <w:tcPr>
            <w:tcW w:w="1920"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3" w:right="0" w:firstLine="0"/>
            </w:pPr>
            <w:r>
              <w:t>ИМ</w:t>
            </w:r>
          </w:p>
          <w:p w:rsidR="008E3F15" w:rsidRDefault="005F449A">
            <w:pPr>
              <w:spacing w:after="0" w:line="259" w:lineRule="auto"/>
              <w:ind w:left="3" w:right="0" w:firstLine="0"/>
            </w:pPr>
            <w:r>
              <w:t>перенесенный</w:t>
            </w:r>
          </w:p>
        </w:tc>
        <w:tc>
          <w:tcPr>
            <w:tcW w:w="447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8" w:right="68" w:firstLine="0"/>
            </w:pPr>
            <w:r>
              <w:t>Сертралин, циталопрам, эсциталопрам, миртазапин, бензодиазепины</w:t>
            </w:r>
          </w:p>
        </w:tc>
        <w:tc>
          <w:tcPr>
            <w:tcW w:w="409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ТЦА, ингибиторы обратного захвата серотонина и норадреналина, анти психотики</w:t>
            </w:r>
          </w:p>
        </w:tc>
      </w:tr>
      <w:tr w:rsidR="008E3F15">
        <w:trPr>
          <w:trHeight w:val="548"/>
        </w:trPr>
        <w:tc>
          <w:tcPr>
            <w:tcW w:w="10485" w:type="dxa"/>
            <w:gridSpan w:val="3"/>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788"/>
        </w:trPr>
        <w:tc>
          <w:tcPr>
            <w:tcW w:w="192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Коронарная болезнь</w:t>
            </w:r>
          </w:p>
        </w:tc>
        <w:tc>
          <w:tcPr>
            <w:tcW w:w="4470"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СИОЗС, миртазапин, бензодиазепины</w:t>
            </w:r>
          </w:p>
        </w:tc>
        <w:tc>
          <w:tcPr>
            <w:tcW w:w="409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ТЦА, ингибиторы обратного захвата серотонина и норадреналина, анти психотики</w:t>
            </w:r>
          </w:p>
        </w:tc>
      </w:tr>
      <w:tr w:rsidR="008E3F15">
        <w:trPr>
          <w:trHeight w:val="810"/>
        </w:trPr>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Мигрень</w:t>
            </w:r>
          </w:p>
        </w:tc>
        <w:tc>
          <w:tcPr>
            <w:tcW w:w="4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Вальпроевая кислота, топирамат, амитриптилин, кломипрамин, венлафаксин</w:t>
            </w:r>
          </w:p>
        </w:tc>
        <w:tc>
          <w:tcPr>
            <w:tcW w:w="40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w:t>
            </w:r>
          </w:p>
        </w:tc>
      </w:tr>
      <w:tr w:rsidR="008E3F15">
        <w:trPr>
          <w:trHeight w:val="1290"/>
        </w:trPr>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Ожирение</w:t>
            </w:r>
          </w:p>
        </w:tc>
        <w:tc>
          <w:tcPr>
            <w:tcW w:w="447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8" w:right="0" w:firstLine="0"/>
            </w:pPr>
            <w:r>
              <w:t>Бензодиазепины, бупропион</w:t>
            </w:r>
            <w:r>
              <w:rPr>
                <w:rFonts w:ascii="Times New Roman" w:eastAsia="Times New Roman" w:hAnsi="Times New Roman" w:cs="Times New Roman"/>
                <w:sz w:val="31"/>
                <w:vertAlign w:val="superscript"/>
              </w:rPr>
              <w:t>℘</w:t>
            </w:r>
            <w:r>
              <w:t>, обратимые ингибиторы моноаминооксидазы, флуоксетин</w:t>
            </w:r>
          </w:p>
        </w:tc>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79" w:firstLine="0"/>
            </w:pPr>
            <w:r>
              <w:t>ТЦА, СИОЗС, ингибиторы обратного захвата серотонина и норадреналина, миртазапин, миансерин, тразодон, антипсихотики, литий</w:t>
            </w:r>
          </w:p>
        </w:tc>
      </w:tr>
      <w:tr w:rsidR="008E3F15">
        <w:trPr>
          <w:trHeight w:val="1050"/>
        </w:trPr>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СД</w:t>
            </w:r>
          </w:p>
        </w:tc>
        <w:tc>
          <w:tcPr>
            <w:tcW w:w="447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8" w:right="0" w:firstLine="0"/>
            </w:pPr>
            <w:r>
              <w:t>Бензодиазепины, обратимые ингибиторы моноаминооксидазы, СИОЗС, ингибиторы обратного захвата серотонина и норадреналина</w:t>
            </w:r>
          </w:p>
        </w:tc>
        <w:tc>
          <w:tcPr>
            <w:tcW w:w="409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ТЦА, миртазапин, флуоксетин, антипсихотики</w:t>
            </w:r>
          </w:p>
        </w:tc>
      </w:tr>
      <w:tr w:rsidR="008E3F15">
        <w:trPr>
          <w:trHeight w:val="810"/>
        </w:trPr>
        <w:tc>
          <w:tcPr>
            <w:tcW w:w="192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3" w:right="0" w:firstLine="0"/>
            </w:pPr>
            <w:r>
              <w:t>СН</w:t>
            </w:r>
          </w:p>
        </w:tc>
        <w:tc>
          <w:tcPr>
            <w:tcW w:w="447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8" w:right="0" w:firstLine="0"/>
            </w:pPr>
            <w:r>
              <w:t>СИОЗС, бензодиазепины</w:t>
            </w:r>
          </w:p>
        </w:tc>
        <w:tc>
          <w:tcPr>
            <w:tcW w:w="409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ТЦА, ингибиторы обратного захвата серотонина и норадреналина, анти психотики, литий</w:t>
            </w:r>
          </w:p>
        </w:tc>
      </w:tr>
    </w:tbl>
    <w:p w:rsidR="008E3F15" w:rsidRDefault="005F449A">
      <w:pPr>
        <w:pStyle w:val="Heading1"/>
        <w:ind w:left="2"/>
      </w:pPr>
      <w:r>
        <w:t>Часть II. Коморбидные болезни</w:t>
      </w:r>
    </w:p>
    <w:p w:rsidR="008E3F15" w:rsidRDefault="005F449A">
      <w:pPr>
        <w:spacing w:after="31"/>
        <w:ind w:left="2" w:right="15"/>
      </w:pPr>
      <w:r>
        <w:t>Болезни сердца и психические расстройства</w:t>
      </w:r>
    </w:p>
    <w:p w:rsidR="008E3F15" w:rsidRDefault="005F449A">
      <w:pPr>
        <w:ind w:left="2" w:right="124"/>
      </w:pPr>
      <w:r>
        <w:t>При многих заболеваниях сердца повышена частота депрессии и тревоги, оцениваемой по шкалам или критериям психических расстройств. Среди последних преобладают тревожные (панические атаки и генерализованная тревога), реже встречаются депрессивные (эпизоды де</w:t>
      </w:r>
      <w:r>
        <w:t>прессии, дистимия), соматоформные и стрессовые расстройства.</w:t>
      </w:r>
    </w:p>
    <w:p w:rsidR="008E3F15" w:rsidRDefault="005F449A">
      <w:pPr>
        <w:ind w:left="2" w:right="15"/>
      </w:pPr>
      <w:r>
        <w:t>В условиях стационара чаще выявляют вторичные (нозогенные) психические расстройства, обусловленные стрессовым воздействием соматической болезни (Смулевич А.Б. и др., 2016). У пациентов с коронарн</w:t>
      </w:r>
      <w:r>
        <w:t>ой болезнью и депрессией выше общая смертность, частота стрессиндуцированной ишемии мио карда и СК, СН, рефрактерности к лечению, ниже физическая активность и качество жизни (Geovanini G. et al., 2014; Whang W. et al., 2014; Papasavvas T. et al., 2016).</w:t>
      </w:r>
    </w:p>
    <w:p w:rsidR="008E3F15" w:rsidRDefault="005F449A">
      <w:pPr>
        <w:ind w:left="2" w:right="237"/>
      </w:pPr>
      <w:r>
        <w:t>Пс</w:t>
      </w:r>
      <w:r>
        <w:t>ихические факторы являются барьерами на пути улучшения приверженности к лечению и образа жизни как среди пациентов, так и населения в целом.</w:t>
      </w:r>
    </w:p>
    <w:p w:rsidR="008E3F15" w:rsidRDefault="005F449A">
      <w:pPr>
        <w:ind w:left="2" w:right="484"/>
      </w:pPr>
      <w:r>
        <w:t>Показано, что лечение психических расстройств у пациентов, перенесших ИМ, уменьшает выраженность тревоги и депресси</w:t>
      </w:r>
      <w:r>
        <w:t>и, улучшает качество жизни, может снизить частоту повторных госпитализаций, но не влияет существенно на сердечно-сосудистые события и смертность (Pizzi C. et al., 2011; Mazza M. et al., 2010; Zuidersma M. et al., 2013).</w:t>
      </w:r>
    </w:p>
    <w:p w:rsidR="008E3F15" w:rsidRDefault="005F449A">
      <w:pPr>
        <w:ind w:left="2" w:right="15"/>
      </w:pPr>
      <w:r>
        <w:t>В связи с высокой смертностью у паци</w:t>
      </w:r>
      <w:r>
        <w:t xml:space="preserve">ентов с заболеваниями сердца следует использовать психотропные препараты, проверенные в надежных исследованиях (см. </w:t>
      </w:r>
      <w:r>
        <w:rPr>
          <w:b/>
        </w:rPr>
        <w:t>табл. 18.7</w:t>
      </w:r>
      <w:r>
        <w:t>,</w:t>
      </w:r>
    </w:p>
    <w:p w:rsidR="008E3F15" w:rsidRDefault="005F449A">
      <w:pPr>
        <w:ind w:left="2" w:right="15"/>
      </w:pPr>
      <w:r>
        <w:t xml:space="preserve">Белялов Ф.И., 2022). Например, у пациентов после ИМ в рандомизированных исследованиях показана сердечно-сосудистая безопасность </w:t>
      </w:r>
      <w:r>
        <w:t>только четырех антидепрессантов: сертралина, циталопрама, эсциталопрама и миртазапина (SADHART, ENRICHD, CREATE, DECARD; K-</w:t>
      </w:r>
    </w:p>
    <w:p w:rsidR="008E3F15" w:rsidRDefault="005F449A">
      <w:pPr>
        <w:ind w:left="2" w:right="15"/>
      </w:pPr>
      <w:r>
        <w:t>DEPACS/EsDEPACS, MIND-IT). Циталопрам, эсциталопрам и гидроксизин увеличивают интервал Q–T. Назначение ТЦА после ИМ противопоказано,</w:t>
      </w:r>
      <w:r>
        <w:t xml:space="preserve"> по крайней мере, в течение 6 мес ввиду повышенного риска смерти.</w:t>
      </w:r>
    </w:p>
    <w:p w:rsidR="008E3F15" w:rsidRDefault="005F449A">
      <w:pPr>
        <w:ind w:left="2" w:right="15"/>
      </w:pPr>
      <w:r>
        <w:t>Активная противотромботическая терапия у пациентов с коронарной болезнью требует учета антиагрегационного эффекта СИОЗС и повышения риска кровотечений. Кроме того, СИОЗС могут вызвать гипона</w:t>
      </w:r>
      <w:r>
        <w:t>триемию, которая ассоциируется с повышением смертности у пациентов с СН.</w:t>
      </w:r>
    </w:p>
    <w:p w:rsidR="008E3F15" w:rsidRDefault="005F449A">
      <w:pPr>
        <w:ind w:left="2" w:right="15"/>
      </w:pPr>
      <w:r>
        <w:t xml:space="preserve">Важно отметить, что физические нагрузки (статические и динамические) могут уменьшить симптомы депрессии и риск ее появления (Gordon B. et al., 2018; Schuch F. et al., 2018). Проблема </w:t>
      </w:r>
      <w:r>
        <w:t xml:space="preserve">синдрома удлиненного интервала </w:t>
      </w:r>
      <w:r>
        <w:rPr>
          <w:i/>
        </w:rPr>
        <w:t>Q–T</w:t>
      </w:r>
      <w:r>
        <w:t>, индуцированного психотропными препаратами, и повышения риска ВСС длительное время находится в фокусе внимания исследователей.</w:t>
      </w:r>
    </w:p>
    <w:p w:rsidR="008E3F15" w:rsidRDefault="005F449A">
      <w:pPr>
        <w:ind w:left="2" w:right="15"/>
      </w:pPr>
      <w:r>
        <w:t>Предлагается разделить психотропные препараты на две группы риска и выбирать соответствующую т</w:t>
      </w:r>
      <w:r>
        <w:t xml:space="preserve">актику ведения (Fanoe S. et al., 2014; </w:t>
      </w:r>
      <w:r>
        <w:rPr>
          <w:b/>
        </w:rPr>
        <w:t>рис. 18.4</w:t>
      </w:r>
      <w:r>
        <w:t xml:space="preserve">, </w:t>
      </w:r>
      <w:r>
        <w:rPr>
          <w:b/>
        </w:rPr>
        <w:t>табл. 18.11</w:t>
      </w:r>
      <w:r>
        <w:t>).</w:t>
      </w:r>
    </w:p>
    <w:p w:rsidR="008E3F15" w:rsidRDefault="005F449A">
      <w:pPr>
        <w:spacing w:after="65" w:line="259" w:lineRule="auto"/>
        <w:ind w:left="7" w:right="0" w:firstLine="0"/>
      </w:pPr>
      <w:r>
        <w:rPr>
          <w:noProof/>
        </w:rPr>
        <w:drawing>
          <wp:inline distT="0" distB="0" distL="0" distR="0">
            <wp:extent cx="5057775" cy="2971800"/>
            <wp:effectExtent l="0" t="0" r="0" b="0"/>
            <wp:docPr id="22936" name="Picture 22936"/>
            <wp:cNvGraphicFramePr/>
            <a:graphic xmlns:a="http://schemas.openxmlformats.org/drawingml/2006/main">
              <a:graphicData uri="http://schemas.openxmlformats.org/drawingml/2006/picture">
                <pic:pic xmlns:pic="http://schemas.openxmlformats.org/drawingml/2006/picture">
                  <pic:nvPicPr>
                    <pic:cNvPr id="22936" name="Picture 22936"/>
                    <pic:cNvPicPr/>
                  </pic:nvPicPr>
                  <pic:blipFill>
                    <a:blip r:embed="rId181"/>
                    <a:stretch>
                      <a:fillRect/>
                    </a:stretch>
                  </pic:blipFill>
                  <pic:spPr>
                    <a:xfrm>
                      <a:off x="0" y="0"/>
                      <a:ext cx="5057775" cy="2971800"/>
                    </a:xfrm>
                    <a:prstGeom prst="rect">
                      <a:avLst/>
                    </a:prstGeom>
                  </pic:spPr>
                </pic:pic>
              </a:graphicData>
            </a:graphic>
          </wp:inline>
        </w:drawing>
      </w:r>
    </w:p>
    <w:p w:rsidR="008E3F15" w:rsidRDefault="005F449A">
      <w:pPr>
        <w:spacing w:after="31"/>
        <w:ind w:left="2" w:right="15"/>
      </w:pPr>
      <w:r>
        <w:rPr>
          <w:b/>
        </w:rPr>
        <w:t xml:space="preserve">Рис. 18.4. </w:t>
      </w:r>
      <w:r>
        <w:t xml:space="preserve">Выбор психотропных препаратов в зависимости от влияния на интервал </w:t>
      </w:r>
      <w:r>
        <w:rPr>
          <w:i/>
        </w:rPr>
        <w:t>Q–T</w:t>
      </w:r>
    </w:p>
    <w:p w:rsidR="008E3F15" w:rsidRDefault="005F449A">
      <w:pPr>
        <w:spacing w:after="31"/>
        <w:ind w:left="2" w:right="15"/>
      </w:pPr>
      <w:r>
        <w:rPr>
          <w:b/>
        </w:rPr>
        <w:t xml:space="preserve">Таблица 18.11. </w:t>
      </w:r>
      <w:r>
        <w:t xml:space="preserve">Классификация психотропных препаратов, влияющих на интервал </w:t>
      </w:r>
      <w:r>
        <w:rPr>
          <w:i/>
        </w:rPr>
        <w:t>Q–T</w:t>
      </w:r>
    </w:p>
    <w:tbl>
      <w:tblPr>
        <w:tblStyle w:val="TableGrid"/>
        <w:tblW w:w="10485" w:type="dxa"/>
        <w:tblInd w:w="37" w:type="dxa"/>
        <w:tblCellMar>
          <w:top w:w="80" w:type="dxa"/>
          <w:left w:w="45" w:type="dxa"/>
          <w:bottom w:w="0" w:type="dxa"/>
          <w:right w:w="72" w:type="dxa"/>
        </w:tblCellMar>
        <w:tblLook w:val="04A0" w:firstRow="1" w:lastRow="0" w:firstColumn="1" w:lastColumn="0" w:noHBand="0" w:noVBand="1"/>
      </w:tblPr>
      <w:tblGrid>
        <w:gridCol w:w="6405"/>
        <w:gridCol w:w="4080"/>
      </w:tblGrid>
      <w:tr w:rsidR="008E3F15">
        <w:trPr>
          <w:trHeight w:val="330"/>
        </w:trPr>
        <w:tc>
          <w:tcPr>
            <w:tcW w:w="64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 xml:space="preserve">Препараты, не влияющие на </w:t>
            </w:r>
            <w:r>
              <w:rPr>
                <w:b/>
                <w:i/>
              </w:rPr>
              <w:t>Q–T</w:t>
            </w:r>
          </w:p>
        </w:tc>
        <w:tc>
          <w:tcPr>
            <w:tcW w:w="40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 xml:space="preserve">Препараты, удлиняющие </w:t>
            </w:r>
            <w:r>
              <w:rPr>
                <w:b/>
                <w:i/>
              </w:rPr>
              <w:t>Q–T</w:t>
            </w:r>
          </w:p>
        </w:tc>
      </w:tr>
      <w:tr w:rsidR="008E3F15">
        <w:trPr>
          <w:trHeight w:val="2250"/>
        </w:trPr>
        <w:tc>
          <w:tcPr>
            <w:tcW w:w="640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Бензодиазепины.</w:t>
            </w:r>
          </w:p>
          <w:p w:rsidR="008E3F15" w:rsidRDefault="005F449A">
            <w:pPr>
              <w:spacing w:after="0" w:line="216" w:lineRule="auto"/>
              <w:ind w:left="0" w:right="444" w:firstLine="0"/>
            </w:pPr>
            <w:r>
              <w:t>Антидепрессанты (агомелатин, вортиоксетин, ингибиторы обратного захвата серотонина и норадреналина, ингибиторы моноаминооксидазы, миртазапин, пароксетин, сертралин, флуоксетин, флувоксамин).</w:t>
            </w:r>
          </w:p>
          <w:p w:rsidR="008E3F15" w:rsidRDefault="005F449A">
            <w:pPr>
              <w:spacing w:after="0" w:line="259" w:lineRule="auto"/>
              <w:ind w:left="0" w:right="0" w:firstLine="0"/>
            </w:pPr>
            <w:r>
              <w:t>Стабилизаторы настроения (антиконвульсанты). Антипсихотики (алимемазин, арипипразол, луразидон, перфеназин)</w:t>
            </w:r>
          </w:p>
        </w:tc>
        <w:tc>
          <w:tcPr>
            <w:tcW w:w="40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16" w:lineRule="auto"/>
              <w:ind w:left="4" w:right="0" w:firstLine="0"/>
            </w:pPr>
            <w:r>
              <w:t>Антипсихотики (галоперидол, зипрасидон, кветиапин, клозапин, оланзапин, рисперидон, сертиндол, тиоридазин). Гидроксизин.</w:t>
            </w:r>
          </w:p>
          <w:p w:rsidR="008E3F15" w:rsidRDefault="005F449A">
            <w:pPr>
              <w:spacing w:after="0" w:line="216" w:lineRule="auto"/>
              <w:ind w:left="4" w:right="0" w:firstLine="0"/>
            </w:pPr>
            <w:r>
              <w:t>Антидепрессанты (ТЦА, цитал</w:t>
            </w:r>
            <w:r>
              <w:t>опрам, эсциталопрам).</w:t>
            </w:r>
          </w:p>
          <w:p w:rsidR="008E3F15" w:rsidRDefault="005F449A">
            <w:pPr>
              <w:spacing w:after="0" w:line="259" w:lineRule="auto"/>
              <w:ind w:left="4" w:right="0" w:firstLine="0"/>
            </w:pPr>
            <w:r>
              <w:t>Литий</w:t>
            </w:r>
          </w:p>
        </w:tc>
      </w:tr>
    </w:tbl>
    <w:p w:rsidR="008E3F15" w:rsidRDefault="005F449A">
      <w:pPr>
        <w:pStyle w:val="Heading1"/>
        <w:ind w:left="2"/>
      </w:pPr>
      <w:r>
        <w:t>Часть II. Коморбидные болезни</w:t>
      </w:r>
    </w:p>
    <w:p w:rsidR="008E3F15" w:rsidRDefault="005F449A">
      <w:pPr>
        <w:spacing w:after="31"/>
        <w:ind w:left="2" w:right="15"/>
      </w:pPr>
      <w:r>
        <w:t>Глава 19. Нарушения сна</w:t>
      </w:r>
    </w:p>
    <w:p w:rsidR="008E3F15" w:rsidRDefault="005F449A">
      <w:pPr>
        <w:spacing w:after="31"/>
        <w:ind w:left="2" w:right="15"/>
      </w:pPr>
      <w:r>
        <w:t>Классификация</w:t>
      </w:r>
    </w:p>
    <w:p w:rsidR="008E3F15" w:rsidRDefault="005F449A">
      <w:pPr>
        <w:spacing w:after="179"/>
        <w:ind w:left="2" w:right="15"/>
      </w:pPr>
      <w:r>
        <w:t>Согласно общепринятой Международной классификации расстройств сна 3-го пересмотра выделяют следующие виды расстройств сна.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4720"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35286" name="Group 335286"/>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2969" name="Shape 22969"/>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6038"/>
                                  <a:pt x="48781" y="48816"/>
                                </a:cubicBezTo>
                                <a:cubicBezTo>
                                  <a:pt x="46101" y="51395"/>
                                  <a:pt x="43011" y="53380"/>
                                  <a:pt x="39510" y="54769"/>
                                </a:cubicBezTo>
                                <a:cubicBezTo>
                                  <a:pt x="36009" y="56158"/>
                                  <a:pt x="32364" y="56952"/>
                                  <a:pt x="28575" y="57150"/>
                                </a:cubicBezTo>
                                <a:cubicBezTo>
                                  <a:pt x="24786" y="56952"/>
                                  <a:pt x="21141" y="56158"/>
                                  <a:pt x="17640" y="54769"/>
                                </a:cubicBezTo>
                                <a:cubicBezTo>
                                  <a:pt x="14139" y="53380"/>
                                  <a:pt x="11049" y="51395"/>
                                  <a:pt x="8369" y="48816"/>
                                </a:cubicBezTo>
                                <a:cubicBezTo>
                                  <a:pt x="5690" y="46038"/>
                                  <a:pt x="3625" y="42664"/>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971" name="Shape 22971"/>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973" name="Shape 2297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975" name="Shape 22975"/>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977" name="Shape 22977"/>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967"/>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2979" name="Shape 22979"/>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617"/>
                                </a:cubicBezTo>
                                <a:cubicBezTo>
                                  <a:pt x="5690" y="45839"/>
                                  <a:pt x="3625" y="42664"/>
                                  <a:pt x="2175" y="39291"/>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5286" style="width:4.5pt;height:64.5pt;position:absolute;mso-position-horizontal-relative:text;mso-position-horizontal:absolute;margin-left:16.8633pt;mso-position-vertical-relative:text;margin-top:2.73438pt;" coordsize="571,8191">
                <v:shape id="Shape 22969" style="position:absolute;width:571;height:571;left:0;top:0;" coordsize="57150,57150" path="m28575,0c32364,0,36009,794,39510,2183c43011,3572,46101,5755,48781,8334c51460,10914,53525,14089,54975,17463c56425,21034,57150,24805,57150,28575c57150,32147,56425,35719,54975,39291c53525,42664,51460,46038,48781,48816c46101,51395,43011,53380,39510,54769c36009,56158,32364,56952,28575,57150c24786,56952,21141,56158,17640,54769c14139,53380,11049,51395,8369,48816c5690,46038,3625,42664,2175,39291c725,35719,0,32147,0,28575c0,24805,725,21034,2175,17463c3625,14089,5690,10914,8369,8334c11049,5755,14139,3572,17640,2183c21141,794,24786,0,28575,0x">
                  <v:stroke weight="0pt" endcap="flat" joinstyle="miter" miterlimit="10" on="false" color="#000000" opacity="0"/>
                  <v:fill on="true" color="#333333"/>
                </v:shape>
                <v:shape id="Shape 22971" style="position:absolute;width:571;height:571;left:0;top:1524;" coordsize="57150,57150" path="m28575,0c32364,0,36009,595,39510,1984c43011,3373,46101,5556,48781,8334c51460,10914,53525,14089,54975,17463c56425,21034,57150,24805,57150,28575c57150,32345,56425,35917,54975,39489c53525,42863,51460,45839,48781,48617c46101,51197,43011,53380,39510,54769c36009,56356,32364,56952,28575,57150c24786,56952,21141,56356,17640,54967c14139,53380,11049,51197,8369,48617c5690,45839,3625,42664,2175,39291c725,35917,0,32345,0,28575c0,24805,725,21034,2175,17463c3625,14089,5690,10914,8369,8334c11049,5556,14139,3373,17640,1984c21141,595,24786,0,28575,0x">
                  <v:stroke weight="0pt" endcap="flat" joinstyle="miter" miterlimit="10" on="false" color="#000000" opacity="0"/>
                  <v:fill on="true" color="#333333"/>
                </v:shape>
                <v:shape id="Shape 22973" style="position:absolute;width:571;height:571;left:0;top:3048;" coordsize="57150,57150" path="m28575,0c32364,0,36009,794,39510,2183c43011,3572,46101,5755,48781,8334c51460,10914,53525,14089,54975,17463c56425,21034,57150,24805,57150,28575c57150,32147,56425,35719,54975,39291c53525,42664,51460,45839,48781,48617c46101,51197,43011,53380,39510,54769c36009,56158,32364,56952,28575,57150c24786,56952,21141,56158,17640,54769c14139,53380,11049,51197,8369,48617c5690,45839,3625,42664,2175,39291c725,35719,0,32147,0,28575c0,24805,725,21034,2175,17463c3625,14089,5690,10914,8369,8334c11049,5755,14139,3572,17640,2183c21141,794,24786,0,28575,0x">
                  <v:stroke weight="0pt" endcap="flat" joinstyle="miter" miterlimit="10" on="false" color="#000000" opacity="0"/>
                  <v:fill on="true" color="#333333"/>
                </v:shape>
                <v:shape id="Shape 22975" style="position:absolute;width:571;height:571;left:0;top:4572;" coordsize="57150,57150" path="m28575,0c32364,0,36009,595,39510,1984c43011,3373,46101,5556,48781,8334c51460,10914,53525,14089,54975,17463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4089,5690,10914,8369,8334c11049,5556,14139,3373,17640,1984c21141,595,24786,0,28575,0x">
                  <v:stroke weight="0pt" endcap="flat" joinstyle="miter" miterlimit="10" on="false" color="#000000" opacity="0"/>
                  <v:fill on="true" color="#333333"/>
                </v:shape>
                <v:shape id="Shape 22977" style="position:absolute;width:571;height:571;left:0;top:6096;" coordsize="57150,57150" path="m28575,0c32364,0,36009,794,39510,2183c43011,3572,46101,5755,48781,8334c51460,10914,53525,14089,54975,17463c56425,20836,57150,24606,57150,28575c57150,32147,56425,35719,54975,39291c53525,42664,51460,45839,48781,48617c46101,51197,43011,53380,39510,54967c36009,56356,32364,56952,28575,57150c24786,56952,21141,56356,17640,54967c14139,53380,11049,51197,8369,48617c5690,45839,3625,42664,2175,39291c725,35719,0,32147,0,28575c0,24606,725,20836,2175,17463c3625,14089,5690,10914,8369,8334c11049,5755,14139,3572,17640,2183c21141,794,24786,0,28575,0x">
                  <v:stroke weight="0pt" endcap="flat" joinstyle="miter" miterlimit="10" on="false" color="#000000" opacity="0"/>
                  <v:fill on="true" color="#333333"/>
                </v:shape>
                <v:shape id="Shape 22979" style="position:absolute;width:571;height:571;left:0;top:7620;" coordsize="57150,57150" path="m28575,0c32364,0,36009,595,39510,1984c43011,3373,46101,5556,48781,8334c51460,10914,53525,14089,54975,17463c56425,20836,57150,24606,57150,28575c57150,32345,56425,35917,54975,39489c53525,42863,51460,45839,48781,48617c46101,51395,43011,53380,39510,54967c36009,56356,32364,56952,28575,57150c24786,56952,21141,56356,17640,54967c14139,53380,11049,51395,8369,48617c5690,45839,3625,42664,2175,39291c725,35917,0,32345,0,28575c0,24606,725,20836,2175,17463c3625,14089,5690,10914,8369,8334c11049,5556,14139,3373,17640,1984c21141,595,24786,0,28575,0x">
                  <v:stroke weight="0pt" endcap="flat" joinstyle="miter" miterlimit="10" on="false" color="#000000" opacity="0"/>
                  <v:fill on="true" color="#333333"/>
                </v:shape>
                <w10:wrap type="square"/>
              </v:group>
            </w:pict>
          </mc:Fallback>
        </mc:AlternateContent>
      </w:r>
      <w:r>
        <w:t>Инсомнии.</w:t>
      </w:r>
    </w:p>
    <w:p w:rsidR="008E3F15" w:rsidRDefault="005F449A">
      <w:pPr>
        <w:spacing w:after="31"/>
        <w:ind w:left="347" w:right="15"/>
      </w:pPr>
      <w:r>
        <w:t>Нарушения дыхания, связанные со сном.</w:t>
      </w:r>
    </w:p>
    <w:p w:rsidR="008E3F15" w:rsidRDefault="005F449A">
      <w:pPr>
        <w:spacing w:after="31"/>
        <w:ind w:left="347" w:right="15"/>
      </w:pPr>
      <w:r>
        <w:t>Гиперсомнии центральной природы.</w:t>
      </w:r>
    </w:p>
    <w:p w:rsidR="008E3F15" w:rsidRDefault="005F449A">
      <w:pPr>
        <w:spacing w:after="31"/>
        <w:ind w:left="347" w:right="15"/>
      </w:pPr>
      <w:r>
        <w:t>Нарушения циркадианного ритма сна.</w:t>
      </w:r>
    </w:p>
    <w:p w:rsidR="008E3F15" w:rsidRDefault="005F449A">
      <w:pPr>
        <w:spacing w:after="31"/>
        <w:ind w:left="347" w:right="15"/>
      </w:pPr>
      <w:r>
        <w:t>Парасомнии.</w:t>
      </w:r>
    </w:p>
    <w:p w:rsidR="008E3F15" w:rsidRDefault="005F449A">
      <w:pPr>
        <w:spacing w:after="165"/>
        <w:ind w:left="347" w:right="15"/>
      </w:pPr>
      <w:r>
        <w:t>Двигательные нарушения, связанные со сном.</w:t>
      </w:r>
    </w:p>
    <w:p w:rsidR="008E3F15" w:rsidRDefault="005F449A">
      <w:pPr>
        <w:ind w:left="2" w:right="15"/>
      </w:pPr>
      <w:r>
        <w:t xml:space="preserve">В </w:t>
      </w:r>
      <w:r>
        <w:rPr>
          <w:b/>
        </w:rPr>
        <w:t>табл. 19.1</w:t>
      </w:r>
      <w:r>
        <w:t xml:space="preserve"> представлена МКБ-10, кодирующая нарушения сна. Из рубрики G47 исключаются парасомн</w:t>
      </w:r>
      <w:r>
        <w:t>ии: ночные кошмары (F51.5), неорганические нарушения сна (F51), ночные страхи (F51.4), хождение во сне (F51.3).</w:t>
      </w:r>
    </w:p>
    <w:p w:rsidR="008E3F15" w:rsidRDefault="005F449A">
      <w:pPr>
        <w:spacing w:after="31"/>
        <w:ind w:left="2" w:right="15"/>
      </w:pPr>
      <w:r>
        <w:rPr>
          <w:b/>
        </w:rPr>
        <w:t xml:space="preserve">Таблица 19.1. </w:t>
      </w:r>
      <w:r>
        <w:t>Нарушения сна в Международной классификации болезней 10-го пересмотра</w:t>
      </w:r>
    </w:p>
    <w:tbl>
      <w:tblPr>
        <w:tblStyle w:val="TableGrid"/>
        <w:tblW w:w="7650" w:type="dxa"/>
        <w:tblInd w:w="37" w:type="dxa"/>
        <w:tblCellMar>
          <w:top w:w="80" w:type="dxa"/>
          <w:left w:w="43" w:type="dxa"/>
          <w:bottom w:w="0" w:type="dxa"/>
          <w:right w:w="46" w:type="dxa"/>
        </w:tblCellMar>
        <w:tblLook w:val="04A0" w:firstRow="1" w:lastRow="0" w:firstColumn="1" w:lastColumn="0" w:noHBand="0" w:noVBand="1"/>
      </w:tblPr>
      <w:tblGrid>
        <w:gridCol w:w="6135"/>
        <w:gridCol w:w="1515"/>
      </w:tblGrid>
      <w:tr w:rsidR="008E3F15">
        <w:trPr>
          <w:trHeight w:val="330"/>
        </w:trPr>
        <w:tc>
          <w:tcPr>
            <w:tcW w:w="613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2" w:right="0" w:firstLine="0"/>
            </w:pPr>
            <w:r>
              <w:rPr>
                <w:b/>
              </w:rPr>
              <w:t>Заболевание</w:t>
            </w:r>
          </w:p>
        </w:tc>
        <w:tc>
          <w:tcPr>
            <w:tcW w:w="15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
                <w:bdr w:val="single" w:sz="12" w:space="0" w:color="000000"/>
              </w:rPr>
              <w:t>Код МКБ-10</w:t>
            </w:r>
          </w:p>
        </w:tc>
      </w:tr>
      <w:tr w:rsidR="008E3F15">
        <w:trPr>
          <w:trHeight w:val="330"/>
        </w:trPr>
        <w:tc>
          <w:tcPr>
            <w:tcW w:w="613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Нарушения сна</w:t>
            </w:r>
          </w:p>
        </w:tc>
        <w:tc>
          <w:tcPr>
            <w:tcW w:w="15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w:t>
            </w:r>
          </w:p>
        </w:tc>
      </w:tr>
      <w:tr w:rsidR="008E3F15">
        <w:trPr>
          <w:trHeight w:val="330"/>
        </w:trPr>
        <w:tc>
          <w:tcPr>
            <w:tcW w:w="6135" w:type="dxa"/>
            <w:tcBorders>
              <w:top w:val="single" w:sz="6" w:space="0" w:color="000000"/>
              <w:left w:val="single" w:sz="6" w:space="0" w:color="000000"/>
              <w:bottom w:val="single" w:sz="6" w:space="0" w:color="000000"/>
              <w:right w:val="nil"/>
            </w:tcBorders>
          </w:tcPr>
          <w:p w:rsidR="008E3F15" w:rsidRDefault="005F449A">
            <w:pPr>
              <w:spacing w:after="0" w:line="259" w:lineRule="auto"/>
              <w:ind w:left="2" w:right="0" w:firstLine="0"/>
              <w:jc w:val="both"/>
            </w:pPr>
            <w:r>
              <w:rPr>
                <w:bdr w:val="single" w:sz="12" w:space="0" w:color="000000"/>
              </w:rPr>
              <w:t>Нарушения засыпания и поддержания сна (инсомнии)</w:t>
            </w:r>
          </w:p>
        </w:tc>
        <w:tc>
          <w:tcPr>
            <w:tcW w:w="151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G47.0</w:t>
            </w:r>
          </w:p>
        </w:tc>
      </w:tr>
      <w:tr w:rsidR="008E3F15">
        <w:trPr>
          <w:trHeight w:val="330"/>
        </w:trPr>
        <w:tc>
          <w:tcPr>
            <w:tcW w:w="613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Повышенная сонливость (гиперсомнии)</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G47.1</w:t>
            </w:r>
          </w:p>
        </w:tc>
      </w:tr>
      <w:tr w:rsidR="008E3F15">
        <w:trPr>
          <w:trHeight w:val="330"/>
        </w:trPr>
        <w:tc>
          <w:tcPr>
            <w:tcW w:w="6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Нарушения режима сон–бодрствование</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G47.2</w:t>
            </w:r>
          </w:p>
        </w:tc>
      </w:tr>
      <w:tr w:rsidR="008E3F15">
        <w:trPr>
          <w:trHeight w:val="330"/>
        </w:trPr>
        <w:tc>
          <w:tcPr>
            <w:tcW w:w="6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Апноэ сна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G47.3</w:t>
            </w:r>
          </w:p>
        </w:tc>
      </w:tr>
      <w:tr w:rsidR="008E3F15">
        <w:trPr>
          <w:trHeight w:val="330"/>
        </w:trPr>
        <w:tc>
          <w:tcPr>
            <w:tcW w:w="6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Нарколепсия, катаплексия</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G47.4</w:t>
            </w:r>
          </w:p>
        </w:tc>
      </w:tr>
      <w:tr w:rsidR="008E3F15">
        <w:trPr>
          <w:trHeight w:val="330"/>
        </w:trPr>
        <w:tc>
          <w:tcPr>
            <w:tcW w:w="6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Другие нарушения сна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G47.8</w:t>
            </w:r>
          </w:p>
        </w:tc>
      </w:tr>
      <w:tr w:rsidR="008E3F15">
        <w:trPr>
          <w:trHeight w:val="330"/>
        </w:trPr>
        <w:tc>
          <w:tcPr>
            <w:tcW w:w="61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Неуточненные нарушения сна</w:t>
            </w:r>
          </w:p>
        </w:tc>
        <w:tc>
          <w:tcPr>
            <w:tcW w:w="15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G47.9</w:t>
            </w:r>
          </w:p>
        </w:tc>
      </w:tr>
    </w:tbl>
    <w:p w:rsidR="008E3F15" w:rsidRDefault="005F449A">
      <w:pPr>
        <w:pStyle w:val="Heading1"/>
        <w:ind w:left="2"/>
      </w:pPr>
      <w:r>
        <w:t>Часть II. Коморбидные болезни</w:t>
      </w:r>
    </w:p>
    <w:p w:rsidR="008E3F15" w:rsidRDefault="005F449A">
      <w:pPr>
        <w:spacing w:after="31"/>
        <w:ind w:left="2" w:right="15"/>
      </w:pPr>
      <w:r>
        <w:t>Инсомния</w:t>
      </w:r>
    </w:p>
    <w:p w:rsidR="008E3F15" w:rsidRDefault="005F449A">
      <w:pPr>
        <w:pStyle w:val="Heading2"/>
        <w:ind w:left="2"/>
      </w:pPr>
      <w:r>
        <w:t>Диагностика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5744"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32746" name="Group 332746"/>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3029" name="Shape 23029"/>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31" name="Shape 2303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33" name="Shape 23033"/>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2746" style="width:4.5pt;height:28.5pt;position:absolute;mso-position-horizontal-relative:text;mso-position-horizontal:absolute;margin-left:16.8633pt;mso-position-vertical-relative:text;margin-top:2.73438pt;" coordsize="571,3619">
                <v:shape id="Shape 23029" style="position:absolute;width:571;height:571;left:0;top:0;"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4" on="false" color="#000000" opacity="0"/>
                  <v:fill on="true" color="#333333"/>
                </v:shape>
                <v:shape id="Shape 23031" style="position:absolute;width:571;height:571;left:0;top:1524;"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358,14139,3373,17640,1984c21141,595,24786,0,28575,0x">
                  <v:stroke weight="0pt" endcap="flat" joinstyle="miter" miterlimit="4" on="false" color="#000000" opacity="0"/>
                  <v:fill on="true" color="#333333"/>
                </v:shape>
                <v:shape id="Shape 23033" style="position:absolute;width:571;height:571;left:0;top:3048;"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4" on="false" color="#000000" opacity="0"/>
                  <v:fill on="true" color="#333333"/>
                </v:shape>
                <w10:wrap type="square"/>
              </v:group>
            </w:pict>
          </mc:Fallback>
        </mc:AlternateContent>
      </w:r>
      <w:r>
        <w:t>Анамнез.</w:t>
      </w:r>
    </w:p>
    <w:p w:rsidR="008E3F15" w:rsidRDefault="005F449A">
      <w:pPr>
        <w:spacing w:after="31"/>
        <w:ind w:left="347" w:right="15"/>
      </w:pPr>
      <w:r>
        <w:t>Дневник сна.</w:t>
      </w:r>
    </w:p>
    <w:p w:rsidR="008E3F15" w:rsidRDefault="005F449A">
      <w:pPr>
        <w:spacing w:after="165"/>
        <w:ind w:left="347" w:right="15"/>
      </w:pPr>
      <w:r>
        <w:t>Шкалы: тяжести инсомнии ISI, дневной сонливости Epworth.</w:t>
      </w:r>
    </w:p>
    <w:p w:rsidR="008E3F15" w:rsidRDefault="005F449A">
      <w:pPr>
        <w:pStyle w:val="Heading2"/>
        <w:ind w:left="2"/>
      </w:pPr>
      <w:r>
        <w:t>Лечение</w:t>
      </w:r>
    </w:p>
    <w:p w:rsidR="008E3F15" w:rsidRDefault="005F449A">
      <w:pPr>
        <w:spacing w:after="179"/>
        <w:ind w:left="347" w:right="4671"/>
      </w:pPr>
      <w:r>
        <w:rPr>
          <w:rFonts w:ascii="Calibri" w:eastAsia="Calibri" w:hAnsi="Calibri" w:cs="Calibri"/>
          <w:noProof/>
          <w:color w:val="000000"/>
          <w:sz w:val="22"/>
        </w:rPr>
        <mc:AlternateContent>
          <mc:Choice Requires="wpg">
            <w:drawing>
              <wp:anchor distT="0" distB="0" distL="114300" distR="114300" simplePos="0" relativeHeight="251936768" behindDoc="0" locked="0" layoutInCell="1" allowOverlap="1">
                <wp:simplePos x="0" y="0"/>
                <wp:positionH relativeFrom="column">
                  <wp:posOffset>214164</wp:posOffset>
                </wp:positionH>
                <wp:positionV relativeFrom="paragraph">
                  <wp:posOffset>34727</wp:posOffset>
                </wp:positionV>
                <wp:extent cx="57150" cy="209550"/>
                <wp:effectExtent l="0" t="0" r="0" b="0"/>
                <wp:wrapSquare wrapText="bothSides"/>
                <wp:docPr id="332748" name="Group 332748"/>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3036" name="Shape 2303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38" name="Shape 23038"/>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2748" style="width:4.5pt;height:16.5pt;position:absolute;mso-position-horizontal-relative:text;mso-position-horizontal:absolute;margin-left:16.8633pt;mso-position-vertical-relative:text;margin-top:2.73438pt;" coordsize="571,2095">
                <v:shape id="Shape 23036" style="position:absolute;width:571;height:571;left:0;top:0;" coordsize="57150,57150" path="m28575,0c32364,0,36009,794,39510,2183c43011,3373,46101,5358,48781,8136c51460,10716,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716,8369,8136c11049,5358,14139,3373,17640,2183c21141,794,24786,0,28575,0x">
                  <v:stroke weight="0pt" endcap="flat" joinstyle="miter" miterlimit="4" on="false" color="#000000" opacity="0"/>
                  <v:fill on="true" color="#333333"/>
                </v:shape>
                <v:shape id="Shape 23038" style="position:absolute;width:571;height:571;left:0;top:1524;" coordsize="57150,57150" path="m28575,0c32364,0,36009,794,39510,2183c43011,3373,46101,5556,48781,8334c51460,10914,53525,14089,54975,17661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661c3625,14089,5690,10914,8369,8334c11049,5556,14139,3373,17640,2183c21141,794,24786,0,28575,0x">
                  <v:stroke weight="0pt" endcap="flat" joinstyle="miter" miterlimit="4" on="false" color="#000000" opacity="0"/>
                  <v:fill on="true" color="#333333"/>
                </v:shape>
                <w10:wrap type="square"/>
              </v:group>
            </w:pict>
          </mc:Fallback>
        </mc:AlternateContent>
      </w:r>
      <w:r>
        <w:t>Когнитивно-поведенческая терапия. Гипнотики.</w:t>
      </w:r>
    </w:p>
    <w:p w:rsidR="008E3F15" w:rsidRDefault="005F449A">
      <w:pPr>
        <w:ind w:left="2" w:right="126"/>
      </w:pPr>
      <w:r>
        <w:t>Инсомния — состояние, характеризующееся персистирующими трудностями засыпания, поддержания сна или пробуждениями раньше желаемого времени, нарушениями продолжительности, глубины или качества сна, несмотря на наличие достаточного времени и адекватных услови</w:t>
      </w:r>
      <w:r>
        <w:t>й для сна, и возникающими вследствие этого изменениями функционирования в дневное время (ICSD-3). К последним относят снижение трудоспособности, психические дисфункции, снижение качества жизни и другие.</w:t>
      </w:r>
    </w:p>
    <w:p w:rsidR="008E3F15" w:rsidRDefault="005F449A">
      <w:pPr>
        <w:ind w:left="2" w:right="15"/>
      </w:pPr>
      <w:r>
        <w:t>Взрослые должны спать 7–9 ч регулярно, что обеспечива</w:t>
      </w:r>
      <w:r>
        <w:t>ет оптимальное состояние здоровья (AASM/SRS).</w:t>
      </w:r>
    </w:p>
    <w:p w:rsidR="008E3F15" w:rsidRDefault="005F449A">
      <w:pPr>
        <w:ind w:left="2" w:right="15"/>
      </w:pPr>
      <w:r>
        <w:t>При использовании строгих критериев распространенность инсомний составляет 5–10% населения (Mai E. et al., 2008).</w:t>
      </w:r>
    </w:p>
    <w:p w:rsidR="008E3F15" w:rsidRDefault="005F449A">
      <w:pPr>
        <w:spacing w:after="179"/>
        <w:ind w:left="2" w:right="15"/>
      </w:pPr>
      <w:r>
        <w:rPr>
          <w:b/>
        </w:rPr>
        <w:t xml:space="preserve">Классификация. </w:t>
      </w:r>
      <w:r>
        <w:t>Инсомнии в соответствии с Международной классификацей расстройств сна 3-го пересм</w:t>
      </w:r>
      <w:r>
        <w:t>отра (ICSD-3) группируют следующим образом.</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7792"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32749" name="Group 332749"/>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3053" name="Shape 23053"/>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55" name="Shape 23055"/>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57" name="Shape 2305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59" name="Shape 23059"/>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61" name="Shape 23061"/>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063" name="Shape 23063"/>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2749" style="width:4.5pt;height:64.5pt;position:absolute;mso-position-horizontal-relative:text;mso-position-horizontal:absolute;margin-left:16.8633pt;mso-position-vertical-relative:text;margin-top:2.73438pt;" coordsize="571,8191">
                <v:shape id="Shape 23053" style="position:absolute;width:571;height:571;left:0;top:0;" coordsize="57150,57150" path="m28575,0c32364,0,36009,794,39510,2183c43011,3373,46101,5556,48781,8136c51460,10716,53525,13891,54975,17463c56425,21034,57150,24805,57150,28575c57150,32147,56425,35719,54975,39291c53525,42664,51460,45839,48781,48617c46101,51197,43011,53380,39510,54769c36009,56158,32364,56952,28575,57150c24786,56952,21141,56158,17640,54769c14139,53380,11049,51197,8369,48617c5690,45839,3625,42664,2175,39291c725,35719,0,32147,0,28575c0,24805,725,21034,2175,17463c3625,13891,5690,10716,8369,8136c11049,5556,14139,3373,17640,1984c21141,595,24786,0,28575,0x">
                  <v:stroke weight="0pt" endcap="flat" joinstyle="miter" miterlimit="4" on="false" color="#000000" opacity="0"/>
                  <v:fill on="true" color="#333333"/>
                </v:shape>
                <v:shape id="Shape 23055" style="position:absolute;width:571;height:571;left:0;top:1524;" coordsize="57150,57150" path="m28575,0c32364,0,36009,595,39510,1984c43011,3373,46101,5556,48781,8136c51460,10914,53525,14089,54975,17463c56425,21034,57150,24805,57150,28575c57150,32345,56425,35917,54975,39489c53525,42863,51460,45839,48781,48617c46101,51197,43011,53181,39510,54769c36009,56158,32364,56952,28575,57150c24786,56952,21141,56158,17640,54769c14139,53181,11049,51197,8369,48617c5690,45839,3625,42664,2175,39291c725,35917,0,32345,0,28575c0,24805,725,21034,2175,17463c3625,14089,5690,10914,8369,8136c11049,5556,14139,3373,17640,1984c21141,595,24786,0,28575,0x">
                  <v:stroke weight="0pt" endcap="flat" joinstyle="miter" miterlimit="4" on="false" color="#000000" opacity="0"/>
                  <v:fill on="true" color="#333333"/>
                </v:shape>
                <v:shape id="Shape 23057" style="position:absolute;width:571;height:571;left:0;top:3048;" coordsize="57150,57150" path="m28575,0c32364,0,36009,794,39510,2183c43011,3373,46101,5556,48781,8136c51460,10716,53525,13891,54975,17463c56425,21034,57150,24805,57150,28575c57150,32147,56425,35719,54975,39291c53525,42664,51460,45839,48781,48617c46101,51197,43011,53380,39510,54769c36009,56158,32364,56952,28575,57150c24786,56952,21141,56158,17640,54769c14139,53380,11049,51197,8369,48617c5690,45839,3625,42664,2175,39291c725,35719,0,32147,0,28575c0,24805,725,21034,2175,17463c3625,13891,5690,10716,8369,8136c11049,5556,14139,3373,17640,1984c21141,595,24786,0,28575,0x">
                  <v:stroke weight="0pt" endcap="flat" joinstyle="miter" miterlimit="4" on="false" color="#000000" opacity="0"/>
                  <v:fill on="true" color="#333333"/>
                </v:shape>
                <v:shape id="Shape 23059" style="position:absolute;width:571;height:571;left:0;top:4572;" coordsize="57150,57150" path="m28575,0c32364,0,36009,595,39510,1984c43011,3373,46101,5556,48781,8136c51460,10914,53525,14089,54975,17463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4089,5690,10914,8369,8136c11049,5556,14139,3373,17640,1984c21141,595,24786,0,28575,0x">
                  <v:stroke weight="0pt" endcap="flat" joinstyle="miter" miterlimit="4" on="false" color="#000000" opacity="0"/>
                  <v:fill on="true" color="#333333"/>
                </v:shape>
                <v:shape id="Shape 23061" style="position:absolute;width:571;height:571;left:0;top:6096;"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4" on="false" color="#000000" opacity="0"/>
                  <v:fill on="true" color="#333333"/>
                </v:shape>
                <v:shape id="Shape 23063" style="position:absolute;width:571;height:571;left:0;top:7620;" coordsize="57150,57150" path="m28575,0c32364,0,36009,595,39510,1984c43011,3373,46101,5556,48781,8136c51460,10716,53525,13891,54975,17264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4" on="false" color="#000000" opacity="0"/>
                  <v:fill on="true" color="#333333"/>
                </v:shape>
                <w10:wrap type="square"/>
              </v:group>
            </w:pict>
          </mc:Fallback>
        </mc:AlternateContent>
      </w:r>
      <w:r>
        <w:t>Хроническое инсомническое расстройство (≥3 мес).</w:t>
      </w:r>
    </w:p>
    <w:p w:rsidR="008E3F15" w:rsidRDefault="005F449A">
      <w:pPr>
        <w:spacing w:after="31"/>
        <w:ind w:left="347" w:right="15"/>
      </w:pPr>
      <w:r>
        <w:t>Острое инсомническое расстройство (&lt;3 мес).</w:t>
      </w:r>
    </w:p>
    <w:p w:rsidR="008E3F15" w:rsidRDefault="005F449A">
      <w:pPr>
        <w:spacing w:after="31"/>
        <w:ind w:left="347" w:right="15"/>
      </w:pPr>
      <w:r>
        <w:t>Другие инсомнические расстройства.</w:t>
      </w:r>
    </w:p>
    <w:p w:rsidR="008E3F15" w:rsidRDefault="005F449A">
      <w:pPr>
        <w:spacing w:after="31"/>
        <w:ind w:left="347" w:right="15"/>
      </w:pPr>
      <w:r>
        <w:t>Изолированные симптомы и варианты нормы.</w:t>
      </w:r>
    </w:p>
    <w:p w:rsidR="008E3F15" w:rsidRDefault="005F449A">
      <w:pPr>
        <w:spacing w:after="179"/>
        <w:ind w:left="347" w:right="4888"/>
      </w:pPr>
      <w:r>
        <w:t xml:space="preserve">Избыточное пребывание в постели. Короткий </w:t>
      </w:r>
      <w:r>
        <w:t>сон.</w:t>
      </w:r>
    </w:p>
    <w:p w:rsidR="008E3F15" w:rsidRDefault="005F449A">
      <w:pPr>
        <w:ind w:left="2" w:right="601"/>
      </w:pPr>
      <w:r>
        <w:t>В связи со сложностью различения первичных и вторичных инсомний, их сочетанием и возможностью сохранения инсомнии при успешном лечении первичного заболевания в последних классификациях такая группировка инсомний не поддерживается. Примеры оформления д</w:t>
      </w:r>
      <w:r>
        <w:t xml:space="preserve">иагноза при инсомнии показаны в </w:t>
      </w:r>
      <w:r>
        <w:rPr>
          <w:b/>
        </w:rPr>
        <w:t>табл. 19.2</w:t>
      </w:r>
      <w:r>
        <w:t>.</w:t>
      </w:r>
    </w:p>
    <w:p w:rsidR="008E3F15" w:rsidRDefault="005F449A">
      <w:pPr>
        <w:spacing w:after="31"/>
        <w:ind w:left="2" w:right="15"/>
      </w:pPr>
      <w:r>
        <w:rPr>
          <w:b/>
        </w:rPr>
        <w:t xml:space="preserve">Таблица 19.2. </w:t>
      </w:r>
      <w:r>
        <w:t>Примеры оформления диагноза</w:t>
      </w:r>
    </w:p>
    <w:tbl>
      <w:tblPr>
        <w:tblStyle w:val="TableGrid"/>
        <w:tblW w:w="10485" w:type="dxa"/>
        <w:tblInd w:w="37" w:type="dxa"/>
        <w:tblCellMar>
          <w:top w:w="80" w:type="dxa"/>
          <w:left w:w="43" w:type="dxa"/>
          <w:bottom w:w="0" w:type="dxa"/>
          <w:right w:w="115" w:type="dxa"/>
        </w:tblCellMar>
        <w:tblLook w:val="04A0" w:firstRow="1" w:lastRow="0" w:firstColumn="1" w:lastColumn="0" w:noHBand="0" w:noVBand="1"/>
      </w:tblPr>
      <w:tblGrid>
        <w:gridCol w:w="9060"/>
        <w:gridCol w:w="1425"/>
      </w:tblGrid>
      <w:tr w:rsidR="008E3F15">
        <w:trPr>
          <w:trHeight w:val="570"/>
        </w:trPr>
        <w:tc>
          <w:tcPr>
            <w:tcW w:w="906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2" w:right="0" w:firstLine="0"/>
            </w:pPr>
            <w:r>
              <w:rPr>
                <w:b/>
              </w:rPr>
              <w:t>Диагноз</w:t>
            </w:r>
          </w:p>
        </w:tc>
        <w:tc>
          <w:tcPr>
            <w:tcW w:w="1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Эпизодическая головная боль напряжения, инсомния</w:t>
            </w:r>
          </w:p>
        </w:tc>
        <w:tc>
          <w:tcPr>
            <w:tcW w:w="1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G44.2</w:t>
            </w:r>
          </w:p>
        </w:tc>
      </w:tr>
      <w:tr w:rsidR="008E3F15">
        <w:trPr>
          <w:trHeight w:val="570"/>
        </w:trPr>
        <w:tc>
          <w:tcPr>
            <w:tcW w:w="9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Рекуррентное депрессивное расстройство, легкая депрессия, инсомния, дневная гиперсомния</w:t>
            </w:r>
          </w:p>
        </w:tc>
        <w:tc>
          <w:tcPr>
            <w:tcW w:w="142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F33.0</w:t>
            </w:r>
          </w:p>
        </w:tc>
      </w:tr>
      <w:tr w:rsidR="008E3F15">
        <w:trPr>
          <w:trHeight w:val="330"/>
        </w:trPr>
        <w:tc>
          <w:tcPr>
            <w:tcW w:w="906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Хроническая инсомния</w:t>
            </w:r>
          </w:p>
        </w:tc>
        <w:tc>
          <w:tcPr>
            <w:tcW w:w="142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G47.0</w:t>
            </w:r>
          </w:p>
        </w:tc>
      </w:tr>
    </w:tbl>
    <w:p w:rsidR="008E3F15" w:rsidRDefault="005F449A">
      <w:pPr>
        <w:ind w:left="2" w:right="15"/>
      </w:pPr>
      <w:r>
        <w:rPr>
          <w:b/>
        </w:rPr>
        <w:t xml:space="preserve">Диагностика. </w:t>
      </w:r>
      <w:r>
        <w:t>Для диагностики инсомнии важнейшее значение имеет детальная характеристика сна, основанная на оценке жалоб пациента или окружающих.</w:t>
      </w:r>
    </w:p>
    <w:p w:rsidR="008E3F15" w:rsidRDefault="005F449A">
      <w:pPr>
        <w:ind w:left="2" w:right="208"/>
      </w:pPr>
      <w:r>
        <w:t>С целью получения информации о сне собирают детальный анамнез: время отхождения ко сну, время ожидания сна, число и продолжительность пробуждений, время пробуждения после сна, общая продолжительность сна, время пребывания в постели, дремота (частота, длите</w:t>
      </w:r>
      <w:r>
        <w:t>льность).</w:t>
      </w:r>
    </w:p>
    <w:p w:rsidR="008E3F15" w:rsidRDefault="005F449A">
      <w:pPr>
        <w:ind w:left="2" w:right="97"/>
      </w:pPr>
      <w:r>
        <w:t>Рекомендуется пациенту вести дневник, обычно в течение 1–2 нед, в зависимости от стабильности режима сна. Дневники сна применяют как для первичной оценки паттернов сна–бодрствования и связанных с ними привычек пациента, так и в ходе дальнейшего н</w:t>
      </w:r>
      <w:r>
        <w:t>аблюдения и оценки эффективности лечения. В зависимости от поставленной цели в дневник сна можно включать время укладывания в постель, время выключения/включения света, продолжительность засыпания, число и продолжительность пробуждений, время окончательног</w:t>
      </w:r>
      <w:r>
        <w:t>о пробуждения, число и продолжительность дневных укладываний, время в постели, общее время сна, время бодрствования в период сна, эффективность сна (общее время сна/время после выключения света × 100).</w:t>
      </w:r>
    </w:p>
    <w:p w:rsidR="008E3F15" w:rsidRDefault="005F449A">
      <w:pPr>
        <w:ind w:left="2" w:right="15"/>
      </w:pPr>
      <w:r>
        <w:t>Объективные методы оценки сна (актиграфия и полисомног</w:t>
      </w:r>
      <w:r>
        <w:t>рафия) рассматриваются лишь как дополнительные методы для диагностики инсомнии.</w:t>
      </w:r>
    </w:p>
    <w:p w:rsidR="008E3F15" w:rsidRDefault="005F449A">
      <w:pPr>
        <w:ind w:left="2" w:right="15"/>
      </w:pPr>
      <w:r>
        <w:t>Актиграф представляет собой носимый на руке датчик, регистрирующий двигательную активность и уровень освещения. Используемый в нем алгоритм обработки информации позволяет с точ</w:t>
      </w:r>
      <w:r>
        <w:t>ностью до 90% (у здоровых людей) определять общее время сна. Актиграфию можно использовать для уточнения характера нарушений сна при инсомнии и особенно для оценки эффекта лечения.</w:t>
      </w:r>
    </w:p>
    <w:p w:rsidR="008E3F15" w:rsidRDefault="005F449A">
      <w:pPr>
        <w:ind w:left="2" w:right="77"/>
      </w:pPr>
      <w:r>
        <w:t>Для выявления изменений сна применяют специфические опросники (ISI, AIS, PS</w:t>
      </w:r>
      <w:r>
        <w:t>QI), чувствительность и специфичность которых составляет 88–94% и 76–87% (Chiu H. et al., 2016). Полисомнография не показана для подтверждения диагноза хронической инсомнии, но может использоваться для исключения наличия других нарушений сна, которые могут</w:t>
      </w:r>
      <w:r>
        <w:t xml:space="preserve"> вызывать симптомы инсомнии (ОАС, синдром периодических движений конечностей, лобная эпилепсия). Объективное определение продолжительности и особенностей ночного сна может оказаться полезным для повышения эффективности когнитивно-поведенческой терапии инсо</w:t>
      </w:r>
      <w:r>
        <w:t>мнии при дисфункциональных убежденях у пациентов с таким клиническим ее подтипом, как псевдоинсомния (парадоксальная инсомния).</w:t>
      </w:r>
    </w:p>
    <w:p w:rsidR="008E3F15" w:rsidRDefault="005F449A">
      <w:pPr>
        <w:ind w:left="2" w:right="15"/>
      </w:pPr>
      <w:r>
        <w:t>Важно исключить другие болезни, вызывающие или усиливающие инсомнию, в первую очередь психические (тревожные, депрессивные) расс</w:t>
      </w:r>
      <w:r>
        <w:t>тройства, а также гипертиреоз, синдром беспокойных ног и т.д.</w:t>
      </w:r>
    </w:p>
    <w:p w:rsidR="008E3F15" w:rsidRDefault="005F449A">
      <w:pPr>
        <w:ind w:left="2" w:right="658"/>
      </w:pPr>
      <w:r>
        <w:rPr>
          <w:i/>
        </w:rPr>
        <w:t xml:space="preserve">Диагностические критерии инсомнии. </w:t>
      </w:r>
      <w:r>
        <w:t>Для постановки диагноза хронической инсомнии используются международные критерии (ICSD-3), включающие жалобы пациента или окружающих.</w:t>
      </w:r>
    </w:p>
    <w:p w:rsidR="008E3F15" w:rsidRDefault="005F449A">
      <w:pPr>
        <w:spacing w:after="165"/>
        <w:ind w:left="2" w:right="15"/>
      </w:pPr>
      <w:r>
        <w:t>A. Имеется хотя бы один из следующих признаков.</w:t>
      </w:r>
    </w:p>
    <w:p w:rsidR="008E3F15" w:rsidRDefault="005F449A">
      <w:pPr>
        <w:numPr>
          <w:ilvl w:val="0"/>
          <w:numId w:val="9"/>
        </w:numPr>
        <w:spacing w:after="31"/>
        <w:ind w:right="15" w:hanging="247"/>
      </w:pPr>
      <w:r>
        <w:t>Трудность засыпания.</w:t>
      </w:r>
    </w:p>
    <w:p w:rsidR="008E3F15" w:rsidRDefault="005F449A">
      <w:pPr>
        <w:numPr>
          <w:ilvl w:val="0"/>
          <w:numId w:val="9"/>
        </w:numPr>
        <w:spacing w:after="31"/>
        <w:ind w:right="15" w:hanging="247"/>
      </w:pPr>
      <w:r>
        <w:t>Трудность поддержания сна.</w:t>
      </w:r>
    </w:p>
    <w:p w:rsidR="008E3F15" w:rsidRDefault="005F449A">
      <w:pPr>
        <w:numPr>
          <w:ilvl w:val="0"/>
          <w:numId w:val="9"/>
        </w:numPr>
        <w:spacing w:after="31"/>
        <w:ind w:right="15" w:hanging="247"/>
      </w:pPr>
      <w:r>
        <w:t>Пробуждение ранее желательного времени.</w:t>
      </w:r>
    </w:p>
    <w:p w:rsidR="008E3F15" w:rsidRDefault="005F449A">
      <w:pPr>
        <w:numPr>
          <w:ilvl w:val="0"/>
          <w:numId w:val="9"/>
        </w:numPr>
        <w:spacing w:after="31"/>
        <w:ind w:right="15" w:hanging="247"/>
      </w:pPr>
      <w:r>
        <w:t>Сопротивление укладыванию в постель в установленное время.</w:t>
      </w:r>
    </w:p>
    <w:p w:rsidR="008E3F15" w:rsidRDefault="005F449A">
      <w:pPr>
        <w:numPr>
          <w:ilvl w:val="0"/>
          <w:numId w:val="9"/>
        </w:numPr>
        <w:spacing w:after="165"/>
        <w:ind w:right="15" w:hanging="247"/>
      </w:pPr>
      <w:r>
        <w:t>Затруднение сна без помощи окружающих.</w:t>
      </w:r>
    </w:p>
    <w:p w:rsidR="008E3F15" w:rsidRDefault="005F449A">
      <w:pPr>
        <w:spacing w:after="179"/>
        <w:ind w:left="2" w:right="15"/>
      </w:pPr>
      <w:r>
        <w:t>B. Со слов пациента ил</w:t>
      </w:r>
      <w:r>
        <w:t>и его окружающих, имеет место хотя бы один из следующих признаков дневных нарушений, связанных с нарушением ночного сна.</w:t>
      </w:r>
    </w:p>
    <w:p w:rsidR="008E3F15" w:rsidRDefault="005F449A">
      <w:pPr>
        <w:numPr>
          <w:ilvl w:val="0"/>
          <w:numId w:val="10"/>
        </w:numPr>
        <w:spacing w:after="31"/>
        <w:ind w:right="15" w:hanging="247"/>
      </w:pPr>
      <w:r>
        <w:t>Усталость или недомогание.</w:t>
      </w:r>
    </w:p>
    <w:p w:rsidR="008E3F15" w:rsidRDefault="005F449A">
      <w:pPr>
        <w:numPr>
          <w:ilvl w:val="0"/>
          <w:numId w:val="10"/>
        </w:numPr>
        <w:spacing w:after="31"/>
        <w:ind w:right="15" w:hanging="247"/>
      </w:pPr>
      <w:r>
        <w:t>Нарушение внимания, сосредоточения или памяти.</w:t>
      </w:r>
    </w:p>
    <w:p w:rsidR="008E3F15" w:rsidRDefault="005F449A">
      <w:pPr>
        <w:numPr>
          <w:ilvl w:val="0"/>
          <w:numId w:val="10"/>
        </w:numPr>
        <w:spacing w:after="31"/>
        <w:ind w:right="15" w:hanging="247"/>
      </w:pPr>
      <w:r>
        <w:t>Социальные, семейные, профессиональные или учебные проблемы.</w:t>
      </w:r>
    </w:p>
    <w:p w:rsidR="008E3F15" w:rsidRDefault="005F449A">
      <w:pPr>
        <w:numPr>
          <w:ilvl w:val="0"/>
          <w:numId w:val="10"/>
        </w:numPr>
        <w:spacing w:after="31"/>
        <w:ind w:right="15" w:hanging="247"/>
      </w:pPr>
      <w:r>
        <w:t>Нарушение настроения или раздражительность.</w:t>
      </w:r>
    </w:p>
    <w:p w:rsidR="008E3F15" w:rsidRDefault="005F449A">
      <w:pPr>
        <w:numPr>
          <w:ilvl w:val="0"/>
          <w:numId w:val="10"/>
        </w:numPr>
        <w:spacing w:after="31"/>
        <w:ind w:right="15" w:hanging="247"/>
      </w:pPr>
      <w:r>
        <w:t>Дневная сонливость.</w:t>
      </w:r>
    </w:p>
    <w:p w:rsidR="008E3F15" w:rsidRDefault="005F449A">
      <w:pPr>
        <w:numPr>
          <w:ilvl w:val="0"/>
          <w:numId w:val="10"/>
        </w:numPr>
        <w:spacing w:after="31"/>
        <w:ind w:right="15" w:hanging="247"/>
      </w:pPr>
      <w:r>
        <w:t>Проблемы поведения (например, гиперактивность, импульсивность, агрессия).</w:t>
      </w:r>
    </w:p>
    <w:p w:rsidR="008E3F15" w:rsidRDefault="005F449A">
      <w:pPr>
        <w:numPr>
          <w:ilvl w:val="0"/>
          <w:numId w:val="10"/>
        </w:numPr>
        <w:spacing w:after="31"/>
        <w:ind w:right="15" w:hanging="247"/>
      </w:pPr>
      <w:r>
        <w:t>Снижение мотивации, энергичности или инициативы.</w:t>
      </w:r>
    </w:p>
    <w:p w:rsidR="008E3F15" w:rsidRDefault="005F449A">
      <w:pPr>
        <w:numPr>
          <w:ilvl w:val="0"/>
          <w:numId w:val="10"/>
        </w:numPr>
        <w:spacing w:after="31"/>
        <w:ind w:right="15" w:hanging="247"/>
      </w:pPr>
      <w:r>
        <w:t>Склонность к ошибкам/несчастным случаям.</w:t>
      </w:r>
    </w:p>
    <w:p w:rsidR="008E3F15" w:rsidRDefault="005F449A">
      <w:pPr>
        <w:numPr>
          <w:ilvl w:val="0"/>
          <w:numId w:val="10"/>
        </w:numPr>
        <w:spacing w:after="345"/>
        <w:ind w:right="15" w:hanging="247"/>
      </w:pPr>
      <w:r>
        <w:t>Озабоченность (беспокойство)</w:t>
      </w:r>
      <w:r>
        <w:t xml:space="preserve"> по поводу сна или неудовлетворенность сном.</w:t>
      </w:r>
    </w:p>
    <w:p w:rsidR="008E3F15" w:rsidRDefault="005F449A">
      <w:pPr>
        <w:pStyle w:val="Heading1"/>
        <w:ind w:left="2"/>
      </w:pPr>
      <w:r>
        <w:t>Часть II. Коморбидные болезни</w:t>
      </w:r>
    </w:p>
    <w:p w:rsidR="008E3F15" w:rsidRDefault="005F449A">
      <w:pPr>
        <w:ind w:left="2" w:right="340"/>
      </w:pPr>
      <w:r>
        <w:t>С. Жалобы, связанные со сном/бодрствованием, не могут быть объяснены неадекватными условиями (например, для сна выделяется достаточное количество времени) или обстоятельствами (напр</w:t>
      </w:r>
      <w:r>
        <w:t>имер, есть безопасное, темное, тихое и удобное место) для сна. D. Нарушения сна и ассоциированные дневные симптомы случаются ≥3 раз в неделю.</w:t>
      </w:r>
    </w:p>
    <w:p w:rsidR="008E3F15" w:rsidRDefault="005F449A">
      <w:pPr>
        <w:ind w:left="2" w:right="15"/>
      </w:pPr>
      <w:r>
        <w:t>E. Нарушения сна и ассоциированные дневные симптомы отмечаются на протяжении ≥3 мес. F. Нарушения сна и бодрствова</w:t>
      </w:r>
      <w:r>
        <w:t>ния не могут быть объяснены лучшим образом другими расстройствами сна.</w:t>
      </w:r>
    </w:p>
    <w:p w:rsidR="008E3F15" w:rsidRDefault="005F449A">
      <w:pPr>
        <w:ind w:left="2" w:right="483"/>
      </w:pPr>
      <w:r>
        <w:t>Инсомния встречается и при других нарушениях сна, например, в 30–40% она сочетается с ОАС.</w:t>
      </w:r>
    </w:p>
    <w:p w:rsidR="008E3F15" w:rsidRDefault="005F449A">
      <w:pPr>
        <w:ind w:left="2" w:right="359"/>
      </w:pPr>
      <w:r>
        <w:rPr>
          <w:b/>
        </w:rPr>
        <w:t xml:space="preserve">Лечение хронической инсомнии. </w:t>
      </w:r>
      <w:r>
        <w:t>При наличии предрасполагающих и закрепляющих факторов и отсутств</w:t>
      </w:r>
      <w:r>
        <w:t>ии адекватного лечения острая инсомния может трансформироваться в хроническую, которая гораздо хуже поддается коррекции и становится причиной существенного ухудшения общего состояния здоровья.</w:t>
      </w:r>
    </w:p>
    <w:p w:rsidR="008E3F15" w:rsidRDefault="005F449A">
      <w:pPr>
        <w:ind w:left="2" w:right="15"/>
      </w:pPr>
      <w:r>
        <w:t xml:space="preserve">Снижение продолжительности ночного сна у пожилых обычно меньше </w:t>
      </w:r>
      <w:r>
        <w:t>влияет на качество жизни и работоспособность в дневное время, чем у лиц молодого возраста.</w:t>
      </w:r>
    </w:p>
    <w:p w:rsidR="008E3F15" w:rsidRDefault="005F449A">
      <w:pPr>
        <w:ind w:left="2" w:right="15"/>
      </w:pPr>
      <w:r>
        <w:t>Для лечения нарушений сна в первую очередь используется нефармакологическое лечение, а при отсутствии эффекта и наличии показаний врач определяет режим медикаментозн</w:t>
      </w:r>
      <w:r>
        <w:t>ого лечения.</w:t>
      </w:r>
    </w:p>
    <w:p w:rsidR="008E3F15" w:rsidRDefault="005F449A">
      <w:pPr>
        <w:ind w:left="2" w:right="15"/>
      </w:pPr>
      <w:r>
        <w:rPr>
          <w:i/>
        </w:rPr>
        <w:t xml:space="preserve">Нефармакологическое лечение. </w:t>
      </w:r>
      <w:r>
        <w:t>Когнитивно-поведенческая терапия является методом лечения первого ряда и включает ряд терапевтических техник, направленных на ограничение времени сна, ассоциацию постели со сном, релаксацию (</w:t>
      </w:r>
      <w:r>
        <w:rPr>
          <w:b/>
        </w:rPr>
        <w:t>табл. 19.3</w:t>
      </w:r>
      <w:r>
        <w:t>). В рандомиз</w:t>
      </w:r>
      <w:r>
        <w:t>ированном исследовании HABIT терапия с ограничением сна (4 коротких еженедельных сеанса очно и по телефону) уменьшила симптомы инсомнии по сравнению с гигиеной сна.</w:t>
      </w:r>
    </w:p>
    <w:p w:rsidR="008E3F15" w:rsidRDefault="005F449A">
      <w:pPr>
        <w:spacing w:after="31"/>
        <w:ind w:left="2" w:right="15"/>
      </w:pPr>
      <w:r>
        <w:rPr>
          <w:b/>
        </w:rPr>
        <w:t xml:space="preserve">Таблица 19.3. </w:t>
      </w:r>
      <w:r>
        <w:t>Подходы когнитивно-поведенческой терапии (Trauer J. et al., 2015; EIN)</w:t>
      </w:r>
    </w:p>
    <w:tbl>
      <w:tblPr>
        <w:tblStyle w:val="TableGrid"/>
        <w:tblW w:w="10485" w:type="dxa"/>
        <w:tblInd w:w="37" w:type="dxa"/>
        <w:tblCellMar>
          <w:top w:w="80" w:type="dxa"/>
          <w:left w:w="45" w:type="dxa"/>
          <w:bottom w:w="0" w:type="dxa"/>
          <w:right w:w="66" w:type="dxa"/>
        </w:tblCellMar>
        <w:tblLook w:val="04A0" w:firstRow="1" w:lastRow="0" w:firstColumn="1" w:lastColumn="0" w:noHBand="0" w:noVBand="1"/>
      </w:tblPr>
      <w:tblGrid>
        <w:gridCol w:w="2250"/>
        <w:gridCol w:w="8235"/>
      </w:tblGrid>
      <w:tr w:rsidR="008E3F15">
        <w:trPr>
          <w:trHeight w:val="570"/>
        </w:trPr>
        <w:tc>
          <w:tcPr>
            <w:tcW w:w="2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862" w:firstLine="0"/>
            </w:pPr>
            <w:r>
              <w:rPr>
                <w:b/>
              </w:rPr>
              <w:t>Методы и подходы</w:t>
            </w:r>
          </w:p>
        </w:tc>
        <w:tc>
          <w:tcPr>
            <w:tcW w:w="823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7" w:right="0" w:firstLine="0"/>
            </w:pPr>
            <w:r>
              <w:rPr>
                <w:b/>
              </w:rPr>
              <w:t>Описание</w:t>
            </w:r>
          </w:p>
        </w:tc>
      </w:tr>
      <w:tr w:rsidR="008E3F15">
        <w:trPr>
          <w:trHeight w:val="1290"/>
        </w:trPr>
        <w:tc>
          <w:tcPr>
            <w:tcW w:w="22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Ограничение сна</w:t>
            </w:r>
          </w:p>
        </w:tc>
        <w:tc>
          <w:tcPr>
            <w:tcW w:w="8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jc w:val="both"/>
            </w:pPr>
            <w:r>
              <w:t>Пребывание в постели уменьшается до средней продолжительности сна</w:t>
            </w:r>
          </w:p>
          <w:p w:rsidR="008E3F15" w:rsidRDefault="005F449A">
            <w:pPr>
              <w:spacing w:after="0" w:line="259" w:lineRule="auto"/>
              <w:ind w:left="7" w:right="0" w:firstLine="0"/>
            </w:pPr>
            <w:r>
              <w:t>(по дневнику). В дальнейшем время пребывания в постели увеличивается по 15–30 мин в неделю до достижения оптимальных показателей. Альтернативный по</w:t>
            </w:r>
            <w:r>
              <w:t>дход «компрессии сна» включает постепенное уменьшение времени пребывания в постели</w:t>
            </w:r>
          </w:p>
        </w:tc>
      </w:tr>
      <w:tr w:rsidR="008E3F15">
        <w:trPr>
          <w:trHeight w:val="1050"/>
        </w:trPr>
        <w:tc>
          <w:tcPr>
            <w:tcW w:w="22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Контроль стимулов</w:t>
            </w:r>
          </w:p>
        </w:tc>
        <w:tc>
          <w:tcPr>
            <w:tcW w:w="8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Инструкции, способствующие усилению ассоциации сна и постели (ложиться спать только при появлении сонливости, использовать постель только для сна, при невозможности заснуть перейти в другую комнату, вставать утром в одно и то же время, не спать днем)</w:t>
            </w:r>
          </w:p>
        </w:tc>
      </w:tr>
      <w:tr w:rsidR="008E3F15">
        <w:trPr>
          <w:trHeight w:val="810"/>
        </w:trPr>
        <w:tc>
          <w:tcPr>
            <w:tcW w:w="22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Обучение правилам гигиены сна</w:t>
            </w:r>
          </w:p>
        </w:tc>
        <w:tc>
          <w:tcPr>
            <w:tcW w:w="8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Информирование о внешних и внутренних факторах, которые могут повлиять на сон (звуки, свет, температура, спорт, прием перед сном пищи, кофеинсодержащих напитков, алкоголя и т.д.)</w:t>
            </w:r>
          </w:p>
        </w:tc>
      </w:tr>
      <w:tr w:rsidR="008E3F15">
        <w:trPr>
          <w:trHeight w:val="810"/>
        </w:trPr>
        <w:tc>
          <w:tcPr>
            <w:tcW w:w="22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Когнитивная терапия</w:t>
            </w:r>
          </w:p>
        </w:tc>
        <w:tc>
          <w:tcPr>
            <w:tcW w:w="8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376" w:firstLine="0"/>
            </w:pPr>
            <w:r>
              <w:t>Преодоление дисфункциональ</w:t>
            </w:r>
            <w:r>
              <w:t>ных убеждений и представлений о причинах нарушения сна и невозможности засыпания, негативного влияния инсомнии на жизнь и здоровье</w:t>
            </w:r>
          </w:p>
        </w:tc>
      </w:tr>
      <w:tr w:rsidR="008E3F15">
        <w:trPr>
          <w:trHeight w:val="810"/>
        </w:trPr>
        <w:tc>
          <w:tcPr>
            <w:tcW w:w="225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Релаксационные техники</w:t>
            </w:r>
          </w:p>
        </w:tc>
        <w:tc>
          <w:tcPr>
            <w:tcW w:w="823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Снижение уровня соматического и когнитивного перевозбуждения (мышечная релаксация, диафрагмальное дыхание, аутогенная тренировка, медитация)</w:t>
            </w:r>
          </w:p>
        </w:tc>
      </w:tr>
    </w:tbl>
    <w:p w:rsidR="008E3F15" w:rsidRDefault="005F449A">
      <w:pPr>
        <w:ind w:left="2" w:right="15"/>
      </w:pPr>
      <w:r>
        <w:t>Эффект когнитивно-поведенческой терапии был сопоставим с гипнотиками в период 4–8 нед лечения и выше при большей д</w:t>
      </w:r>
      <w:r>
        <w:t>лительности терапии (Baglioni C. et al., 2020). Комбинация когнитивно-поведенческой терапии с гипнотиком в течение 6 нед с продолжением психотерапии более 6 мес чаще приводила к ремиссии, чем только психотерапевтическое лечение (Morin C. et al., 2009). Ког</w:t>
      </w:r>
      <w:r>
        <w:t>нитивно-поведенческая терапия инсомнии также была эффективна при коморбидных нарушениях сна, соматических и психических заболеваниях (Muench et al., 2022). Показано позитивное влияние на сон когнитивно-поведенческой терапии с использованием цифровых технол</w:t>
      </w:r>
      <w:r>
        <w:t>огий (Hasan F. et al., 2022).</w:t>
      </w:r>
    </w:p>
    <w:p w:rsidR="008E3F15" w:rsidRDefault="005F449A">
      <w:pPr>
        <w:ind w:left="2" w:right="15"/>
      </w:pPr>
      <w:r>
        <w:t>Регулярные аэробные физические нагрузки уменьшают жалобы и улучшают течение инсомнии (Passos G. et al., 2012).</w:t>
      </w:r>
    </w:p>
    <w:p w:rsidR="008E3F15" w:rsidRDefault="005F449A">
      <w:pPr>
        <w:ind w:left="2" w:right="791"/>
      </w:pPr>
      <w:r>
        <w:rPr>
          <w:i/>
        </w:rPr>
        <w:t>Медикаментозное лечение</w:t>
      </w:r>
      <w:r>
        <w:t xml:space="preserve"> при инсомнии рекомендуют использовать краткосрочно (до 4 нед) при отсутствии эффекта от ког</w:t>
      </w:r>
      <w:r>
        <w:t>нитивно-поведенческой терапии. Основными лекарственными препаратами для лечения инсомнии являются небензодиазепиновые и бензодиазепиновые гипнотики (</w:t>
      </w:r>
      <w:r>
        <w:rPr>
          <w:b/>
        </w:rPr>
        <w:t>табл. 19.4</w:t>
      </w:r>
      <w:r>
        <w:t>).</w:t>
      </w:r>
    </w:p>
    <w:p w:rsidR="008E3F15" w:rsidRDefault="005F449A">
      <w:pPr>
        <w:spacing w:after="31"/>
        <w:ind w:left="2" w:right="15"/>
      </w:pPr>
      <w:r>
        <w:rPr>
          <w:b/>
        </w:rPr>
        <w:t xml:space="preserve">Таблица 19.4. </w:t>
      </w:r>
      <w:r>
        <w:t>Фармакологические средства для лечения инсомний</w:t>
      </w:r>
    </w:p>
    <w:tbl>
      <w:tblPr>
        <w:tblStyle w:val="TableGrid"/>
        <w:tblW w:w="10125" w:type="dxa"/>
        <w:tblInd w:w="37" w:type="dxa"/>
        <w:tblCellMar>
          <w:top w:w="80" w:type="dxa"/>
          <w:left w:w="45" w:type="dxa"/>
          <w:bottom w:w="15" w:type="dxa"/>
          <w:right w:w="41" w:type="dxa"/>
        </w:tblCellMar>
        <w:tblLook w:val="04A0" w:firstRow="1" w:lastRow="0" w:firstColumn="1" w:lastColumn="0" w:noHBand="0" w:noVBand="1"/>
      </w:tblPr>
      <w:tblGrid>
        <w:gridCol w:w="4410"/>
        <w:gridCol w:w="4500"/>
        <w:gridCol w:w="1215"/>
      </w:tblGrid>
      <w:tr w:rsidR="008E3F15">
        <w:trPr>
          <w:trHeight w:val="330"/>
        </w:trPr>
        <w:tc>
          <w:tcPr>
            <w:tcW w:w="44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Группа</w:t>
            </w:r>
          </w:p>
        </w:tc>
        <w:tc>
          <w:tcPr>
            <w:tcW w:w="450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2" w:right="0" w:firstLine="0"/>
            </w:pPr>
            <w:r>
              <w:rPr>
                <w:b/>
              </w:rPr>
              <w:t>Препараты</w:t>
            </w:r>
          </w:p>
        </w:tc>
        <w:tc>
          <w:tcPr>
            <w:tcW w:w="12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pPr>
            <w:r>
              <w:rPr>
                <w:b/>
                <w:bdr w:val="single" w:sz="12" w:space="0" w:color="000000"/>
              </w:rPr>
              <w:t>Доза, мг</w:t>
            </w:r>
          </w:p>
        </w:tc>
      </w:tr>
      <w:tr w:rsidR="008E3F15">
        <w:trPr>
          <w:trHeight w:val="330"/>
        </w:trPr>
        <w:tc>
          <w:tcPr>
            <w:tcW w:w="44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Небензодиазепиновые гипнотики</w:t>
            </w: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Залеплон</w:t>
            </w:r>
          </w:p>
        </w:tc>
        <w:tc>
          <w:tcPr>
            <w:tcW w:w="12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Золпидем</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Зопиклон</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7,5–15</w:t>
            </w:r>
          </w:p>
        </w:tc>
      </w:tr>
      <w:tr w:rsidR="008E3F15">
        <w:trPr>
          <w:trHeight w:val="39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2" w:right="0" w:firstLine="0"/>
            </w:pPr>
            <w:r>
              <w:t>Эсзопиклон</w:t>
            </w:r>
            <w:r>
              <w:rPr>
                <w:rFonts w:ascii="Times New Roman" w:eastAsia="Times New Roman" w:hAnsi="Times New Roman" w:cs="Times New Roman"/>
                <w:sz w:val="31"/>
                <w:vertAlign w:val="superscript"/>
              </w:rP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2–3</w:t>
            </w:r>
          </w:p>
        </w:tc>
      </w:tr>
      <w:tr w:rsidR="008E3F15">
        <w:trPr>
          <w:trHeight w:val="330"/>
        </w:trPr>
        <w:tc>
          <w:tcPr>
            <w:tcW w:w="44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Бензодиазепиновые гипнотики</w:t>
            </w: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Лоразепам</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2–4</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Нитразепам</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2,5–25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Мидазолам</w:t>
            </w:r>
          </w:p>
        </w:tc>
        <w:tc>
          <w:tcPr>
            <w:tcW w:w="12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7,5–15</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2" w:right="0" w:firstLine="0"/>
            </w:pPr>
            <w:r>
              <w:t>Триазолам</w:t>
            </w:r>
          </w:p>
        </w:tc>
        <w:tc>
          <w:tcPr>
            <w:tcW w:w="1215"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0,125–0,25</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500" w:type="dxa"/>
            <w:tcBorders>
              <w:top w:val="single" w:sz="6" w:space="0" w:color="000000"/>
              <w:left w:val="nil"/>
              <w:bottom w:val="single" w:sz="6" w:space="0" w:color="000000"/>
              <w:right w:val="nil"/>
            </w:tcBorders>
          </w:tcPr>
          <w:p w:rsidR="008E3F15" w:rsidRDefault="005F449A">
            <w:pPr>
              <w:spacing w:after="0" w:line="259" w:lineRule="auto"/>
              <w:ind w:left="2" w:right="0" w:firstLine="0"/>
              <w:jc w:val="both"/>
            </w:pPr>
            <w:r>
              <w:rPr>
                <w:bdr w:val="single" w:sz="12" w:space="0" w:color="000000"/>
              </w:rPr>
              <w:t>Бромдигидрохлорфенилбензодиазепин</w:t>
            </w:r>
          </w:p>
        </w:tc>
        <w:tc>
          <w:tcPr>
            <w:tcW w:w="121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0,25–0,5</w:t>
            </w:r>
          </w:p>
        </w:tc>
      </w:tr>
      <w:tr w:rsidR="008E3F15">
        <w:trPr>
          <w:trHeight w:val="330"/>
        </w:trPr>
        <w:tc>
          <w:tcPr>
            <w:tcW w:w="44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Мелатонинергические препараты</w:t>
            </w:r>
          </w:p>
        </w:tc>
        <w:tc>
          <w:tcPr>
            <w:tcW w:w="45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Мелатонин</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w:t>
            </w:r>
          </w:p>
        </w:tc>
      </w:tr>
      <w:tr w:rsidR="008E3F15">
        <w:trPr>
          <w:trHeight w:val="330"/>
        </w:trPr>
        <w:tc>
          <w:tcPr>
            <w:tcW w:w="0" w:type="auto"/>
            <w:vMerge/>
            <w:tcBorders>
              <w:top w:val="nil"/>
              <w:left w:val="double" w:sz="6" w:space="0" w:color="000000"/>
              <w:bottom w:val="nil"/>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Мелатонин пролонгированный</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w:t>
            </w:r>
          </w:p>
        </w:tc>
      </w:tr>
      <w:tr w:rsidR="008E3F15">
        <w:trPr>
          <w:trHeight w:val="405"/>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2" w:right="0" w:firstLine="0"/>
            </w:pPr>
            <w:r>
              <w:t>Рамелтеон</w:t>
            </w:r>
            <w:r>
              <w:rPr>
                <w:rFonts w:ascii="Times New Roman" w:eastAsia="Times New Roman" w:hAnsi="Times New Roman" w:cs="Times New Roman"/>
                <w:sz w:val="31"/>
                <w:vertAlign w:val="superscript"/>
              </w:rP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w:t>
            </w:r>
          </w:p>
        </w:tc>
      </w:tr>
      <w:tr w:rsidR="008E3F15">
        <w:trPr>
          <w:trHeight w:val="390"/>
        </w:trPr>
        <w:tc>
          <w:tcPr>
            <w:tcW w:w="441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jc w:val="both"/>
            </w:pPr>
            <w:r>
              <w:t>Антагонисты орексиновых рецепторов</w:t>
            </w:r>
          </w:p>
        </w:tc>
        <w:tc>
          <w:tcPr>
            <w:tcW w:w="450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2" w:right="0" w:firstLine="0"/>
            </w:pPr>
            <w:r>
              <w:t>Лемборексант</w:t>
            </w:r>
            <w:r>
              <w:rPr>
                <w:rFonts w:ascii="Times New Roman" w:eastAsia="Times New Roman" w:hAnsi="Times New Roman" w:cs="Times New Roman"/>
                <w:sz w:val="31"/>
                <w:vertAlign w:val="superscript"/>
              </w:rPr>
              <w:t>℘</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5–10</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45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Суворексант</w:t>
            </w:r>
          </w:p>
        </w:tc>
        <w:tc>
          <w:tcPr>
            <w:tcW w:w="12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10–20</w:t>
            </w:r>
          </w:p>
        </w:tc>
      </w:tr>
    </w:tbl>
    <w:p w:rsidR="008E3F15" w:rsidRDefault="005F449A">
      <w:pPr>
        <w:spacing w:after="359"/>
        <w:ind w:left="2" w:right="15"/>
      </w:pPr>
      <w:r>
        <w:t>Z-препараты являются наиболее распространенными средствами для лечения инсомний, поскольку эффект развивается быстрее и продолжается меньше, снижается частота постсомнических нарушений, менее выражена миорелаксация. Однако прием этих препаратов также может</w:t>
      </w:r>
      <w:r>
        <w:t xml:space="preserve"> вызвать зависимость и толерантность, ассоциируется со снижением памяти, падениями, дневной утомляемостью, как и прием бензодиазепиновых препаратов (Toyoshima M. et al., 2021; Schifano F. et al., 2019). Имеются ограничения длительности приема для золпидема</w:t>
      </w:r>
      <w:r>
        <w:t xml:space="preserve"> и зопиклона в 4 нед, а для залеплона — 2 нед.</w:t>
      </w:r>
    </w:p>
    <w:p w:rsidR="008E3F15" w:rsidRDefault="005F449A">
      <w:pPr>
        <w:pStyle w:val="Heading1"/>
        <w:ind w:left="2"/>
      </w:pPr>
      <w:r>
        <w:t>Часть II. Коморбидные болезни</w:t>
      </w:r>
    </w:p>
    <w:p w:rsidR="008E3F15" w:rsidRDefault="005F449A">
      <w:pPr>
        <w:spacing w:after="31"/>
        <w:ind w:left="2" w:right="15"/>
      </w:pPr>
      <w:r>
        <w:t>Проблемами использования бензодиазепиновых транквилизаторов являются ограничение срока применения, побочные эффекты — головокружение, сонливость, амнезия, гастроинтестинальные сим</w:t>
      </w:r>
      <w:r>
        <w:t>птомы, дорожные инциденты и т.д. У пожилых возрастает риск падения, атаксии, проблем с памятью. Для непродолжительного лечения инсомний предпочтительнее бензодиазепины короткого действия (лоразепам, темазепам, триазолам, мидазолам, Феназепам</w:t>
      </w:r>
      <w:r>
        <w:rPr>
          <w:sz w:val="31"/>
          <w:vertAlign w:val="superscript"/>
        </w:rPr>
        <w:t>♠</w:t>
      </w:r>
      <w:r>
        <w:t>), позволяющие уменьшить побочные эффекты следующего дня (BNF; NICE).</w:t>
      </w:r>
    </w:p>
    <w:p w:rsidR="008E3F15" w:rsidRDefault="005F449A">
      <w:pPr>
        <w:ind w:left="2" w:right="15"/>
      </w:pPr>
      <w:r>
        <w:t>Антагонист орексиновых рецепторов лемборексант</w:t>
      </w:r>
      <w:r>
        <w:rPr>
          <w:rFonts w:ascii="Times New Roman" w:eastAsia="Times New Roman" w:hAnsi="Times New Roman" w:cs="Times New Roman"/>
          <w:sz w:val="31"/>
          <w:vertAlign w:val="superscript"/>
        </w:rPr>
        <w:t>℘</w:t>
      </w:r>
      <w:r>
        <w:t xml:space="preserve"> значительно улучшил сон по сравнению с пролонгированным золпидемом в исследовании SUNRISE.</w:t>
      </w:r>
    </w:p>
    <w:p w:rsidR="008E3F15" w:rsidRDefault="005F449A">
      <w:pPr>
        <w:ind w:left="2" w:right="15"/>
      </w:pPr>
      <w:r>
        <w:t>Интермиттирующий прием гипнотиков (3–5 дней в н</w:t>
      </w:r>
      <w:r>
        <w:t>еделю) может быть достаточно эффективным. При необходимости возможен длительный (до 6–12 мес) прием Z-препаратов</w:t>
      </w:r>
    </w:p>
    <w:p w:rsidR="008E3F15" w:rsidRDefault="005F449A">
      <w:pPr>
        <w:spacing w:after="31"/>
        <w:ind w:left="2" w:right="15"/>
      </w:pPr>
      <w:r>
        <w:t>(Walsh J. et al., 2007; CSC).</w:t>
      </w:r>
    </w:p>
    <w:p w:rsidR="008E3F15" w:rsidRDefault="005F449A">
      <w:pPr>
        <w:ind w:left="2" w:right="15"/>
      </w:pPr>
      <w:r>
        <w:t xml:space="preserve">Рекомендуют отменять гипнотики постепенно (~25% каждые 2 нед) у пациентов до 65 лет, принимающих препараты более </w:t>
      </w:r>
      <w:r>
        <w:t>месяца, а у пожилых пациентов независимо от длительности приема (Pottie K. et al., 2018).</w:t>
      </w:r>
    </w:p>
    <w:p w:rsidR="008E3F15" w:rsidRDefault="005F449A">
      <w:pPr>
        <w:spacing w:after="359"/>
        <w:ind w:left="2" w:right="15"/>
      </w:pPr>
      <w:r>
        <w:t>В некоторых коморбидных клинических ситуациях для коррекции инсомнии можно использовать седативный эффект антидепрессантов (агомелатин, амитриптилин, доксепин, тразод</w:t>
      </w:r>
      <w:r>
        <w:t>он, миансерин, миртазапин), антипсихотиков (кветиапин, оланзапин, алимемазин), антиконвульсантов (габапентин), антигистаминных препаратов (хлоропирамин, прометазин, доксиламин, дифенгидрамин), мелатонина, растительных средств (зверобой, пустырник, мята, пи</w:t>
      </w:r>
      <w:r>
        <w:t>он, пассифлора, мелисса, валериана). Однако польза и эффективность этих средств исследована и доказана недостаточно (AASM, VA/DoD).</w:t>
      </w:r>
    </w:p>
    <w:p w:rsidR="008E3F15" w:rsidRDefault="005F449A">
      <w:pPr>
        <w:pStyle w:val="Heading1"/>
        <w:ind w:left="2"/>
      </w:pPr>
      <w:r>
        <w:t>Часть II. Коморбидные болезни</w:t>
      </w:r>
    </w:p>
    <w:p w:rsidR="008E3F15" w:rsidRDefault="005F449A">
      <w:pPr>
        <w:spacing w:after="31"/>
        <w:ind w:left="2" w:right="15"/>
      </w:pPr>
      <w:r>
        <w:t>Нарушения дыхания во сне</w:t>
      </w:r>
    </w:p>
    <w:p w:rsidR="008E3F15" w:rsidRDefault="005F449A">
      <w:pPr>
        <w:ind w:left="2" w:right="15"/>
      </w:pPr>
      <w:r>
        <w:t>Нарушения дыхания во время сна характеризуются повторными эпизодами п</w:t>
      </w:r>
      <w:r>
        <w:t>рекращения дыхания (апноэ).</w:t>
      </w:r>
    </w:p>
    <w:p w:rsidR="008E3F15" w:rsidRDefault="005F449A">
      <w:pPr>
        <w:spacing w:after="179"/>
        <w:ind w:left="2" w:right="15"/>
      </w:pPr>
      <w:r>
        <w:rPr>
          <w:b/>
        </w:rPr>
        <w:t xml:space="preserve">Классификация. </w:t>
      </w:r>
      <w:r>
        <w:t>Согласно Международной классификации расстройств сна 3-го пересмотра (ICSD-3) выделяют 5 групп расстройств дыхания, связанных со сном.</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8816" behindDoc="0" locked="0" layoutInCell="1" allowOverlap="1">
                <wp:simplePos x="0" y="0"/>
                <wp:positionH relativeFrom="column">
                  <wp:posOffset>214164</wp:posOffset>
                </wp:positionH>
                <wp:positionV relativeFrom="paragraph">
                  <wp:posOffset>34727</wp:posOffset>
                </wp:positionV>
                <wp:extent cx="57150" cy="666750"/>
                <wp:effectExtent l="0" t="0" r="0" b="0"/>
                <wp:wrapSquare wrapText="bothSides"/>
                <wp:docPr id="336867" name="Group 336867"/>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3460" name="Shape 23460"/>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092"/>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62" name="Shape 23462"/>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769"/>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64" name="Shape 23464"/>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719"/>
                                  <a:pt x="54975" y="39092"/>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570"/>
                                </a:cubicBezTo>
                                <a:cubicBezTo>
                                  <a:pt x="14139" y="53181"/>
                                  <a:pt x="11049" y="50998"/>
                                  <a:pt x="8369" y="48617"/>
                                </a:cubicBezTo>
                                <a:cubicBezTo>
                                  <a:pt x="5690" y="45641"/>
                                  <a:pt x="3625" y="42664"/>
                                  <a:pt x="2175" y="39092"/>
                                </a:cubicBezTo>
                                <a:cubicBezTo>
                                  <a:pt x="725" y="35719"/>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66" name="Shape 23466"/>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769"/>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68" name="Shape 23468"/>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6867" style="width:4.5pt;height:52.5pt;position:absolute;mso-position-horizontal-relative:text;mso-position-horizontal:absolute;margin-left:16.8633pt;mso-position-vertical-relative:text;margin-top:2.73438pt;" coordsize="571,6667">
                <v:shape id="Shape 23460" style="position:absolute;width:571;height:571;left:0;top:0;" coordsize="57150,57150" path="m28575,0c32364,0,36009,794,39510,2183c43011,3373,46101,5556,48781,8136c51460,10716,53525,13891,54975,17264c56425,21034,57150,24805,57150,28575c57150,32147,56425,35719,54975,39092c53525,42664,51460,45839,48781,48617c46101,51197,43011,53181,39510,54769c36009,56356,32364,56952,28575,57150c24786,56952,21141,56356,17640,54769c14139,53181,11049,51197,8369,48617c5690,45839,3625,42664,2175,39092c725,35719,0,32147,0,28575c0,24805,725,21034,2175,17463c3625,13891,5690,10716,8369,8136c11049,5556,14139,3373,17640,2183c21141,794,24786,0,28575,0x">
                  <v:stroke weight="0pt" endcap="flat" joinstyle="miter" miterlimit="10" on="false" color="#000000" opacity="0"/>
                  <v:fill on="true" color="#333333"/>
                </v:shape>
                <v:shape id="Shape 23462" style="position:absolute;width:571;height:571;left:0;top:1524;" coordsize="57150,57150" path="m28575,0c32364,0,36009,595,39510,1984c43011,3373,46101,5358,48781,8136c51460,10716,53525,13891,54975,17264c56425,20836,57150,24606,57150,28575c57150,32345,56425,35917,54975,39291c53525,42664,51460,45641,48781,48617c46101,50998,43011,53181,39510,54769c36009,56356,32364,56952,28575,57150c24786,56952,21141,56356,17640,54769c14139,53181,11049,50998,8369,48617c5690,45641,3625,42664,2175,39291c725,35917,0,32345,0,28575c0,24606,725,20836,2175,17264c3625,13891,5690,10716,8369,8136c11049,5358,14139,3373,17640,1984c21141,595,24786,0,28575,0x">
                  <v:stroke weight="0pt" endcap="flat" joinstyle="miter" miterlimit="10" on="false" color="#000000" opacity="0"/>
                  <v:fill on="true" color="#333333"/>
                </v:shape>
                <v:shape id="Shape 23464" style="position:absolute;width:571;height:571;left:0;top:3048;" coordsize="57150,57150" path="m28575,0c32364,0,36009,595,39510,1984c43011,3373,46101,5556,48781,8136c51460,10716,53525,13891,54975,17264c56425,21034,57150,24805,57150,28575c57150,32345,56425,35719,54975,39092c53525,42664,51460,45641,48781,48617c46101,50998,43011,53181,39510,54570c36009,56356,32364,56952,28575,57150c24786,56952,21141,56356,17640,54570c14139,53181,11049,50998,8369,48617c5690,45641,3625,42664,2175,39092c725,35719,0,32345,0,28575c0,24805,725,21034,2175,17463c3625,13891,5690,10716,8369,8136c11049,5556,14139,3373,17640,1984c21141,595,24786,0,28575,0x">
                  <v:stroke weight="0pt" endcap="flat" joinstyle="miter" miterlimit="10" on="false" color="#000000" opacity="0"/>
                  <v:fill on="true" color="#333333"/>
                </v:shape>
                <v:shape id="Shape 23466" style="position:absolute;width:571;height:571;left:0;top:4572;" coordsize="57150,57150" path="m28575,0c32364,0,36009,595,39510,1984c43011,3373,46101,5358,48781,8136c51460,10716,53525,13891,54975,17264c56425,20836,57150,24606,57150,28575c57150,32345,56425,35917,54975,39291c53525,42664,51460,45641,48781,48617c46101,50998,43011,53181,39510,54769c36009,56158,32364,56952,28575,57150c24786,56952,21141,56158,17640,54769c14139,53181,11049,50998,8369,48617c5690,45641,3625,42664,2175,39291c725,35917,0,32345,0,28575c0,24606,725,20836,2175,17264c3625,13891,5690,10716,8369,8136c11049,5358,14139,3373,17640,1984c21141,595,24786,0,28575,0x">
                  <v:stroke weight="0pt" endcap="flat" joinstyle="miter" miterlimit="10" on="false" color="#000000" opacity="0"/>
                  <v:fill on="true" color="#333333"/>
                </v:shape>
                <v:shape id="Shape 23468" style="position:absolute;width:571;height:571;left:0;top:6096;" coordsize="57150,57150" path="m28575,0c32364,0,36009,595,39510,1984c43011,3373,46101,5556,48781,8136c51460,10716,53525,13891,54975,17264c56425,21034,57150,24805,57150,28575c57150,32345,56425,35719,54975,39092c53525,42664,51460,45641,48781,48617c46101,50998,43011,53181,39510,54570c36009,56158,32364,56952,28575,57150c24786,56952,21141,56158,17640,54570c14139,53181,11049,50998,8369,48617c5690,45641,3625,42664,2175,39092c725,35719,0,32345,0,28575c0,24805,725,21034,2175,17463c3625,13891,5690,10716,8369,8136c11049,5556,14139,3373,17640,1984c21141,595,24786,0,28575,0x">
                  <v:stroke weight="0pt" endcap="flat" joinstyle="miter" miterlimit="10" on="false" color="#000000" opacity="0"/>
                  <v:fill on="true" color="#333333"/>
                </v:shape>
                <w10:wrap type="square"/>
              </v:group>
            </w:pict>
          </mc:Fallback>
        </mc:AlternateContent>
      </w:r>
      <w:r>
        <w:t>Расстройства ОАС.</w:t>
      </w:r>
    </w:p>
    <w:p w:rsidR="008E3F15" w:rsidRDefault="005F449A">
      <w:pPr>
        <w:spacing w:after="31"/>
        <w:ind w:left="347" w:right="15"/>
      </w:pPr>
      <w:r>
        <w:t>Синдромы центрального апноэ сна.</w:t>
      </w:r>
    </w:p>
    <w:p w:rsidR="008E3F15" w:rsidRDefault="005F449A">
      <w:pPr>
        <w:spacing w:after="31"/>
        <w:ind w:left="347" w:right="15"/>
      </w:pPr>
      <w:r>
        <w:t>Гиповентиляционные расстройства, связанные со сном.</w:t>
      </w:r>
    </w:p>
    <w:p w:rsidR="008E3F15" w:rsidRDefault="005F449A">
      <w:pPr>
        <w:spacing w:after="179"/>
        <w:ind w:left="347" w:right="2405"/>
      </w:pPr>
      <w:r>
        <w:t>Гипоксемическое расстройство, связанное со сном. Изолированные симптомы (храп, кататрения).</w:t>
      </w:r>
    </w:p>
    <w:p w:rsidR="008E3F15" w:rsidRDefault="005F449A">
      <w:pPr>
        <w:ind w:left="2" w:right="319"/>
      </w:pPr>
      <w:r>
        <w:t>По выраженности снижения дыхательного потока выделяют апноэ и гипопноэ (AASM). Апноэ — это снижение пика дыхател</w:t>
      </w:r>
      <w:r>
        <w:t>ьного потока на ≥90% от исходного и длительностью ≥10 с. Гипопноэ — это снижение потока воздуха на ≥30% и ≥10 с, ассоциированное со снижением S</w:t>
      </w:r>
      <w:r>
        <w:rPr>
          <w:sz w:val="31"/>
          <w:vertAlign w:val="subscript"/>
        </w:rPr>
        <w:t>p</w:t>
      </w:r>
      <w:r>
        <w:t>O</w:t>
      </w:r>
      <w:r>
        <w:rPr>
          <w:sz w:val="31"/>
          <w:vertAlign w:val="subscript"/>
        </w:rPr>
        <w:t>2</w:t>
      </w:r>
      <w:r>
        <w:t xml:space="preserve"> на ≥4% (по респираторному мониторингу) или снижением S</w:t>
      </w:r>
      <w:r>
        <w:rPr>
          <w:sz w:val="31"/>
          <w:vertAlign w:val="subscript"/>
        </w:rPr>
        <w:t>p</w:t>
      </w:r>
      <w:r>
        <w:t>O</w:t>
      </w:r>
      <w:r>
        <w:rPr>
          <w:sz w:val="31"/>
          <w:vertAlign w:val="subscript"/>
        </w:rPr>
        <w:t>2</w:t>
      </w:r>
      <w:r>
        <w:t xml:space="preserve"> на ≥3% и/или с электроэнцефалографической активацие</w:t>
      </w:r>
      <w:r>
        <w:t>й (по данным полисомнографии).</w:t>
      </w:r>
    </w:p>
    <w:p w:rsidR="008E3F15" w:rsidRDefault="005F449A">
      <w:pPr>
        <w:spacing w:after="179"/>
        <w:ind w:left="2" w:right="15"/>
      </w:pPr>
      <w:r>
        <w:t>Оценку степени тяжести дыхательных нарушений во время сна осуществляют с помощью индекса апноэ/гипопноэ.</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39840"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36871" name="Group 336871"/>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3486" name="Shape 23486"/>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88" name="Shape 23488"/>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90" name="Shape 23490"/>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6871" style="width:4.5pt;height:28.5pt;position:absolute;mso-position-horizontal-relative:text;mso-position-horizontal:absolute;margin-left:16.8633pt;mso-position-vertical-relative:text;margin-top:2.73438pt;" coordsize="571,3619">
                <v:shape id="Shape 23486" style="position:absolute;width:571;height:571;left:0;top:0;" coordsize="57150,57150" path="m28575,0c32364,0,36009,595,39510,1984c43011,3373,46101,5556,48781,8334c51460,10914,53525,14089,54975,17463c56425,20836,57150,24606,57150,28575c57150,32147,56425,35719,54975,39291c53525,42664,51460,45839,48781,48617c46101,51197,43011,53380,39510,54769c36009,56356,32364,56952,28575,57150c24786,56952,21141,56356,17640,54967c14139,53380,11049,51197,8369,48617c5690,45839,3625,42664,2175,39291c725,35719,0,32147,0,28575c0,24606,725,20836,2175,17463c3625,14089,5690,10914,8369,8334c11049,5556,14139,3373,17640,1984c21141,595,24786,0,28575,0x">
                  <v:stroke weight="0pt" endcap="flat" joinstyle="miter" miterlimit="10" on="false" color="#000000" opacity="0"/>
                  <v:fill on="true" color="#333333"/>
                </v:shape>
                <v:shape id="Shape 23488" style="position:absolute;width:571;height:571;left:0;top:1524;" coordsize="57150,57150" path="m28575,0c32364,0,36009,794,39510,2183c43011,3572,46101,5755,48781,8334c51460,10914,53525,14089,54975,17463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463c3625,14089,5690,10914,8369,8334c11049,5755,14139,3572,17640,2183c21141,794,24786,0,28575,0x">
                  <v:stroke weight="0pt" endcap="flat" joinstyle="miter" miterlimit="10" on="false" color="#000000" opacity="0"/>
                  <v:fill on="true" color="#333333"/>
                </v:shape>
                <v:shape id="Shape 23490" style="position:absolute;width:571;height:571;left:0;top:3048;" coordsize="57150,57150" path="m28575,0c32364,0,36009,595,39510,1984c43011,3373,46101,5556,48781,8334c51460,10914,53525,14089,54975,17463c56425,20836,57150,24606,57150,28575c57150,32345,56425,35917,54975,39489c53525,42863,51460,46038,48781,48816c46101,51395,43011,53380,39510,54967c36009,56356,32364,56952,28575,57150c24786,56952,21141,56356,17640,54967c14139,53380,11049,51395,8369,48816c5690,46038,3625,42863,2175,39489c725,35917,0,32345,0,28575c0,24606,725,20836,2175,17463c3625,14089,5690,10914,8369,8334c11049,5556,14139,3373,17640,1984c21141,595,24786,0,28575,0x">
                  <v:stroke weight="0pt" endcap="flat" joinstyle="miter" miterlimit="10" on="false" color="#000000" opacity="0"/>
                  <v:fill on="true" color="#333333"/>
                </v:shape>
                <w10:wrap type="square"/>
              </v:group>
            </w:pict>
          </mc:Fallback>
        </mc:AlternateContent>
      </w:r>
      <w:r>
        <w:t>Легкая: 5–14,9 эпизода в час.</w:t>
      </w:r>
    </w:p>
    <w:p w:rsidR="008E3F15" w:rsidRDefault="005F449A">
      <w:pPr>
        <w:spacing w:after="179"/>
        <w:ind w:left="347" w:right="5474"/>
      </w:pPr>
      <w:r>
        <w:t>Средняя: 15–29,9 эпизода в час. Тяжелая: ≥30 эпизодов в час.</w:t>
      </w:r>
    </w:p>
    <w:p w:rsidR="008E3F15" w:rsidRDefault="005F449A">
      <w:pPr>
        <w:pStyle w:val="Heading2"/>
        <w:ind w:left="2" w:right="6054"/>
      </w:pPr>
      <w:r>
        <w:t>Обструктивное апноэ сна Диаг</w:t>
      </w:r>
      <w:r>
        <w:t>ностика</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0864" behindDoc="0" locked="0" layoutInCell="1" allowOverlap="1">
                <wp:simplePos x="0" y="0"/>
                <wp:positionH relativeFrom="column">
                  <wp:posOffset>214164</wp:posOffset>
                </wp:positionH>
                <wp:positionV relativeFrom="paragraph">
                  <wp:posOffset>34727</wp:posOffset>
                </wp:positionV>
                <wp:extent cx="57150" cy="209550"/>
                <wp:effectExtent l="0" t="0" r="0" b="0"/>
                <wp:wrapSquare wrapText="bothSides"/>
                <wp:docPr id="336873" name="Group 336873"/>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3494" name="Shape 23494"/>
                        <wps:cNvSpPr/>
                        <wps:spPr>
                          <a:xfrm>
                            <a:off x="0" y="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496" name="Shape 23496"/>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6873" style="width:4.5pt;height:16.5pt;position:absolute;mso-position-horizontal-relative:text;mso-position-horizontal:absolute;margin-left:16.8633pt;mso-position-vertical-relative:text;margin-top:2.73438pt;" coordsize="571,2095">
                <v:shape id="Shape 23494" style="position:absolute;width:571;height:571;left:0;top:0;" coordsize="57150,57150" path="m28575,0c32364,0,36009,794,39510,2183c43011,3572,46101,5755,48781,8334c51460,11113,53525,14089,54975,17661c56425,21034,57150,24805,57150,28575c57150,32147,56425,35719,54975,39092c53525,42664,51460,45839,48781,48617c46101,51197,43011,53380,39510,54769c36009,56356,32364,56952,28575,57150c24786,56952,21141,56356,17640,54769c14139,53380,11049,51197,8369,48617c5690,45839,3625,42664,2175,39092c725,35719,0,32147,0,28575c0,24805,725,21034,2175,17661c3625,14089,5690,11113,8369,8334c11049,5755,14139,3572,17640,2183c21141,794,24786,0,28575,0x">
                  <v:stroke weight="0pt" endcap="flat" joinstyle="miter" miterlimit="10" on="false" color="#000000" opacity="0"/>
                  <v:fill on="true" color="#333333"/>
                </v:shape>
                <v:shape id="Shape 23496" style="position:absolute;width:571;height:571;left:0;top:1524;" coordsize="57150,57150" path="m28575,0c32364,0,36009,595,39510,1984c43011,3373,46101,5556,48781,8334c51460,10914,53525,14089,54975,17463c56425,20836,57150,24606,57150,28575c57150,32345,56425,35917,54975,39489c53525,42863,51460,46038,48781,48617c46101,51395,43011,53380,39510,54769c36009,56356,32364,56952,28575,57150c24786,56952,21141,56356,17640,54769c14139,53380,11049,51395,8369,48617c5690,46038,3625,42863,2175,39489c725,35917,0,32345,0,28575c0,24606,725,20836,2175,17463c3625,14089,5690,10914,8369,8334c11049,5556,14139,3373,17640,1984c21141,595,24786,0,28575,0x">
                  <v:stroke weight="0pt" endcap="flat" joinstyle="miter" miterlimit="10" on="false" color="#000000" opacity="0"/>
                  <v:fill on="true" color="#333333"/>
                </v:shape>
                <w10:wrap type="square"/>
              </v:group>
            </w:pict>
          </mc:Fallback>
        </mc:AlternateContent>
      </w:r>
      <w:r>
        <w:t>Шкалы NoSAS, Mallampati.</w:t>
      </w:r>
    </w:p>
    <w:p w:rsidR="008E3F15" w:rsidRDefault="005F449A">
      <w:pPr>
        <w:spacing w:after="31"/>
        <w:ind w:left="347" w:right="15"/>
      </w:pPr>
      <w:r>
        <w:t>Компьютерная пульсоксиметрия.</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1888" behindDoc="0" locked="0" layoutInCell="1" allowOverlap="1">
                <wp:simplePos x="0" y="0"/>
                <wp:positionH relativeFrom="column">
                  <wp:posOffset>214164</wp:posOffset>
                </wp:positionH>
                <wp:positionV relativeFrom="paragraph">
                  <wp:posOffset>34727</wp:posOffset>
                </wp:positionV>
                <wp:extent cx="57150" cy="209550"/>
                <wp:effectExtent l="0" t="0" r="0" b="0"/>
                <wp:wrapSquare wrapText="bothSides"/>
                <wp:docPr id="334996" name="Group 334996"/>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3524" name="Shape 23524"/>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526" name="Shape 23526"/>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4996" style="width:4.5pt;height:16.5pt;position:absolute;mso-position-horizontal-relative:text;mso-position-horizontal:absolute;margin-left:16.8633pt;mso-position-vertical-relative:text;margin-top:2.73438pt;" coordsize="571,2095">
                <v:shape id="Shape 23524" style="position:absolute;width:571;height:571;left:0;top:0;" coordsize="57150,57150" path="m28575,0c32364,0,36009,794,39510,2183c43011,3373,46101,5556,48781,8334c51460,10914,53525,14089,54975,17661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4089,5690,10914,8369,8334c11049,5556,14139,3373,17640,2183c21141,794,24786,0,28575,0x">
                  <v:stroke weight="0pt" endcap="flat" joinstyle="miter" miterlimit="4" on="false" color="#000000" opacity="0"/>
                  <v:fill on="true" color="#333333"/>
                </v:shape>
                <v:shape id="Shape 23526" style="position:absolute;width:571;height:571;left:0;top:1524;" coordsize="57150,57150" path="m28575,0c32364,0,36009,595,39510,1984c43011,3373,46101,5556,48781,8334c51460,10914,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914,8369,8334c11049,5556,14139,3373,17640,1984c21141,595,24786,0,28575,0x">
                  <v:stroke weight="0pt" endcap="flat" joinstyle="miter" miterlimit="4" on="false" color="#000000" opacity="0"/>
                  <v:fill on="true" color="#333333"/>
                </v:shape>
                <w10:wrap type="square"/>
              </v:group>
            </w:pict>
          </mc:Fallback>
        </mc:AlternateContent>
      </w:r>
      <w:r>
        <w:t>Полисомнография.</w:t>
      </w:r>
    </w:p>
    <w:p w:rsidR="008E3F15" w:rsidRDefault="005F449A">
      <w:pPr>
        <w:spacing w:after="179"/>
        <w:ind w:left="-8" w:right="4273" w:firstLine="180"/>
      </w:pPr>
      <w:r>
        <w:t xml:space="preserve">Консультация отоларинголога, ортодонта. </w:t>
      </w:r>
      <w:r>
        <w:rPr>
          <w:b/>
        </w:rPr>
        <w:t>Лечение</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2912" behindDoc="0" locked="0" layoutInCell="1" allowOverlap="1">
                <wp:simplePos x="0" y="0"/>
                <wp:positionH relativeFrom="column">
                  <wp:posOffset>214164</wp:posOffset>
                </wp:positionH>
                <wp:positionV relativeFrom="paragraph">
                  <wp:posOffset>34727</wp:posOffset>
                </wp:positionV>
                <wp:extent cx="57150" cy="209550"/>
                <wp:effectExtent l="0" t="0" r="0" b="0"/>
                <wp:wrapSquare wrapText="bothSides"/>
                <wp:docPr id="335001" name="Group 33500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3529" name="Shape 23529"/>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3531" name="Shape 2353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5001" style="width:4.5pt;height:16.5pt;position:absolute;mso-position-horizontal-relative:text;mso-position-horizontal:absolute;margin-left:16.8633pt;mso-position-vertical-relative:text;margin-top:2.73438pt;" coordsize="571,2095">
                <v:shape id="Shape 23529" style="position:absolute;width:571;height:571;left:0;top:0;" coordsize="57150,57150" path="m28575,0c32364,0,36009,794,39510,2183c43011,3373,46101,5556,48781,8334c51460,10914,53525,14089,54975,17661c56425,21034,57150,24805,57150,28575c57150,32345,56425,35917,54975,39291c53525,42863,51460,46038,48781,48816c46101,51395,43011,53380,39510,54769c36009,56356,32364,56952,28575,57150c24786,56952,21141,56356,17640,54769c14139,53380,11049,51395,8369,48816c5690,46038,3625,42863,2175,39291c725,35917,0,32345,0,28575c0,24805,725,21034,2175,17661c3625,14089,5690,10914,8369,8334c11049,5556,14139,3373,17640,2183c21141,794,24786,0,28575,0x">
                  <v:stroke weight="0pt" endcap="flat" joinstyle="miter" miterlimit="4" on="false" color="#000000" opacity="0"/>
                  <v:fill on="true" color="#333333"/>
                </v:shape>
                <v:shape id="Shape 23531" style="position:absolute;width:571;height:571;left:0;top:1524;" coordsize="57150,57150" path="m28575,0c32364,0,36009,794,39510,2183c43011,3373,46101,5556,48781,8334c51460,10914,53525,13891,54975,17463c56425,20836,57150,24606,57150,28575c57150,32345,56425,35917,54975,39291c53525,42863,51460,46038,48781,48816c46101,51395,43011,53380,39510,54769c36009,56356,32364,56952,28575,57150c24786,56952,21141,56356,17640,54769c14139,53380,11049,51395,8369,48816c5690,46038,3625,42863,2175,39291c725,35917,0,32345,0,28575c0,24606,725,20836,2175,17463c3625,13891,5690,10914,8369,8334c11049,5556,14139,3373,17640,2183c21141,794,24786,0,28575,0x">
                  <v:stroke weight="0pt" endcap="flat" joinstyle="miter" miterlimit="4" on="false" color="#000000" opacity="0"/>
                  <v:fill on="true" color="#333333"/>
                </v:shape>
                <w10:wrap type="square"/>
              </v:group>
            </w:pict>
          </mc:Fallback>
        </mc:AlternateContent>
      </w:r>
      <w:r>
        <w:t>Ротовые устройства.</w:t>
      </w:r>
    </w:p>
    <w:p w:rsidR="008E3F15" w:rsidRDefault="005F449A">
      <w:pPr>
        <w:spacing w:after="165"/>
        <w:ind w:left="347" w:right="15"/>
      </w:pPr>
      <w:r>
        <w:t>Терапия положительным давлением в дыхательных путях.</w:t>
      </w:r>
    </w:p>
    <w:p w:rsidR="008E3F15" w:rsidRDefault="005F449A">
      <w:pPr>
        <w:ind w:left="2" w:right="15"/>
      </w:pPr>
      <w:r>
        <w:t>ОАС характеризуется повторными эпизодами полной (апн</w:t>
      </w:r>
      <w:r>
        <w:t>оэ) или частичной (гипопноэ) обструкции верхних дыхательных путей во время сна, вызванными снижением тонуса мышечных структур ротоглотки (</w:t>
      </w:r>
      <w:r>
        <w:rPr>
          <w:b/>
        </w:rPr>
        <w:t>рис. 19.1</w:t>
      </w:r>
      <w:r>
        <w:t>).</w:t>
      </w:r>
    </w:p>
    <w:p w:rsidR="008E3F15" w:rsidRDefault="005F449A">
      <w:pPr>
        <w:ind w:left="2" w:right="15"/>
      </w:pPr>
      <w:r>
        <w:t>В России распространенность средней тяжести и тяжелого ОАС составляет 18–26% среди населения в возрасте 30–70 лет (Benjafield A. et al., 2019; Khokhrina A. et al., 2020).</w:t>
      </w:r>
    </w:p>
    <w:p w:rsidR="008E3F15" w:rsidRDefault="005F449A">
      <w:pPr>
        <w:spacing w:after="31"/>
        <w:ind w:left="2" w:right="15"/>
      </w:pPr>
      <w:r>
        <w:rPr>
          <w:b/>
        </w:rPr>
        <w:t xml:space="preserve">Классификация. </w:t>
      </w:r>
      <w:r>
        <w:t xml:space="preserve">Примеры оформления диагноза при ОАС показаны в </w:t>
      </w:r>
      <w:r>
        <w:rPr>
          <w:b/>
        </w:rPr>
        <w:t>табл. 19.5</w:t>
      </w:r>
      <w:r>
        <w:t>.</w:t>
      </w:r>
    </w:p>
    <w:p w:rsidR="008E3F15" w:rsidRDefault="005F449A">
      <w:pPr>
        <w:spacing w:after="65" w:line="259" w:lineRule="auto"/>
        <w:ind w:left="7" w:right="0" w:firstLine="0"/>
      </w:pPr>
      <w:r>
        <w:rPr>
          <w:noProof/>
        </w:rPr>
        <w:drawing>
          <wp:inline distT="0" distB="0" distL="0" distR="0">
            <wp:extent cx="5057775" cy="3819525"/>
            <wp:effectExtent l="0" t="0" r="0" b="0"/>
            <wp:docPr id="23545" name="Picture 23545"/>
            <wp:cNvGraphicFramePr/>
            <a:graphic xmlns:a="http://schemas.openxmlformats.org/drawingml/2006/main">
              <a:graphicData uri="http://schemas.openxmlformats.org/drawingml/2006/picture">
                <pic:pic xmlns:pic="http://schemas.openxmlformats.org/drawingml/2006/picture">
                  <pic:nvPicPr>
                    <pic:cNvPr id="23545" name="Picture 23545"/>
                    <pic:cNvPicPr/>
                  </pic:nvPicPr>
                  <pic:blipFill>
                    <a:blip r:embed="rId182"/>
                    <a:stretch>
                      <a:fillRect/>
                    </a:stretch>
                  </pic:blipFill>
                  <pic:spPr>
                    <a:xfrm>
                      <a:off x="0" y="0"/>
                      <a:ext cx="5057775" cy="3819525"/>
                    </a:xfrm>
                    <a:prstGeom prst="rect">
                      <a:avLst/>
                    </a:prstGeom>
                  </pic:spPr>
                </pic:pic>
              </a:graphicData>
            </a:graphic>
          </wp:inline>
        </w:drawing>
      </w:r>
    </w:p>
    <w:p w:rsidR="008E3F15" w:rsidRDefault="005F449A">
      <w:pPr>
        <w:spacing w:after="31"/>
        <w:ind w:left="2" w:right="15"/>
      </w:pPr>
      <w:r>
        <w:rPr>
          <w:b/>
        </w:rPr>
        <w:t xml:space="preserve">Рис. 19.1. </w:t>
      </w:r>
      <w:r>
        <w:t>Механизм развития обструктивного апноэ сна</w:t>
      </w:r>
    </w:p>
    <w:p w:rsidR="008E3F15" w:rsidRDefault="005F449A">
      <w:pPr>
        <w:spacing w:after="31"/>
        <w:ind w:left="2" w:right="15"/>
      </w:pPr>
      <w:r>
        <w:rPr>
          <w:b/>
        </w:rPr>
        <w:t xml:space="preserve">Таблица 19.5. </w:t>
      </w:r>
      <w:r>
        <w:t>Примеры оформления диагноза</w:t>
      </w:r>
    </w:p>
    <w:tbl>
      <w:tblPr>
        <w:tblStyle w:val="TableGrid"/>
        <w:tblW w:w="10485" w:type="dxa"/>
        <w:tblInd w:w="37" w:type="dxa"/>
        <w:tblCellMar>
          <w:top w:w="80" w:type="dxa"/>
          <w:left w:w="41" w:type="dxa"/>
          <w:bottom w:w="0" w:type="dxa"/>
          <w:right w:w="115" w:type="dxa"/>
        </w:tblCellMar>
        <w:tblLook w:val="04A0" w:firstRow="1" w:lastRow="0" w:firstColumn="1" w:lastColumn="0" w:noHBand="0" w:noVBand="1"/>
      </w:tblPr>
      <w:tblGrid>
        <w:gridCol w:w="9255"/>
        <w:gridCol w:w="1230"/>
      </w:tblGrid>
      <w:tr w:rsidR="008E3F15">
        <w:trPr>
          <w:trHeight w:val="570"/>
        </w:trPr>
        <w:tc>
          <w:tcPr>
            <w:tcW w:w="925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rPr>
                <w:b/>
              </w:rPr>
              <w:t>Диагноз</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Код</w:t>
            </w:r>
          </w:p>
          <w:p w:rsidR="008E3F15" w:rsidRDefault="005F449A">
            <w:pPr>
              <w:spacing w:after="0" w:line="259" w:lineRule="auto"/>
              <w:ind w:left="0" w:right="0" w:firstLine="0"/>
            </w:pPr>
            <w:r>
              <w:rPr>
                <w:b/>
              </w:rPr>
              <w:t>МКБ-10</w:t>
            </w:r>
          </w:p>
        </w:tc>
      </w:tr>
      <w:tr w:rsidR="008E3F15">
        <w:trPr>
          <w:trHeight w:val="330"/>
        </w:trPr>
        <w:tc>
          <w:tcPr>
            <w:tcW w:w="9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Обструктивное апноэ сна легкой степени (индекс апноэ/гипопноэ 6/ч)</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G47.3</w:t>
            </w:r>
          </w:p>
        </w:tc>
      </w:tr>
      <w:tr w:rsidR="008E3F15">
        <w:trPr>
          <w:trHeight w:val="810"/>
        </w:trPr>
        <w:tc>
          <w:tcPr>
            <w:tcW w:w="9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355" w:firstLine="0"/>
            </w:pPr>
            <w:r>
              <w:t>Обструктивное апноэ сна средней тяжести (индекс апноэ/гипопноэ 24/ч), дисфункция синусового узла, атриовентрикулярная блокада 4–6:1 с паузами до 4 с</w:t>
            </w:r>
          </w:p>
        </w:tc>
        <w:tc>
          <w:tcPr>
            <w:tcW w:w="123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G47.3</w:t>
            </w:r>
          </w:p>
        </w:tc>
      </w:tr>
      <w:tr w:rsidR="008E3F15">
        <w:trPr>
          <w:trHeight w:val="330"/>
        </w:trPr>
        <w:tc>
          <w:tcPr>
            <w:tcW w:w="92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Обструктивное апноэ сна тяжелой степени (индекс апноэ/гипопноэ 38/ч)</w:t>
            </w:r>
          </w:p>
        </w:tc>
        <w:tc>
          <w:tcPr>
            <w:tcW w:w="123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G47.3</w:t>
            </w:r>
          </w:p>
        </w:tc>
      </w:tr>
    </w:tbl>
    <w:p w:rsidR="008E3F15" w:rsidRDefault="005F449A">
      <w:pPr>
        <w:spacing w:after="179"/>
        <w:ind w:left="2" w:right="15"/>
      </w:pPr>
      <w:r>
        <w:rPr>
          <w:b/>
        </w:rPr>
        <w:t xml:space="preserve">Диагностика. </w:t>
      </w:r>
      <w:r>
        <w:t>При наличии следующих признаков и симптомов, позволяющих предположить ОАС, требуется подтверждение с помощью инструментальных исследований (AASM).</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3936" behindDoc="0" locked="0" layoutInCell="1" allowOverlap="1">
                <wp:simplePos x="0" y="0"/>
                <wp:positionH relativeFrom="column">
                  <wp:posOffset>214164</wp:posOffset>
                </wp:positionH>
                <wp:positionV relativeFrom="paragraph">
                  <wp:posOffset>34727</wp:posOffset>
                </wp:positionV>
                <wp:extent cx="57150" cy="819150"/>
                <wp:effectExtent l="0" t="0" r="0" b="0"/>
                <wp:wrapSquare wrapText="bothSides"/>
                <wp:docPr id="335005" name="Group 335005"/>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3564" name="Shape 23564"/>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641"/>
                                  <a:pt x="48781" y="48617"/>
                                </a:cubicBezTo>
                                <a:cubicBezTo>
                                  <a:pt x="46101" y="50998"/>
                                  <a:pt x="43011" y="53181"/>
                                  <a:pt x="39510" y="54769"/>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66" name="Shape 23566"/>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147"/>
                                  <a:pt x="56425" y="35520"/>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520"/>
                                  <a:pt x="0" y="32147"/>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68" name="Shape 23568"/>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914"/>
                                  <a:pt x="53525" y="14089"/>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291"/>
                                </a:cubicBezTo>
                                <a:cubicBezTo>
                                  <a:pt x="725" y="35719"/>
                                  <a:pt x="0" y="32147"/>
                                  <a:pt x="0" y="28575"/>
                                </a:cubicBezTo>
                                <a:cubicBezTo>
                                  <a:pt x="0" y="24805"/>
                                  <a:pt x="725" y="21034"/>
                                  <a:pt x="2175" y="17661"/>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70" name="Shape 23570"/>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72" name="Shape 23572"/>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914"/>
                                  <a:pt x="53525" y="14089"/>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74" name="Shape 23574"/>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5005" style="width:4.5pt;height:64.5pt;position:absolute;mso-position-horizontal-relative:text;mso-position-horizontal:absolute;margin-left:16.8633pt;mso-position-vertical-relative:text;margin-top:2.73438pt;" coordsize="571,8191">
                <v:shape id="Shape 23564" style="position:absolute;width:571;height:571;left:0;top:0;" coordsize="57150,57150" path="m28575,0c32364,0,36009,794,39510,2183c43011,3373,46101,5556,48781,8136c51460,10716,53525,13891,54975,17463c56425,20836,57150,24606,57150,28575c57150,32147,56425,35719,54975,39291c53525,42664,51460,45641,48781,48617c46101,50998,43011,53181,39510,54769c36009,56158,32364,56952,28575,57150c24786,56952,21141,56158,17640,54769c14139,53181,11049,50998,8369,48617c5690,45641,3625,42664,2175,39291c725,35719,0,32147,0,28575c0,24606,725,20836,2175,17463c3625,13891,5690,10716,8369,8136c11049,5556,14139,3373,17640,1984c21141,595,24786,0,28575,0x">
                  <v:stroke weight="0pt" endcap="flat" joinstyle="miter" miterlimit="10" on="false" color="#000000" opacity="0"/>
                  <v:fill on="true" color="#333333"/>
                </v:shape>
                <v:shape id="Shape 23566" style="position:absolute;width:571;height:571;left:0;top:1524;" coordsize="57150,57150" path="m28575,0c32364,0,36009,595,39510,1984c43011,3373,46101,5556,48781,8136c51460,10914,53525,14089,54975,17463c56425,20836,57150,24606,57150,28575c57150,32147,56425,35520,54975,39092c53525,42664,51460,45641,48781,48617c46101,50998,43011,53181,39510,54570c36009,56158,32364,56952,28575,57150c24786,56952,21141,56158,17640,54570c14139,53181,11049,50998,8369,48617c5690,45641,3625,42664,2175,39092c725,35520,0,32147,0,28575c0,24606,725,20836,2175,17463c3625,14089,5690,10914,8369,8136c11049,5556,14139,3373,17640,1984c21141,595,24786,0,28575,0x">
                  <v:stroke weight="0pt" endcap="flat" joinstyle="miter" miterlimit="10" on="false" color="#000000" opacity="0"/>
                  <v:fill on="true" color="#333333"/>
                </v:shape>
                <v:shape id="Shape 23568" style="position:absolute;width:571;height:571;left:0;top:3048;" coordsize="57150,57150" path="m28575,0c32364,0,36009,794,39510,2183c43011,3373,46101,5556,48781,8136c51460,10914,53525,14089,54975,17463c56425,21034,57150,24805,57150,28575c57150,32147,56425,35719,54975,39291c53525,42664,51460,45839,48781,48617c46101,50998,43011,53181,39510,54570c36009,56158,32364,56952,28575,57150c24786,56952,21141,56158,17640,54570c14139,53181,11049,50998,8369,48617c5690,45839,3625,42664,2175,39291c725,35719,0,32147,0,28575c0,24805,725,21034,2175,17661c3625,14089,5690,10914,8369,8136c11049,5556,14139,3373,17640,1984c21141,595,24786,0,28575,0x">
                  <v:stroke weight="0pt" endcap="flat" joinstyle="miter" miterlimit="10" on="false" color="#000000" opacity="0"/>
                  <v:fill on="true" color="#333333"/>
                </v:shape>
                <v:shape id="Shape 23570" style="position:absolute;width:571;height:571;left:0;top:4572;" coordsize="57150,57150" path="m28575,0c32364,0,36009,595,39510,1984c43011,3373,46101,5358,48781,8136c51460,10914,53525,14089,54975,17463c56425,20836,57150,24606,57150,28575c57150,32345,56425,35917,54975,39489c53525,42664,51460,45641,48781,48617c46101,50998,43011,53181,39510,54570c36009,56158,32364,56952,28575,57150c24786,56952,21141,56158,17640,54570c14139,53181,11049,50998,8369,48617c5690,45641,3625,42664,2175,39092c725,35719,0,32345,0,28575c0,24606,725,20836,2175,17463c3625,14089,5690,10914,8369,8136c11049,5358,14139,3373,17640,1984c21141,595,24786,0,28575,0x">
                  <v:stroke weight="0pt" endcap="flat" joinstyle="miter" miterlimit="10" on="false" color="#000000" opacity="0"/>
                  <v:fill on="true" color="#333333"/>
                </v:shape>
                <v:shape id="Shape 23572" style="position:absolute;width:571;height:571;left:0;top:6096;" coordsize="57150,57150" path="m28575,0c32364,0,36009,794,39510,2183c43011,3373,46101,5358,48781,8136c51460,10914,53525,14089,54975,17463c56425,21034,57150,24805,57150,28575c57150,32147,56425,35719,54975,39092c53525,42664,51460,45839,48781,48617c46101,50998,43011,53181,39510,54570c36009,56158,32364,56952,28575,57150c24786,56952,21141,56158,17640,54570c14139,53181,11049,50998,8369,48617c5690,45839,3625,42664,2175,39092c725,35719,0,32147,0,28575c0,24805,725,21034,2175,17661c3625,14089,5690,10914,8369,8136c11049,5358,14139,3373,17640,1984c21141,595,24786,0,28575,0x">
                  <v:stroke weight="0pt" endcap="flat" joinstyle="miter" miterlimit="10" on="false" color="#000000" opacity="0"/>
                  <v:fill on="true" color="#333333"/>
                </v:shape>
                <v:shape id="Shape 23574" style="position:absolute;width:571;height:571;left:0;top:7620;" coordsize="57150,57150" path="m28575,0c32364,0,36009,595,39510,1984c43011,3373,46101,5358,48781,8136c51460,10716,53525,13891,54975,17463c56425,20836,57150,24606,57150,28575c57150,32345,56425,35917,54975,39291c53525,42664,51460,45641,48781,48617c46101,50998,43011,53181,39510,54570c36009,56158,32364,56952,28575,57150c24786,56952,21141,56158,17640,54570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w10:wrap type="square"/>
              </v:group>
            </w:pict>
          </mc:Fallback>
        </mc:AlternateContent>
      </w:r>
      <w:r>
        <w:t>Неосвежающий сон.</w:t>
      </w:r>
    </w:p>
    <w:p w:rsidR="008E3F15" w:rsidRDefault="005F449A">
      <w:pPr>
        <w:spacing w:after="31"/>
        <w:ind w:left="347" w:right="15"/>
      </w:pPr>
      <w:r>
        <w:t>Дневная сонливость.</w:t>
      </w:r>
    </w:p>
    <w:p w:rsidR="008E3F15" w:rsidRDefault="005F449A">
      <w:pPr>
        <w:spacing w:after="31"/>
        <w:ind w:left="347" w:right="15"/>
      </w:pPr>
      <w:r>
        <w:t>Усталость или симптомы инсомнии.</w:t>
      </w:r>
    </w:p>
    <w:p w:rsidR="008E3F15" w:rsidRDefault="005F449A">
      <w:pPr>
        <w:spacing w:after="31"/>
        <w:ind w:left="347" w:right="15"/>
      </w:pPr>
      <w:r>
        <w:t>Пробуждение с ощущением нехватки возд</w:t>
      </w:r>
      <w:r>
        <w:t>уха или удушья.</w:t>
      </w:r>
    </w:p>
    <w:p w:rsidR="008E3F15" w:rsidRDefault="005F449A">
      <w:pPr>
        <w:spacing w:after="31"/>
        <w:ind w:left="347" w:right="15"/>
      </w:pPr>
      <w:r>
        <w:t>Храп.</w:t>
      </w:r>
    </w:p>
    <w:p w:rsidR="008E3F15" w:rsidRDefault="005F449A">
      <w:pPr>
        <w:spacing w:after="165"/>
        <w:ind w:left="347" w:right="15"/>
      </w:pPr>
      <w:r>
        <w:t>Остановка дыхания во сне, подтвержденная свидетелем.</w:t>
      </w:r>
    </w:p>
    <w:p w:rsidR="008E3F15" w:rsidRDefault="005F449A">
      <w:pPr>
        <w:ind w:left="2" w:right="15"/>
      </w:pPr>
      <w:r>
        <w:t>При осмотре следует обратить внимание на черепно-лицевые анатомические аномалии и увеличение размеров языка, миндалин и/или мягкого нёба и языка, которые могут сужать верхние дыхательные пути, приводя к увеличению риска развития ОАС. Для количественной оце</w:t>
      </w:r>
      <w:r>
        <w:t>нки степени сужения ротоглотки используют шкалу Mallampati, созданную изначально для оценки сложности лярингоскопии.</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4960" behindDoc="0" locked="0" layoutInCell="1" allowOverlap="1">
                <wp:simplePos x="0" y="0"/>
                <wp:positionH relativeFrom="column">
                  <wp:posOffset>214164</wp:posOffset>
                </wp:positionH>
                <wp:positionV relativeFrom="paragraph">
                  <wp:posOffset>34727</wp:posOffset>
                </wp:positionV>
                <wp:extent cx="57150" cy="514350"/>
                <wp:effectExtent l="0" t="0" r="0" b="0"/>
                <wp:wrapSquare wrapText="bothSides"/>
                <wp:docPr id="334022" name="Group 334022"/>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3589" name="Shape 23589"/>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91" name="Shape 2359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93" name="Shape 2359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595" name="Shape 23595"/>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4022" style="width:4.5pt;height:40.5pt;position:absolute;mso-position-horizontal-relative:text;mso-position-horizontal:absolute;margin-left:16.8633pt;mso-position-vertical-relative:text;margin-top:2.73438pt;" coordsize="571,5143">
                <v:shape id="Shape 23589" style="position:absolute;width:571;height:571;left:0;top:0;" coordsize="57150,57150" path="m28575,0c32364,0,36009,794,39510,2183c43011,3373,46101,5358,48781,8136c51460,10716,53525,13891,54975,17463c56425,20836,57150,24606,57150,28575c57150,32345,56425,35917,54975,39291c53525,42664,51460,45641,48781,48617c46101,50998,43011,52983,39510,54570c36009,56356,32364,56952,28575,57150c24786,56952,21141,56356,17640,54769c14139,53181,11049,50998,8369,48617c5690,45641,3625,42664,2175,39092c725,35719,0,32345,0,28575c0,24606,725,20836,2175,17463c3625,13891,5690,10716,8369,8136c11049,5358,14139,3373,17640,2183c21141,794,24786,0,28575,0x">
                  <v:stroke weight="0pt" endcap="flat" joinstyle="miter" miterlimit="10" on="false" color="#000000" opacity="0"/>
                  <v:fill on="true" color="#333333"/>
                </v:shape>
                <v:shape id="Shape 23591" style="position:absolute;width:571;height:571;left:0;top:1524;" coordsize="57150,57150" path="m28575,0c32364,0,36009,794,39510,2183c43011,3373,46101,5556,48781,8136c51460,10716,53525,13891,54975,17463c56425,21034,57150,24805,57150,28575c57150,32147,56425,35719,54975,39092c53525,42664,51460,45641,48781,48617c46101,50998,43011,53181,39510,54570c36009,56158,32364,56952,28575,57150c24786,56952,21141,56158,17640,54570c14139,53181,11049,50998,8369,48617c5690,45641,3625,42664,2175,39092c725,35719,0,32147,0,28575c0,24805,725,21034,2175,17661c3625,13891,5690,10716,8369,8136c11049,5556,14139,3373,17640,2183c21141,794,24786,0,28575,0x">
                  <v:stroke weight="0pt" endcap="flat" joinstyle="miter" miterlimit="10" on="false" color="#000000" opacity="0"/>
                  <v:fill on="true" color="#333333"/>
                </v:shape>
                <v:shape id="Shape 23593" style="position:absolute;width:571;height:571;left:0;top:3048;" coordsize="57150,57150" path="m28575,0c32364,0,36009,794,39510,2183c43011,3373,46101,5358,48781,8136c51460,10716,53525,13891,54975,17264c56425,20836,57150,24606,57150,28575c57150,32345,56425,35917,54975,39291c53525,42664,51460,45839,48781,48617c46101,51395,43011,53380,39510,54769c36009,56356,32364,56952,28575,57150c24786,56952,21141,56356,17640,54769c14139,53380,11049,51395,8369,48617c5690,45839,3625,42664,2175,39291c725,35917,0,32345,0,28575c0,24606,725,20836,2175,17264c3625,13891,5690,10716,8369,8136c11049,5358,14139,3373,17640,2183c21141,794,24786,0,28575,0x">
                  <v:stroke weight="0pt" endcap="flat" joinstyle="miter" miterlimit="10" on="false" color="#000000" opacity="0"/>
                  <v:fill on="true" color="#333333"/>
                </v:shape>
                <v:shape id="Shape 23595" style="position:absolute;width:571;height:571;left:0;top:4572;" coordsize="57150,57150" path="m28575,0c32364,0,36009,794,39510,2183c43011,3373,46101,5556,48781,8136c51460,10716,53525,13891,54975,17264c56425,21034,57150,24805,57150,28575c57150,32345,56425,35917,54975,39291c53525,42664,51460,45839,48781,48617c46101,51197,43011,53181,39510,54769c36009,56356,32364,56952,28575,57150c24786,56952,21141,56356,17640,54769c14139,53181,11049,51197,8369,48617c5690,45839,3625,42664,2175,39291c725,35917,0,32345,0,28575c0,24805,725,21034,2175,17661c3625,13891,5690,10716,8369,8136c11049,5556,14139,3373,17640,2183c21141,794,24786,0,28575,0x">
                  <v:stroke weight="0pt" endcap="flat" joinstyle="miter" miterlimit="10" on="false" color="#000000" opacity="0"/>
                  <v:fill on="true" color="#333333"/>
                </v:shape>
                <w10:wrap type="square"/>
              </v:group>
            </w:pict>
          </mc:Fallback>
        </mc:AlternateContent>
      </w:r>
      <w:r>
        <w:t>Класс I: полностью видны миндалины, нёбный язычок и мягкое нёбо.</w:t>
      </w:r>
    </w:p>
    <w:p w:rsidR="008E3F15" w:rsidRDefault="005F449A">
      <w:pPr>
        <w:spacing w:after="31"/>
        <w:ind w:left="347" w:right="15"/>
      </w:pPr>
      <w:r>
        <w:t>Класс II: видны твердое и мягкое нёбо, верхняя часть миндалин и нёбный яз</w:t>
      </w:r>
      <w:r>
        <w:t>ычок.</w:t>
      </w:r>
    </w:p>
    <w:p w:rsidR="008E3F15" w:rsidRDefault="005F449A">
      <w:pPr>
        <w:spacing w:after="179"/>
        <w:ind w:left="347" w:right="1714"/>
      </w:pPr>
      <w:r>
        <w:t>Класс III: видны мягкое и твердое нёбо и основание нёбного язычка. Класс IV: видно только твердое нёбо.</w:t>
      </w:r>
    </w:p>
    <w:p w:rsidR="008E3F15" w:rsidRDefault="005F449A">
      <w:pPr>
        <w:ind w:left="2" w:right="511"/>
      </w:pPr>
      <w:r>
        <w:t>Увеличение на один класс по шкале Mallampati ассоциируется с повышением риска ОАС в 2,5 раза (Nuckton T. et al., 2006).</w:t>
      </w:r>
    </w:p>
    <w:p w:rsidR="008E3F15" w:rsidRDefault="005F449A">
      <w:pPr>
        <w:ind w:left="2" w:right="150"/>
      </w:pPr>
      <w:r>
        <w:t xml:space="preserve">Для выявления пациентов с </w:t>
      </w:r>
      <w:r>
        <w:t>высоким риском ОАС рекомендуется использовать простую шкалу NoSAS, включающую 5 предикторов и показавшую лучшую точность прогноза по сравнению с популярной шкалой STOP-Bang (Hong C. et al., 2018; Oktay A. et al., 2021). При умеренной-высокой претестовой ве</w:t>
      </w:r>
      <w:r>
        <w:t>роятности ОАС необходимо инструментальное подтверждение диагноза, которое можно провести с помощью портативных устройств, позволяющих оценивать некоторые полисомнографические показатели (пульсоксиметрия, респираторные усилия, положение тела, носовой воздуш</w:t>
      </w:r>
      <w:r>
        <w:t>ный поток, ЧСС) и проводить диагностику в домашних условиях, или с помощью полной полисомнографии. Портативные (домашние) устройства имеют ряд ограничений, например не позволяют оценивать эпизоды бодрствования после наступления сна, что снижает число обстр</w:t>
      </w:r>
      <w:r>
        <w:t>уктивных респираторных событий за 1 ч.</w:t>
      </w:r>
    </w:p>
    <w:p w:rsidR="008E3F15" w:rsidRDefault="005F449A">
      <w:pPr>
        <w:ind w:left="2" w:right="15"/>
      </w:pPr>
      <w:r>
        <w:rPr>
          <w:i/>
        </w:rPr>
        <w:t>Полисомнография.</w:t>
      </w:r>
      <w:r>
        <w:t xml:space="preserve"> Наиболее точным объективным методом диагностики ОАС является полная полисомнография. Полисомнографическое исследование рекомендуется для диагностики ОАС в случаях выраженных кардиореспираторных заболе</w:t>
      </w:r>
      <w:r>
        <w:t>ваний, возможной слабости дыхательных мышц вследствие нейромышечных проблем, гиповентиляции в период бодрствования или при подозрении на гиповентиляцию, связанную со сном, хронического употребления опиоидов, анамнеза инсульта или тяжелой инсомнии (AASM).</w:t>
      </w:r>
    </w:p>
    <w:p w:rsidR="008E3F15" w:rsidRDefault="005F449A">
      <w:pPr>
        <w:spacing w:after="359"/>
        <w:ind w:left="2" w:right="15"/>
      </w:pPr>
      <w:r>
        <w:t>И</w:t>
      </w:r>
      <w:r>
        <w:t>сследование представляет собой синхронную регистрацию во время сна следующих рекомендуемых показателей: электроэнцефалограммы, электроокулограммы, подбородочной электромиограммы, двигательной активности ног, воздушного потока на уровне рта и носа, дыхатель</w:t>
      </w:r>
      <w:r>
        <w:t>ных движений брюшной стенки и грудной клетки, сатурации кислорода, положения тела с желательной видеорегистрацией (</w:t>
      </w:r>
      <w:r>
        <w:rPr>
          <w:b/>
        </w:rPr>
        <w:t>рис. 19.2</w:t>
      </w:r>
      <w:r>
        <w:t>). Первые три из вышеперечисленных показателей являются основными для определения фаз и стадий сна. Следует отметить, что индекс апн</w:t>
      </w:r>
      <w:r>
        <w:t>оэ/гипопноэ, как и другие показатели функционирования организма, может существенно варьировать ото дня ко дню.</w:t>
      </w:r>
    </w:p>
    <w:p w:rsidR="008E3F15" w:rsidRDefault="005F449A">
      <w:pPr>
        <w:pStyle w:val="Heading1"/>
        <w:ind w:left="2"/>
      </w:pPr>
      <w:r>
        <w:t>Часть II. Коморбидные болезни</w:t>
      </w:r>
    </w:p>
    <w:p w:rsidR="008E3F15" w:rsidRDefault="005F449A">
      <w:pPr>
        <w:spacing w:after="65" w:line="259" w:lineRule="auto"/>
        <w:ind w:left="7" w:right="0" w:firstLine="0"/>
      </w:pPr>
      <w:r>
        <w:rPr>
          <w:noProof/>
        </w:rPr>
        <w:drawing>
          <wp:inline distT="0" distB="0" distL="0" distR="0">
            <wp:extent cx="5057775" cy="1552575"/>
            <wp:effectExtent l="0" t="0" r="0" b="0"/>
            <wp:docPr id="23629" name="Picture 23629"/>
            <wp:cNvGraphicFramePr/>
            <a:graphic xmlns:a="http://schemas.openxmlformats.org/drawingml/2006/main">
              <a:graphicData uri="http://schemas.openxmlformats.org/drawingml/2006/picture">
                <pic:pic xmlns:pic="http://schemas.openxmlformats.org/drawingml/2006/picture">
                  <pic:nvPicPr>
                    <pic:cNvPr id="23629" name="Picture 23629"/>
                    <pic:cNvPicPr/>
                  </pic:nvPicPr>
                  <pic:blipFill>
                    <a:blip r:embed="rId183"/>
                    <a:stretch>
                      <a:fillRect/>
                    </a:stretch>
                  </pic:blipFill>
                  <pic:spPr>
                    <a:xfrm>
                      <a:off x="0" y="0"/>
                      <a:ext cx="5057775" cy="1552575"/>
                    </a:xfrm>
                    <a:prstGeom prst="rect">
                      <a:avLst/>
                    </a:prstGeom>
                  </pic:spPr>
                </pic:pic>
              </a:graphicData>
            </a:graphic>
          </wp:inline>
        </w:drawing>
      </w:r>
    </w:p>
    <w:p w:rsidR="008E3F15" w:rsidRDefault="005F449A">
      <w:pPr>
        <w:ind w:left="2" w:right="15"/>
      </w:pPr>
      <w:r>
        <w:rPr>
          <w:b/>
        </w:rPr>
        <w:t xml:space="preserve">Рис. 19.2. </w:t>
      </w:r>
      <w:r>
        <w:t>Кардиореспираторный мониторинг во время сна (10 мин). Отсутствие респираторного потока на фоне сохране</w:t>
      </w:r>
      <w:r>
        <w:t>ния дыхательных усилий. Восстановление дыхания сопровождается интенсивным храпом</w:t>
      </w:r>
    </w:p>
    <w:p w:rsidR="008E3F15" w:rsidRDefault="005F449A">
      <w:pPr>
        <w:spacing w:after="200"/>
        <w:ind w:left="2" w:right="264"/>
      </w:pPr>
      <w:r>
        <w:t>Полисомнография позволяет определить три основных типа остановок дыхания во сне (</w:t>
      </w:r>
      <w:r>
        <w:rPr>
          <w:b/>
        </w:rPr>
        <w:t>рис. 19.3</w:t>
      </w:r>
      <w:r>
        <w:t>):</w:t>
      </w:r>
    </w:p>
    <w:p w:rsidR="008E3F15" w:rsidRDefault="005F449A">
      <w:pPr>
        <w:ind w:left="607" w:right="44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34024" name="Group 33402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3638" name="Shape 23638"/>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4024" style="width:4.5pt;height:4.5pt;mso-position-horizontal-relative:char;mso-position-vertical-relative:line" coordsize="571,571">
                <v:shape id="Shape 23638" style="position:absolute;width:571;height:571;left:0;top:0;"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group>
            </w:pict>
          </mc:Fallback>
        </mc:AlternateContent>
      </w:r>
      <w:r>
        <w:t xml:space="preserve"> обструктивный тип с коллапсом верхних дыхательных путей во время вдоха и отсутст</w:t>
      </w:r>
      <w:r>
        <w:t>вием потока воздуха при сохраняющихся дыхательных экскурсиях брюшной стенки и грудной клетки;</w:t>
      </w:r>
    </w:p>
    <w:p w:rsidR="008E3F15" w:rsidRDefault="005F449A">
      <w:pPr>
        <w:ind w:left="347" w:right="15"/>
      </w:pPr>
      <w:r>
        <w:rPr>
          <w:rFonts w:ascii="Calibri" w:eastAsia="Calibri" w:hAnsi="Calibri" w:cs="Calibri"/>
          <w:noProof/>
          <w:color w:val="000000"/>
          <w:sz w:val="22"/>
        </w:rPr>
        <mc:AlternateContent>
          <mc:Choice Requires="wpg">
            <w:drawing>
              <wp:anchor distT="0" distB="0" distL="114300" distR="114300" simplePos="0" relativeHeight="251945984" behindDoc="0" locked="0" layoutInCell="1" allowOverlap="1">
                <wp:simplePos x="0" y="0"/>
                <wp:positionH relativeFrom="column">
                  <wp:posOffset>214164</wp:posOffset>
                </wp:positionH>
                <wp:positionV relativeFrom="paragraph">
                  <wp:posOffset>34727</wp:posOffset>
                </wp:positionV>
                <wp:extent cx="57150" cy="361950"/>
                <wp:effectExtent l="0" t="0" r="0" b="0"/>
                <wp:wrapSquare wrapText="bothSides"/>
                <wp:docPr id="334025" name="Group 334025"/>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3642" name="Shape 23642"/>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645" name="Shape 23645"/>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4025" style="width:4.5pt;height:28.5pt;position:absolute;mso-position-horizontal-relative:text;mso-position-horizontal:absolute;margin-left:16.8633pt;mso-position-vertical-relative:text;margin-top:2.73438pt;" coordsize="571,3619">
                <v:shape id="Shape 23642" style="position:absolute;width:571;height:571;left:0;top:0;"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3645" style="position:absolute;width:571;height:571;left:0;top:3048;" coordsize="57150,57150" path="m28575,0c32364,0,36009,595,39510,1984c43011,3373,46101,5358,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358,14139,3373,17640,1984c21141,595,24786,0,28575,0x">
                  <v:stroke weight="0pt" endcap="flat" joinstyle="miter" miterlimit="10" on="false" color="#000000" opacity="0"/>
                  <v:fill on="true" color="#333333"/>
                </v:shape>
                <w10:wrap type="square"/>
              </v:group>
            </w:pict>
          </mc:Fallback>
        </mc:AlternateContent>
      </w:r>
      <w:r>
        <w:t>центральный тип с отсутствием потока воздуха и движений дыхательной мускулатуры вследствие нарушения механизмов центральной регуляции дыхания;</w:t>
      </w:r>
    </w:p>
    <w:p w:rsidR="008E3F15" w:rsidRDefault="005F449A">
      <w:pPr>
        <w:ind w:left="347" w:right="15"/>
      </w:pPr>
      <w:r>
        <w:t>смешанный тип, для которого характерно сочетание признаков обоих типов (более 50% эпизодов имеют элементы обструктивного и центрального апноэ/гипопноэ или нет 50% преобладания обструктивного или центрального апноэ/гипопноэ по данным инструментального обсле</w:t>
      </w:r>
      <w:r>
        <w:t>дования).</w:t>
      </w:r>
    </w:p>
    <w:p w:rsidR="008E3F15" w:rsidRDefault="005F449A">
      <w:pPr>
        <w:spacing w:after="65" w:line="259" w:lineRule="auto"/>
        <w:ind w:left="7" w:right="0" w:firstLine="0"/>
      </w:pPr>
      <w:r>
        <w:rPr>
          <w:noProof/>
        </w:rPr>
        <w:drawing>
          <wp:inline distT="0" distB="0" distL="0" distR="0">
            <wp:extent cx="5057775" cy="3114675"/>
            <wp:effectExtent l="0" t="0" r="0" b="0"/>
            <wp:docPr id="23661" name="Picture 23661"/>
            <wp:cNvGraphicFramePr/>
            <a:graphic xmlns:a="http://schemas.openxmlformats.org/drawingml/2006/main">
              <a:graphicData uri="http://schemas.openxmlformats.org/drawingml/2006/picture">
                <pic:pic xmlns:pic="http://schemas.openxmlformats.org/drawingml/2006/picture">
                  <pic:nvPicPr>
                    <pic:cNvPr id="23661" name="Picture 23661"/>
                    <pic:cNvPicPr/>
                  </pic:nvPicPr>
                  <pic:blipFill>
                    <a:blip r:embed="rId184"/>
                    <a:stretch>
                      <a:fillRect/>
                    </a:stretch>
                  </pic:blipFill>
                  <pic:spPr>
                    <a:xfrm>
                      <a:off x="0" y="0"/>
                      <a:ext cx="5057775" cy="3114675"/>
                    </a:xfrm>
                    <a:prstGeom prst="rect">
                      <a:avLst/>
                    </a:prstGeom>
                  </pic:spPr>
                </pic:pic>
              </a:graphicData>
            </a:graphic>
          </wp:inline>
        </w:drawing>
      </w:r>
    </w:p>
    <w:p w:rsidR="008E3F15" w:rsidRDefault="005F449A">
      <w:pPr>
        <w:spacing w:after="31"/>
        <w:ind w:left="2" w:right="15"/>
      </w:pPr>
      <w:r>
        <w:rPr>
          <w:b/>
        </w:rPr>
        <w:t xml:space="preserve">Рис. 19.3. </w:t>
      </w:r>
      <w:r>
        <w:t>Виды апноэ по данным полисомнографии</w:t>
      </w:r>
    </w:p>
    <w:p w:rsidR="008E3F15" w:rsidRDefault="005F449A">
      <w:pPr>
        <w:ind w:left="2" w:right="605"/>
      </w:pPr>
      <w:r>
        <w:t>Консультация отоларинголога необходима для оценки изменений состояния верхних дыхательных путей как возможных причин ОАС. Степень влияния мягкого нёба на обструкцию может выявить проба Мюллера, бо</w:t>
      </w:r>
      <w:r>
        <w:t>лее точная оценка уровня обструкции проводится при выполнении слип-эндоскопии во время медикаментозного сна. Консультация стоматолога (ортодонта) необходима при выявлении значимых челюстных аномалий (гипогнатия, микрогнатия) и для подбора внутриротовых при</w:t>
      </w:r>
      <w:r>
        <w:t xml:space="preserve">способлений. </w:t>
      </w:r>
      <w:r>
        <w:rPr>
          <w:i/>
        </w:rPr>
        <w:t xml:space="preserve">Диагностические критерии ОАС (ICSD-3). </w:t>
      </w:r>
      <w:r>
        <w:t>Для диагноза ОАС необходимо наличие обоих критериев А и B или одного критерия С.</w:t>
      </w:r>
    </w:p>
    <w:p w:rsidR="008E3F15" w:rsidRDefault="005F449A">
      <w:pPr>
        <w:spacing w:after="165"/>
        <w:ind w:left="2" w:right="15"/>
      </w:pPr>
      <w:r>
        <w:t>А. Присутствует хотя бы один симптом из следующих:</w:t>
      </w:r>
    </w:p>
    <w:p w:rsidR="008E3F15" w:rsidRDefault="005F449A">
      <w:pPr>
        <w:numPr>
          <w:ilvl w:val="0"/>
          <w:numId w:val="11"/>
        </w:numPr>
        <w:spacing w:after="31"/>
        <w:ind w:right="15" w:hanging="247"/>
      </w:pPr>
      <w:r>
        <w:t>дневная сонливость, неосвежающий сон, усталость или симптомы инсомнии;</w:t>
      </w:r>
    </w:p>
    <w:p w:rsidR="008E3F15" w:rsidRDefault="005F449A">
      <w:pPr>
        <w:numPr>
          <w:ilvl w:val="0"/>
          <w:numId w:val="11"/>
        </w:numPr>
        <w:spacing w:after="31"/>
        <w:ind w:right="15" w:hanging="247"/>
      </w:pPr>
      <w:r>
        <w:t>п</w:t>
      </w:r>
      <w:r>
        <w:t>робуждения с ощущением задержки дыхания, нехватки воздуха или удушья;</w:t>
      </w:r>
    </w:p>
    <w:p w:rsidR="008E3F15" w:rsidRDefault="005F449A">
      <w:pPr>
        <w:numPr>
          <w:ilvl w:val="0"/>
          <w:numId w:val="11"/>
        </w:numPr>
        <w:spacing w:after="31"/>
        <w:ind w:right="15" w:hanging="247"/>
      </w:pPr>
      <w:r>
        <w:t>громкий храп и/или прерывистое дыхание во время сна, регистрируемые другим лицом;</w:t>
      </w:r>
    </w:p>
    <w:p w:rsidR="008E3F15" w:rsidRDefault="005F449A">
      <w:pPr>
        <w:numPr>
          <w:ilvl w:val="0"/>
          <w:numId w:val="11"/>
        </w:numPr>
        <w:spacing w:after="179"/>
        <w:ind w:right="15" w:hanging="247"/>
      </w:pPr>
      <w:r>
        <w:t>пациент имеет диагноз артериальной гипертензии, расстройства настроения, когнитивной дисфункции, коронар</w:t>
      </w:r>
      <w:r>
        <w:t>ной болезни, инсульта, СН, ФП или СД 2-го типа.</w:t>
      </w:r>
    </w:p>
    <w:p w:rsidR="008E3F15" w:rsidRDefault="005F449A">
      <w:pPr>
        <w:numPr>
          <w:ilvl w:val="0"/>
          <w:numId w:val="12"/>
        </w:numPr>
        <w:ind w:right="272"/>
      </w:pPr>
      <w:r>
        <w:t>При тестировании с помощью полисомнографии или портативных устройств выявляются:эпизоды преимущественно обструктивных респираторных событий (обструктивное или смешанное апноэ, гипопноэ или пробуждения, связан</w:t>
      </w:r>
      <w:r>
        <w:t>ные с дыхательным усилием) ≥5 за 1 ч сна во время полисомнографии или за 1 ч респираторного мониторинга.</w:t>
      </w:r>
    </w:p>
    <w:p w:rsidR="008E3F15" w:rsidRDefault="005F449A">
      <w:pPr>
        <w:numPr>
          <w:ilvl w:val="0"/>
          <w:numId w:val="12"/>
        </w:numPr>
        <w:ind w:right="272"/>
      </w:pPr>
      <w:r>
        <w:t>При тестировании с помощью полисомнографии или портативных устройств выявляютсяэпизоды преимущественно обструктивных респираторных событий (апноэ, гипо</w:t>
      </w:r>
      <w:r>
        <w:t>пноэ или пробуждения, связанные с дыхательным усилием) ≥15 за 1 ч сна во время полисомнографии или за 1 ч респираторного мониторинга.</w:t>
      </w:r>
    </w:p>
    <w:p w:rsidR="008E3F15" w:rsidRDefault="005F449A">
      <w:pPr>
        <w:ind w:left="2" w:right="212"/>
      </w:pPr>
      <w:r>
        <w:rPr>
          <w:b/>
        </w:rPr>
        <w:t xml:space="preserve">Лечение. </w:t>
      </w:r>
      <w:r>
        <w:t>Терапия ОАС направлена на снижение симптомов заболевания, включая дневную сонливость, храп и гипоксемию, улучшени</w:t>
      </w:r>
      <w:r>
        <w:t>е качества сна и жизни пациентов. Основными методами лечения ОАС являются терапия положительным давлением в дыхательных путях и ротовые устройства.</w:t>
      </w:r>
    </w:p>
    <w:p w:rsidR="008E3F15" w:rsidRDefault="005F449A">
      <w:pPr>
        <w:ind w:left="2" w:right="239"/>
      </w:pPr>
      <w:r>
        <w:rPr>
          <w:i/>
        </w:rPr>
        <w:t>Терапия положительным давлением в дыхательных путях</w:t>
      </w:r>
      <w:r>
        <w:t xml:space="preserve"> предупреждает сужение верхних дыхательных путей во время</w:t>
      </w:r>
      <w:r>
        <w:t xml:space="preserve"> сна и является предпочтительным методом лечения при умеренном/тяжелом ОАС. Используются аппараты с постоянным (CPAP) или автоматически регулируемым (APAP) положительным давлением в дыхательных путях. Больной подключается к дыхательному контуру при помощи </w:t>
      </w:r>
      <w:r>
        <w:t xml:space="preserve">масок различных модификаций. Показаниями для аппаратного лечения положительным давлением в дыхательных путях являются избыточная дневная сонливость, снижение качества жизни, ассоциированное со сном, артериальная гипертензия (AASM; </w:t>
      </w:r>
      <w:r>
        <w:rPr>
          <w:b/>
        </w:rPr>
        <w:t>рис. 19.4</w:t>
      </w:r>
      <w:r>
        <w:t>).</w:t>
      </w:r>
    </w:p>
    <w:p w:rsidR="008E3F15" w:rsidRDefault="005F449A">
      <w:pPr>
        <w:spacing w:after="65" w:line="259" w:lineRule="auto"/>
        <w:ind w:left="7" w:right="0" w:firstLine="0"/>
      </w:pPr>
      <w:r>
        <w:rPr>
          <w:noProof/>
        </w:rPr>
        <w:drawing>
          <wp:inline distT="0" distB="0" distL="0" distR="0">
            <wp:extent cx="5057775" cy="3924300"/>
            <wp:effectExtent l="0" t="0" r="0" b="0"/>
            <wp:docPr id="23724" name="Picture 23724"/>
            <wp:cNvGraphicFramePr/>
            <a:graphic xmlns:a="http://schemas.openxmlformats.org/drawingml/2006/main">
              <a:graphicData uri="http://schemas.openxmlformats.org/drawingml/2006/picture">
                <pic:pic xmlns:pic="http://schemas.openxmlformats.org/drawingml/2006/picture">
                  <pic:nvPicPr>
                    <pic:cNvPr id="23724" name="Picture 23724"/>
                    <pic:cNvPicPr/>
                  </pic:nvPicPr>
                  <pic:blipFill>
                    <a:blip r:embed="rId185"/>
                    <a:stretch>
                      <a:fillRect/>
                    </a:stretch>
                  </pic:blipFill>
                  <pic:spPr>
                    <a:xfrm>
                      <a:off x="0" y="0"/>
                      <a:ext cx="5057775" cy="3924300"/>
                    </a:xfrm>
                    <a:prstGeom prst="rect">
                      <a:avLst/>
                    </a:prstGeom>
                  </pic:spPr>
                </pic:pic>
              </a:graphicData>
            </a:graphic>
          </wp:inline>
        </w:drawing>
      </w:r>
    </w:p>
    <w:p w:rsidR="008E3F15" w:rsidRDefault="005F449A">
      <w:pPr>
        <w:ind w:left="2" w:right="15"/>
      </w:pPr>
      <w:r>
        <w:rPr>
          <w:b/>
        </w:rPr>
        <w:t xml:space="preserve">Рис. 19.4. </w:t>
      </w:r>
      <w:r>
        <w:t xml:space="preserve">Алгоритм выбора терапии положительным давлением в дыхательных путях (AASM) Если пациент и врач не пришли к решению о целесообразности проведения терапии положительным давлением в дыхательных путях, то используют другие методы лечения (снижение массы тела, </w:t>
      </w:r>
      <w:r>
        <w:t xml:space="preserve">позиционная терапия, ротовые устройства, хирургическое лечение). Режим и параметры вентиляции подбираются индивидуально. Для подбора параметров вентиляции возможно использовать аппараты с автоматическим подбором необходимой величины давления в течение 3–7 </w:t>
      </w:r>
      <w:r>
        <w:t>ночей с последующим анализом данных и определением оптимальных показателей для дальнейшего лечения.</w:t>
      </w:r>
    </w:p>
    <w:p w:rsidR="008E3F15" w:rsidRDefault="005F449A">
      <w:pPr>
        <w:ind w:left="2" w:right="15"/>
      </w:pPr>
      <w:r>
        <w:t>При выраженных коморбидных заболеваниях, затрудняющих автоподбор, рекомендуется начинать терапию в лаборатории под контролем полисомнографии.</w:t>
      </w:r>
    </w:p>
    <w:p w:rsidR="008E3F15" w:rsidRDefault="005F449A">
      <w:pPr>
        <w:ind w:left="2" w:right="15"/>
      </w:pPr>
      <w:r>
        <w:t>Приверженность</w:t>
      </w:r>
      <w:r>
        <w:t xml:space="preserve"> терапии положительным давлением в дыхательных путях составляет 66–71% и может быть повышена мотивационными интервенциями (Национальный институт клинического усовершенствования; Rotenberg B. et al., 2016; Rapelli G. et al., 2021).</w:t>
      </w:r>
    </w:p>
    <w:p w:rsidR="008E3F15" w:rsidRDefault="005F449A">
      <w:pPr>
        <w:ind w:left="2" w:right="15"/>
      </w:pPr>
      <w:r>
        <w:t>Лечение может быть неопре</w:t>
      </w:r>
      <w:r>
        <w:t>деленно долгим, до восстановления проходимости дыхательных путей, подтвержденного инстументальными тестами.</w:t>
      </w:r>
    </w:p>
    <w:p w:rsidR="008E3F15" w:rsidRDefault="005F449A">
      <w:pPr>
        <w:ind w:left="2" w:right="599"/>
      </w:pPr>
      <w:r>
        <w:rPr>
          <w:i/>
        </w:rPr>
        <w:t xml:space="preserve">Ротовые устройства. </w:t>
      </w:r>
      <w:r>
        <w:t>Регулируемые внутриротовые аппликаторы устанавливаются на верхние и нижние зубы и смещают нижнюю челюсть вперед. Эффективность р</w:t>
      </w:r>
      <w:r>
        <w:t>отовых аппликаторов близка к терапии постоянным положительным давлением, особенно при нетяжелом апноэ (Cochrane Reviews; Kuhn E. et al., 2017).</w:t>
      </w:r>
    </w:p>
    <w:p w:rsidR="008E3F15" w:rsidRDefault="005F449A">
      <w:pPr>
        <w:spacing w:after="359"/>
        <w:ind w:left="2" w:right="15"/>
      </w:pPr>
      <w:r>
        <w:t>Наряду с терапией положительным давлением в дыхательных путях и ротовыми устройствами используются следующие тер</w:t>
      </w:r>
      <w:r>
        <w:t>апевтические мероприятия.</w:t>
      </w:r>
    </w:p>
    <w:p w:rsidR="008E3F15" w:rsidRDefault="005F449A">
      <w:pPr>
        <w:pStyle w:val="Heading1"/>
        <w:ind w:left="2"/>
      </w:pPr>
      <w:r>
        <w:t>Часть II. Коморбидные болезни</w:t>
      </w:r>
    </w:p>
    <w:p w:rsidR="008E3F15" w:rsidRDefault="005F449A">
      <w:pPr>
        <w:spacing w:after="31"/>
        <w:ind w:left="347" w:right="15"/>
      </w:pPr>
      <w:r>
        <w:rPr>
          <w:rFonts w:ascii="Calibri" w:eastAsia="Calibri" w:hAnsi="Calibri" w:cs="Calibri"/>
          <w:noProof/>
          <w:color w:val="000000"/>
          <w:sz w:val="22"/>
        </w:rPr>
        <mc:AlternateContent>
          <mc:Choice Requires="wpg">
            <w:drawing>
              <wp:anchor distT="0" distB="0" distL="114300" distR="114300" simplePos="0" relativeHeight="251947008" behindDoc="0" locked="0" layoutInCell="1" allowOverlap="1">
                <wp:simplePos x="0" y="0"/>
                <wp:positionH relativeFrom="column">
                  <wp:posOffset>214164</wp:posOffset>
                </wp:positionH>
                <wp:positionV relativeFrom="paragraph">
                  <wp:posOffset>34727</wp:posOffset>
                </wp:positionV>
                <wp:extent cx="57150" cy="209550"/>
                <wp:effectExtent l="0" t="0" r="0" b="0"/>
                <wp:wrapSquare wrapText="bothSides"/>
                <wp:docPr id="338011" name="Group 33801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3749" name="Shape 23749"/>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517"/>
                                  <a:pt x="53525" y="13692"/>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692"/>
                                  <a:pt x="5690" y="10517"/>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3751" name="Shape 23751"/>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1113"/>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1113"/>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011" style="width:4.5pt;height:16.5pt;position:absolute;mso-position-horizontal-relative:text;mso-position-horizontal:absolute;margin-left:16.8633pt;mso-position-vertical-relative:text;margin-top:2.73438pt;" coordsize="571,2095">
                <v:shape id="Shape 23749" style="position:absolute;width:571;height:571;left:0;top:0;" coordsize="57150,57150" path="m28575,0c32364,0,36009,595,39510,1984c43011,3373,46101,5358,48781,8136c51460,10517,53525,13692,54975,17463c56425,20836,57150,24606,57150,28575c57150,32345,56425,35917,54975,39291c53525,42664,51460,45641,48781,48617c46101,50998,43011,53181,39510,54570c36009,56158,32364,56952,28575,57150c24786,56952,21141,56158,17640,54570c14139,53181,11049,50998,8369,48617c5690,45641,3625,42664,2175,39092c725,35719,0,32345,0,28575c0,24606,725,20836,2175,17463c3625,13692,5690,10517,8369,8136c11049,5358,14139,3373,17640,1984c21141,595,24786,0,28575,0x">
                  <v:stroke weight="0pt" endcap="flat" joinstyle="miter" miterlimit="10" on="false" color="#000000" opacity="0"/>
                  <v:fill on="true" color="#333333"/>
                </v:shape>
                <v:shape id="Shape 23751" style="position:absolute;width:571;height:571;left:0;top:1524;" coordsize="57150,57150" path="m28575,0c32364,0,36009,794,39510,2183c43011,3373,46101,5556,48781,8334c51460,11113,53525,14089,54975,17661c56425,21034,57150,24805,57150,28575c57150,32147,56425,35719,54975,39092c53525,42664,51460,45839,48781,48617c46101,50998,43011,53181,39510,54570c36009,56158,32364,56952,28575,57150c24786,56952,21141,56158,17640,54570c14139,53181,11049,50998,8369,48617c5690,45839,3625,42664,2175,39092c725,35719,0,32147,0,28575c0,24805,725,21034,2175,17661c3625,14089,5690,11113,8369,8334c11049,5556,14139,3373,17640,2183c21141,794,24786,0,28575,0x">
                  <v:stroke weight="0pt" endcap="flat" joinstyle="miter" miterlimit="10" on="false" color="#000000" opacity="0"/>
                  <v:fill on="true" color="#333333"/>
                </v:shape>
                <w10:wrap type="square"/>
              </v:group>
            </w:pict>
          </mc:Fallback>
        </mc:AlternateContent>
      </w:r>
      <w:r>
        <w:t>Отказ от курения, снотворных и транквилизаторов, алкоголя перед сном.</w:t>
      </w:r>
    </w:p>
    <w:p w:rsidR="008E3F15" w:rsidRDefault="005F449A">
      <w:pPr>
        <w:ind w:left="347" w:right="163"/>
      </w:pPr>
      <w:r>
        <w:t>Постуральная терапия может быть эффективной при легких случаях и рекомендуется после подтверждения, что апноэ уменьшается в полож</w:t>
      </w:r>
      <w:r>
        <w:t>ении на боку. Создание условий, препятствующих сну на спине (позиционная подушка на спину или теннисный мячик в накладном кармане на пижаме/ночной сорочке в проекции между лопаток).</w:t>
      </w:r>
    </w:p>
    <w:p w:rsidR="008E3F15" w:rsidRDefault="005F449A">
      <w:pPr>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38012" name="Group 33801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3756" name="Shape 2375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8012" style="width:4.5pt;height:4.5pt;mso-position-horizontal-relative:char;mso-position-vertical-relative:line" coordsize="571,571">
                <v:shape id="Shape 23756" style="position:absolute;width:571;height:571;left:0;top:0;" coordsize="57150,57150" path="m28575,0c32364,0,36009,794,39510,2183c43011,3373,46101,5358,48781,8136c51460,10716,53525,13891,54975,17463c56425,21034,57150,24805,57150,28575c57150,32147,56425,35719,54975,39092c53525,42664,51460,45839,48781,48617c46101,50998,43011,53181,39510,54570c36009,56158,32364,56952,28575,57150c24786,56952,21141,56158,17640,54570c14139,53181,11049,50998,8369,48617c5690,45839,3625,42664,2175,39092c725,35719,0,32147,0,28575c0,24805,725,21034,2175,17661c3625,13891,5690,10716,8369,8136c11049,5358,14139,3373,17640,1984c21141,595,24786,0,28575,0x">
                  <v:stroke weight="0pt" endcap="flat" joinstyle="miter" miterlimit="10" on="false" color="#000000" opacity="0"/>
                  <v:fill on="true" color="#333333"/>
                </v:shape>
              </v:group>
            </w:pict>
          </mc:Fallback>
        </mc:AlternateContent>
      </w:r>
      <w:r>
        <w:t xml:space="preserve"> Снижение массы тела ≥15% способствует улучшению ОАС, но является трудной</w:t>
      </w:r>
      <w:r>
        <w:t xml:space="preserve"> задачей. Бариатрическая хирургия при ожирении с индексом массы тела ≥35–40 кг/м</w:t>
      </w:r>
      <w:r>
        <w:rPr>
          <w:sz w:val="31"/>
          <w:vertAlign w:val="superscript"/>
        </w:rPr>
        <w:t>2</w:t>
      </w:r>
      <w:r>
        <w:t xml:space="preserve"> может быть эффективна как в устранении симптомов (жалобы на храп, избыточную сонливость), так и в снижении тяжести ОАС.</w:t>
      </w:r>
    </w:p>
    <w:p w:rsidR="008E3F15" w:rsidRDefault="005F449A">
      <w:pPr>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38013" name="Group 33801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3763" name="Shape 23763"/>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6038"/>
                                  <a:pt x="48781" y="48816"/>
                                </a:cubicBezTo>
                                <a:cubicBezTo>
                                  <a:pt x="46101" y="51395"/>
                                  <a:pt x="43011" y="53380"/>
                                  <a:pt x="39510" y="54967"/>
                                </a:cubicBezTo>
                                <a:cubicBezTo>
                                  <a:pt x="36009" y="56356"/>
                                  <a:pt x="32364" y="57150"/>
                                  <a:pt x="28575" y="57150"/>
                                </a:cubicBezTo>
                                <a:cubicBezTo>
                                  <a:pt x="24786" y="57150"/>
                                  <a:pt x="21141" y="56356"/>
                                  <a:pt x="17640" y="54967"/>
                                </a:cubicBezTo>
                                <a:cubicBezTo>
                                  <a:pt x="14139" y="53380"/>
                                  <a:pt x="11049" y="51395"/>
                                  <a:pt x="8369" y="48816"/>
                                </a:cubicBezTo>
                                <a:cubicBezTo>
                                  <a:pt x="5690" y="46038"/>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8013" style="width:4.5pt;height:4.5pt;mso-position-horizontal-relative:char;mso-position-vertical-relative:line" coordsize="571,571">
                <v:shape id="Shape 23763" style="position:absolute;width:571;height:571;left:0;top:0;" coordsize="57150,57150" path="m28575,0c32364,0,36009,595,39510,1984c43011,3373,46101,5556,48781,8334c51460,10914,53525,14089,54975,17463c56425,21034,57150,24805,57150,28575c57150,32345,56425,35917,54975,39291c53525,42664,51460,46038,48781,48816c46101,51395,43011,53380,39510,54967c36009,56356,32364,57150,28575,57150c24786,57150,21141,56356,17640,54967c14139,53380,11049,51395,8369,48816c5690,46038,3625,42664,2175,39291c725,35917,0,32345,0,28575c0,24805,725,21034,2175,17463c3625,14089,5690,10914,8369,8334c11049,5556,14139,3373,17640,1984c21141,595,24786,0,28575,0x">
                  <v:stroke weight="0pt" endcap="flat" joinstyle="miter" miterlimit="10" on="false" color="#000000" opacity="0"/>
                  <v:fill on="true" color="#333333"/>
                </v:shape>
              </v:group>
            </w:pict>
          </mc:Fallback>
        </mc:AlternateContent>
      </w:r>
      <w:r>
        <w:t xml:space="preserve"> Миофункциональная терапия — комбинация изотонических</w:t>
      </w:r>
      <w:r>
        <w:t xml:space="preserve"> и изометрических упражнений для укрепления мышц, формирующих ротоглотку и верхние дыхательные пути.</w:t>
      </w:r>
    </w:p>
    <w:p w:rsidR="008E3F15" w:rsidRDefault="005F449A">
      <w:pPr>
        <w:ind w:left="607"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38014" name="Group 33801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3767" name="Shape 23767"/>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8014" style="width:4.5pt;height:4.5pt;mso-position-horizontal-relative:char;mso-position-vertical-relative:line" coordsize="571,571">
                <v:shape id="Shape 23767" style="position:absolute;width:571;height:571;left:0;top:0;" coordsize="57150,57150" path="m28575,0c32364,0,36009,595,39510,1984c43011,3373,46101,5556,48781,8334c51460,10914,53525,14089,54975,17463c56425,21034,57150,24805,57150,28575c57150,32345,56425,35917,54975,39291c53525,42664,51460,45839,48781,48617c46101,51197,43011,53380,39510,54769c36009,56158,32364,56952,28575,57150c24786,56952,21141,56158,17640,54769c14139,53380,11049,51197,8369,48617c5690,45839,3625,42664,2175,39291c725,35917,0,32345,0,28575c0,24805,725,21034,2175,17463c3625,14089,5690,10914,8369,8334c11049,5556,14139,3373,17640,1984c21141,595,24786,0,28575,0x">
                  <v:stroke weight="0pt" endcap="flat" joinstyle="miter" miterlimit="10" on="false" color="#000000" opacity="0"/>
                  <v:fill on="true" color="#333333"/>
                </v:shape>
              </v:group>
            </w:pict>
          </mc:Fallback>
        </mc:AlternateContent>
      </w:r>
      <w:r>
        <w:t xml:space="preserve"> Электрическая стимуляция подъязычного нерва, отвечающего за выдвижение языка вперед, используется при невозможности проведения стандартного лечения</w:t>
      </w:r>
    </w:p>
    <w:p w:rsidR="008E3F15" w:rsidRDefault="005F449A">
      <w:pPr>
        <w:ind w:left="617" w:right="15"/>
      </w:pPr>
      <w:r>
        <w:t>и поз</w:t>
      </w:r>
      <w:r>
        <w:t>воляет снизить тяжесть ОАС по сравнению с другими хирургическими методами лечения у пациентов с умеренным или тяжелым заболеванием и невозможностью проведения терапии положительным давлением в дыхательных путях (STAR;</w:t>
      </w:r>
    </w:p>
    <w:p w:rsidR="008E3F15" w:rsidRDefault="005F449A">
      <w:pPr>
        <w:ind w:left="337" w:right="15" w:firstLine="270"/>
      </w:pPr>
      <w:r>
        <w:t>Neruntarat C. et al., 2022; Schwartz A</w:t>
      </w:r>
      <w:r>
        <w:t xml:space="preserve">. et al., 2023). Наряду с инвазивными устройствами может быть эффективна и чрескожная стимуляция (Ratneswaran D. et al., 2021). </w:t>
      </w:r>
      <w:r>
        <w:rPr>
          <w:rFonts w:ascii="Calibri" w:eastAsia="Calibri" w:hAnsi="Calibri" w:cs="Calibri"/>
          <w:noProof/>
          <w:color w:val="000000"/>
          <w:sz w:val="22"/>
        </w:rPr>
        <mc:AlternateContent>
          <mc:Choice Requires="wpg">
            <w:drawing>
              <wp:inline distT="0" distB="0" distL="0" distR="0">
                <wp:extent cx="57150" cy="57150"/>
                <wp:effectExtent l="0" t="0" r="0" b="0"/>
                <wp:docPr id="336373" name="Group 33637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3786" name="Shape 2378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36373" style="width:4.5pt;height:4.5pt;mso-position-horizontal-relative:char;mso-position-vertical-relative:line" coordsize="571,571">
                <v:shape id="Shape 23786" style="position:absolute;width:571;height:571;left:0;top:0;" coordsize="57150,57150" path="m28575,0c32364,0,36009,794,39510,2183c43011,3373,46101,5556,48781,8334c51460,10914,53525,14089,54975,17661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661c3625,14089,5690,10914,8369,8334c11049,5556,14139,3373,17640,2183c21141,794,24786,0,28575,0x">
                  <v:stroke weight="0pt" endcap="flat" joinstyle="miter" miterlimit="10" on="false" color="#000000" opacity="0"/>
                  <v:fill on="true" color="#333333"/>
                </v:shape>
              </v:group>
            </w:pict>
          </mc:Fallback>
        </mc:AlternateContent>
      </w:r>
      <w:r>
        <w:t xml:space="preserve"> Оториноларингологическая хирургия (назальная септотомия, ринопластика, тонзиллэктомия, аденоидэктомия, репозиция верхней и ниж</w:t>
      </w:r>
      <w:r>
        <w:t>ней челюсти, радиочастотное уменьшение объема мягких тканей) может улучшить качество жизни пациентов в ряде случаев.</w:t>
      </w:r>
    </w:p>
    <w:p w:rsidR="008E3F15" w:rsidRDefault="005F449A">
      <w:pPr>
        <w:pStyle w:val="Heading2"/>
        <w:spacing w:after="0"/>
        <w:ind w:left="2"/>
      </w:pPr>
      <w:r>
        <w:t>Центральное апноэ сна</w:t>
      </w:r>
    </w:p>
    <w:p w:rsidR="008E3F15" w:rsidRDefault="005F449A">
      <w:pPr>
        <w:spacing w:after="31"/>
        <w:ind w:left="2" w:right="15"/>
      </w:pPr>
      <w:r>
        <w:t>Центральное апноэ сна характеризуется повторяющимися эпизодами снижения</w:t>
      </w:r>
    </w:p>
    <w:p w:rsidR="008E3F15" w:rsidRDefault="005F449A">
      <w:pPr>
        <w:ind w:left="2" w:right="15"/>
      </w:pPr>
      <w:r>
        <w:t>или прекращения дыхания во время сна вследствие отсутствия или снижения респираторных усилий (ICSD-3). Причинами вторичного заболевания могут быть СН, инсульт, почечная недостаточность, употребление опиоидов, терапия положительным давлением в дыхательных п</w:t>
      </w:r>
      <w:r>
        <w:t>утях.</w:t>
      </w:r>
    </w:p>
    <w:p w:rsidR="008E3F15" w:rsidRDefault="005F449A">
      <w:pPr>
        <w:ind w:left="2" w:right="15"/>
      </w:pPr>
      <w:r>
        <w:rPr>
          <w:b/>
        </w:rPr>
        <w:t xml:space="preserve">Диагностика. </w:t>
      </w:r>
      <w:r>
        <w:t>Наличие центрального апноэ сна подтверждается отсутствием экскурсий грудной клетки и брюшной стенки во время эпизода апноэ, отсутствием типичных признаков обструктивного события (уплощение кривой потока на вдохе, парадоксальные торакоабд</w:t>
      </w:r>
      <w:r>
        <w:t>оминальные движения, храп) при оценке эпизода гипопноэ, чрескожной капнографией.</w:t>
      </w:r>
    </w:p>
    <w:p w:rsidR="008E3F15" w:rsidRDefault="005F449A">
      <w:pPr>
        <w:ind w:left="2" w:right="261"/>
      </w:pPr>
      <w:r>
        <w:t>У пациентов с тяжелой СН может регистрироваться периодическое дыхание (Чейна– Стокса) — особый вариант центрального апноэ, представляющий собой волнообразное чередование эпизо</w:t>
      </w:r>
      <w:r>
        <w:t>дов гипо- и гипервентиляции.</w:t>
      </w:r>
    </w:p>
    <w:p w:rsidR="008E3F15" w:rsidRDefault="005F449A">
      <w:pPr>
        <w:ind w:left="2" w:right="15"/>
      </w:pPr>
      <w:r>
        <w:rPr>
          <w:b/>
        </w:rPr>
        <w:t>Лечение.</w:t>
      </w:r>
      <w:r>
        <w:t xml:space="preserve"> При вторичном центральном апноэ сна важно адекватное лечение основного заболевания и устранение возможных причин нарушения дыхания во сне.</w:t>
      </w:r>
    </w:p>
    <w:p w:rsidR="008E3F15" w:rsidRDefault="005F449A">
      <w:pPr>
        <w:ind w:left="2" w:right="15"/>
      </w:pPr>
      <w:r>
        <w:t>Существующие подходы к лечению центрального апноэ сна основаны на небольших наб</w:t>
      </w:r>
      <w:r>
        <w:t>людательных исследованиях.</w:t>
      </w:r>
    </w:p>
    <w:p w:rsidR="008E3F15" w:rsidRDefault="005F449A">
      <w:pPr>
        <w:spacing w:after="359"/>
        <w:ind w:left="2" w:right="515"/>
      </w:pPr>
      <w:r>
        <w:t>Оксигенотерапия может оказать умеренный благоприятный эффект (Bordier et al., 2016). Неинвазивная вентиляция легких помогает устранить центральные нарушения дыхания во время сна, при этом более эффективным является режим аутосерв</w:t>
      </w:r>
      <w:r>
        <w:t>овентиляции. Односторонняя транcвенозная стимуляция диафрагмального нерва позволяет улучшить ночную оксигенацию (Costanzo M. et al., 2016; Randerath et al., 2019).</w:t>
      </w:r>
    </w:p>
    <w:p w:rsidR="008E3F15" w:rsidRDefault="005F449A">
      <w:pPr>
        <w:pStyle w:val="Heading1"/>
        <w:ind w:left="2"/>
      </w:pPr>
      <w:r>
        <w:t>Часть II. Коморбидные болезни</w:t>
      </w:r>
    </w:p>
    <w:p w:rsidR="008E3F15" w:rsidRDefault="005F449A">
      <w:pPr>
        <w:spacing w:after="31"/>
        <w:ind w:left="2" w:right="15"/>
      </w:pPr>
      <w:r>
        <w:t>Болезни сердца и нарушения сна</w:t>
      </w:r>
    </w:p>
    <w:p w:rsidR="008E3F15" w:rsidRDefault="005F449A">
      <w:pPr>
        <w:ind w:left="2" w:right="15"/>
      </w:pPr>
      <w:r>
        <w:rPr>
          <w:b/>
        </w:rPr>
        <w:t>Нарушения дыхания во время сна.</w:t>
      </w:r>
      <w:r>
        <w:rPr>
          <w:b/>
        </w:rPr>
        <w:t xml:space="preserve"> </w:t>
      </w:r>
      <w:r>
        <w:t xml:space="preserve">Гипоксемия во время ночного сна может играть негативную роль в развитии, нестабильном течении, рефрактерности к лечению многих заболеваний, включая коронарную болезнь, бради- и тахиаритмии, СН, артериальную гипертензию, цереброваскулярные заболевания, СД </w:t>
      </w:r>
      <w:r>
        <w:t>2-го типа, тем самым повышая риски неблагоприятного исхода.</w:t>
      </w:r>
    </w:p>
    <w:p w:rsidR="008E3F15" w:rsidRDefault="005F449A">
      <w:pPr>
        <w:ind w:left="2" w:right="15"/>
      </w:pPr>
      <w:r>
        <w:t>ОАС ассоциируется со значительным (в 2–4 раза) повышением общей смертности, преимущественно за счет ССЗ (Свиряев Ю.В. и соавт., 2011; Gami A. et al., 2013; Molnar M. et al., 2015).</w:t>
      </w:r>
    </w:p>
    <w:p w:rsidR="008E3F15" w:rsidRDefault="005F449A">
      <w:pPr>
        <w:ind w:left="2" w:right="15"/>
      </w:pPr>
      <w:r>
        <w:t>В случаях комор</w:t>
      </w:r>
      <w:r>
        <w:t>бидных соматических заболеваний лечение ОАС позволяет улучшить течение некоторых болезней.</w:t>
      </w:r>
    </w:p>
    <w:p w:rsidR="008E3F15" w:rsidRDefault="005F449A">
      <w:pPr>
        <w:ind w:left="2" w:right="141"/>
      </w:pPr>
      <w:r>
        <w:t>В 12-летнем проспективном исследовании у пациентов с выраженным ОАС, которым проводилось аппаратное лечение, риск артериальной гипертензии был ниже по сравнению с па</w:t>
      </w:r>
      <w:r>
        <w:t>циентами без аппаратного лечения (Marin J. et al., 2012).</w:t>
      </w:r>
    </w:p>
    <w:p w:rsidR="008E3F15" w:rsidRDefault="005F449A">
      <w:pPr>
        <w:ind w:left="2" w:right="15"/>
      </w:pPr>
      <w:r>
        <w:t>Использование ротовых устройств и терапии положительным давлением в дыхательных путях может немного снизить АД у пациентов с артериальной гипертензией — на 1,2/1,1 и 2,1/1,9 мм рт.ст. соответственно</w:t>
      </w:r>
      <w:r>
        <w:t>, в большей степени у пациентов до 60 лет с неконтролируемой гипертензией и выраженной гипоксемией (Pengo M. et al., 2020). Вместе с тем не выявлено существенного влияния терапии положительным давлением в дыхательных путях на риск сердечно-сосудистых событ</w:t>
      </w:r>
      <w:r>
        <w:t>ий у пациентов с уже имеющимися ССЗ или без таковых (ISAACC; SAVE; RICCADSA; Yu J. et al., 2017).</w:t>
      </w:r>
    </w:p>
    <w:p w:rsidR="008E3F15" w:rsidRDefault="005F449A">
      <w:pPr>
        <w:ind w:left="2" w:right="15"/>
      </w:pPr>
      <w:r>
        <w:t>Также противоречивые результаты получены в исследованиях, оценивающих влияние терапии положительным давлением в дыхательных путях на частоту эпизодов и нагруз</w:t>
      </w:r>
      <w:r>
        <w:t>ку ФП</w:t>
      </w:r>
    </w:p>
    <w:p w:rsidR="008E3F15" w:rsidRDefault="005F449A">
      <w:pPr>
        <w:spacing w:after="31"/>
        <w:ind w:left="2" w:right="15"/>
      </w:pPr>
      <w:r>
        <w:t>(Hunt T. et al., 2022; Traaen G. et al., 2021).</w:t>
      </w:r>
    </w:p>
    <w:p w:rsidR="008E3F15" w:rsidRDefault="005F449A">
      <w:pPr>
        <w:ind w:left="2" w:right="441"/>
      </w:pPr>
      <w:r>
        <w:t>Терапия положительным давлением в дыхательных путях и адаптивная сервовентиляция у пациентов с СНнФВ и центральным апноэ хотя и улучшали ночную оксигенацию, однако не снизили частоту сердечно-сосудистых</w:t>
      </w:r>
      <w:r>
        <w:t xml:space="preserve"> событий, госпитализаций с СН и не повысили выживаемость и качество жизни (CANPAP; SERVE-HF; Voigt J. et al., 2020).</w:t>
      </w:r>
    </w:p>
    <w:p w:rsidR="008E3F15" w:rsidRDefault="005F449A">
      <w:pPr>
        <w:ind w:left="2" w:right="15"/>
      </w:pPr>
      <w:r>
        <w:t>Перспективна разработка выбора лечения ОАС с учетом коморбидных ССЗ и выраженности симптомов ОАС (Grote L. et al., 2023).</w:t>
      </w:r>
    </w:p>
    <w:p w:rsidR="008E3F15" w:rsidRDefault="005F449A">
      <w:pPr>
        <w:ind w:left="2" w:right="1006"/>
      </w:pPr>
      <w:r>
        <w:rPr>
          <w:b/>
        </w:rPr>
        <w:t xml:space="preserve">Инсомнии. </w:t>
      </w:r>
      <w:r>
        <w:t>Нарушен</w:t>
      </w:r>
      <w:r>
        <w:t>ие засыпания и невосстановительный сон ассоциировались с повышением общей (на 25 и 24%) и сердечно-сосудистой (на 55 и 32%) смертности, по данным 6-летнего проспективного исследования (Li Y. et al., 2014).</w:t>
      </w:r>
    </w:p>
    <w:p w:rsidR="008E3F15" w:rsidRDefault="005F449A">
      <w:pPr>
        <w:ind w:left="2" w:right="156"/>
      </w:pPr>
      <w:r>
        <w:t>Инсомния связана с повышением риска ССЗ, а улучшение сна снижало риски (Sofi F. et al., 2014; Nambiema A. et al., 2023). По результатам анализа данных UK Biobank с использованием менделевской рандомизации была показана связь укороченной продолжительности с</w:t>
      </w:r>
      <w:r>
        <w:t>на (≤6 ч) с рядом ССЗ, включая артериальную гипертензию, коронарную болезнь, ИМ, ЛЭ (Ai S. et al., 2021). В то же время долгий сон (≥9 ч) не повышал риск ССЗ.</w:t>
      </w:r>
    </w:p>
    <w:p w:rsidR="008E3F15" w:rsidRDefault="005F449A">
      <w:pPr>
        <w:ind w:left="2" w:right="15"/>
      </w:pPr>
      <w:r>
        <w:t>В группе пациентов с продолжительностью сна &lt;5 ч, согласно полисомнографии, риск артериальной гип</w:t>
      </w:r>
      <w:r>
        <w:t>ертензии повысился в 5 раз по сравнению с группой, где продолжительность сна превышала 6 ч (Vgontzas A. et al., 2009).</w:t>
      </w:r>
    </w:p>
    <w:p w:rsidR="008E3F15" w:rsidRDefault="005F449A">
      <w:pPr>
        <w:ind w:left="2" w:right="15"/>
      </w:pPr>
      <w:r>
        <w:t xml:space="preserve">Укорочение сна повышало риск и ухудшало прогноз острых и хронических коронарных синдромов (Romero E. et al., 2020; Liu S. et al., 2023). </w:t>
      </w:r>
      <w:r>
        <w:t>Также инсомния может повысить риск ФП (Gaffey A. et al., 2023).</w:t>
      </w:r>
    </w:p>
    <w:p w:rsidR="008E3F15" w:rsidRDefault="005F449A">
      <w:pPr>
        <w:ind w:left="2" w:right="15"/>
      </w:pPr>
      <w:r>
        <w:t>В наблюдательном исследовании HUNT у пациентов с инсомнией значительно увеличился риск развития СН (Laugsand L. et al., 2014).</w:t>
      </w:r>
    </w:p>
    <w:p w:rsidR="008E3F15" w:rsidRDefault="005F449A">
      <w:pPr>
        <w:ind w:left="2" w:right="15"/>
      </w:pPr>
      <w:r>
        <w:t>С учетом влияния сна на сердечно-сосудистые риски в последнюю вер</w:t>
      </w:r>
      <w:r>
        <w:t>сию шкалы Life’s Essential 8, наряду с традиционными факторами риска, включена продолжительность сна (оптимальная — 7–&lt;9 ч).</w:t>
      </w:r>
    </w:p>
    <w:p w:rsidR="008E3F15" w:rsidRDefault="005F449A">
      <w:pPr>
        <w:spacing w:after="359"/>
        <w:ind w:left="2" w:right="15"/>
      </w:pPr>
      <w:r>
        <w:t xml:space="preserve">Физические нагрузки могут снизить негативное влияние неоптимальной продолжительности сна на общую и сердечно-сосудистую смертность </w:t>
      </w:r>
      <w:r>
        <w:t>(Liang Y . et al., 2023).</w:t>
      </w:r>
    </w:p>
    <w:p w:rsidR="008E3F15" w:rsidRDefault="005F449A">
      <w:pPr>
        <w:pStyle w:val="Heading1"/>
        <w:ind w:left="2"/>
      </w:pPr>
      <w:r>
        <w:t>Часть II. Коморбидные болезни</w:t>
      </w:r>
    </w:p>
    <w:p w:rsidR="008E3F15" w:rsidRDefault="005F449A">
      <w:pPr>
        <w:spacing w:after="31"/>
        <w:ind w:left="2" w:right="15"/>
      </w:pPr>
      <w:r>
        <w:t>Глава 20. Злокачественные новообразования</w:t>
      </w:r>
    </w:p>
    <w:p w:rsidR="008E3F15" w:rsidRDefault="005F449A">
      <w:pPr>
        <w:ind w:left="2" w:right="114"/>
      </w:pPr>
      <w:r>
        <w:t>Ежегодно более 11 млн человек во всем мире заболевают раком и 7 млн человек умирают от рака ежегодно, что составляет 12% от умерших (ВОЗ).</w:t>
      </w:r>
    </w:p>
    <w:p w:rsidR="008E3F15" w:rsidRDefault="005F449A">
      <w:pPr>
        <w:ind w:left="2" w:right="15"/>
      </w:pPr>
      <w:r>
        <w:t>У мужчин преобладае</w:t>
      </w:r>
      <w:r>
        <w:t>т рак предстательной железы, а у женщин — рак молочной железы (</w:t>
      </w:r>
      <w:r>
        <w:rPr>
          <w:b/>
        </w:rPr>
        <w:t>рис. 20.1</w:t>
      </w:r>
      <w:r>
        <w:t>). Самой частой причиной смерти от злокачественных новообразований является рак легких (</w:t>
      </w:r>
      <w:r>
        <w:rPr>
          <w:b/>
        </w:rPr>
        <w:t>рис. 20.2</w:t>
      </w:r>
      <w:r>
        <w:t>).</w:t>
      </w:r>
    </w:p>
    <w:p w:rsidR="008E3F15" w:rsidRDefault="005F449A">
      <w:pPr>
        <w:spacing w:after="65" w:line="259" w:lineRule="auto"/>
        <w:ind w:left="7" w:right="0" w:firstLine="0"/>
      </w:pPr>
      <w:r>
        <w:rPr>
          <w:noProof/>
        </w:rPr>
        <w:drawing>
          <wp:inline distT="0" distB="0" distL="0" distR="0">
            <wp:extent cx="5057775" cy="3057525"/>
            <wp:effectExtent l="0" t="0" r="0" b="0"/>
            <wp:docPr id="23893" name="Picture 23893"/>
            <wp:cNvGraphicFramePr/>
            <a:graphic xmlns:a="http://schemas.openxmlformats.org/drawingml/2006/main">
              <a:graphicData uri="http://schemas.openxmlformats.org/drawingml/2006/picture">
                <pic:pic xmlns:pic="http://schemas.openxmlformats.org/drawingml/2006/picture">
                  <pic:nvPicPr>
                    <pic:cNvPr id="23893" name="Picture 23893"/>
                    <pic:cNvPicPr/>
                  </pic:nvPicPr>
                  <pic:blipFill>
                    <a:blip r:embed="rId186"/>
                    <a:stretch>
                      <a:fillRect/>
                    </a:stretch>
                  </pic:blipFill>
                  <pic:spPr>
                    <a:xfrm>
                      <a:off x="0" y="0"/>
                      <a:ext cx="5057775" cy="3057525"/>
                    </a:xfrm>
                    <a:prstGeom prst="rect">
                      <a:avLst/>
                    </a:prstGeom>
                  </pic:spPr>
                </pic:pic>
              </a:graphicData>
            </a:graphic>
          </wp:inline>
        </w:drawing>
      </w:r>
    </w:p>
    <w:p w:rsidR="008E3F15" w:rsidRDefault="005F449A">
      <w:pPr>
        <w:spacing w:after="31"/>
        <w:ind w:left="2" w:right="15"/>
      </w:pPr>
      <w:r>
        <w:rPr>
          <w:b/>
        </w:rPr>
        <w:t xml:space="preserve">Рис. 20.1. </w:t>
      </w:r>
      <w:r>
        <w:t>Динамика частоты рака в США (Cancer statistics, 2021)</w:t>
      </w:r>
    </w:p>
    <w:p w:rsidR="008E3F15" w:rsidRDefault="005F449A">
      <w:pPr>
        <w:spacing w:after="65" w:line="259" w:lineRule="auto"/>
        <w:ind w:left="7" w:right="0" w:firstLine="0"/>
      </w:pPr>
      <w:r>
        <w:rPr>
          <w:noProof/>
        </w:rPr>
        <w:drawing>
          <wp:inline distT="0" distB="0" distL="0" distR="0">
            <wp:extent cx="5057775" cy="1905000"/>
            <wp:effectExtent l="0" t="0" r="0" b="0"/>
            <wp:docPr id="23917" name="Picture 23917"/>
            <wp:cNvGraphicFramePr/>
            <a:graphic xmlns:a="http://schemas.openxmlformats.org/drawingml/2006/main">
              <a:graphicData uri="http://schemas.openxmlformats.org/drawingml/2006/picture">
                <pic:pic xmlns:pic="http://schemas.openxmlformats.org/drawingml/2006/picture">
                  <pic:nvPicPr>
                    <pic:cNvPr id="23917" name="Picture 23917"/>
                    <pic:cNvPicPr/>
                  </pic:nvPicPr>
                  <pic:blipFill>
                    <a:blip r:embed="rId187"/>
                    <a:stretch>
                      <a:fillRect/>
                    </a:stretch>
                  </pic:blipFill>
                  <pic:spPr>
                    <a:xfrm>
                      <a:off x="0" y="0"/>
                      <a:ext cx="5057775" cy="1905000"/>
                    </a:xfrm>
                    <a:prstGeom prst="rect">
                      <a:avLst/>
                    </a:prstGeom>
                  </pic:spPr>
                </pic:pic>
              </a:graphicData>
            </a:graphic>
          </wp:inline>
        </w:drawing>
      </w:r>
    </w:p>
    <w:p w:rsidR="008E3F15" w:rsidRDefault="005F449A">
      <w:pPr>
        <w:spacing w:after="345"/>
        <w:ind w:left="2" w:right="15"/>
      </w:pPr>
      <w:r>
        <w:rPr>
          <w:b/>
        </w:rPr>
        <w:t xml:space="preserve">Рис. 20.2. </w:t>
      </w:r>
      <w:r>
        <w:t>Прич</w:t>
      </w:r>
      <w:r>
        <w:t>ины смерти от рака разных локализаций (CDC, 2019)</w:t>
      </w:r>
    </w:p>
    <w:p w:rsidR="008E3F15" w:rsidRDefault="005F449A">
      <w:pPr>
        <w:pStyle w:val="Heading1"/>
        <w:ind w:left="2"/>
      </w:pPr>
      <w:r>
        <w:t>Часть II. Коморбидные болезни</w:t>
      </w:r>
    </w:p>
    <w:p w:rsidR="008E3F15" w:rsidRDefault="005F449A">
      <w:pPr>
        <w:spacing w:after="31"/>
        <w:ind w:left="2" w:right="15"/>
      </w:pPr>
      <w:r>
        <w:t>Причины и факторы риска</w:t>
      </w:r>
    </w:p>
    <w:p w:rsidR="008E3F15" w:rsidRDefault="005F449A">
      <w:pPr>
        <w:ind w:left="2" w:right="661"/>
      </w:pPr>
      <w:r>
        <w:t>Злокачественное новообразование возникает в результате генетических повреждений в одной клетке. Единичного генетического повреждения, как правило, недос</w:t>
      </w:r>
      <w:r>
        <w:t>таточно для превращения клетки в опухолевую. Лишь накопление 5–10 мутаций в течение продолжительного времени, часто многих лет, приводит к злокачественному</w:t>
      </w:r>
    </w:p>
    <w:p w:rsidR="008E3F15" w:rsidRDefault="005F449A">
      <w:pPr>
        <w:ind w:left="2" w:right="124"/>
      </w:pPr>
      <w:r>
        <w:t xml:space="preserve">новообразованию. Генетические нарушения способствуют либо активации протоонкогенов, стимулирующих пролиферацию клеток, либо подавлению генов — супрессоров опухолевого роста, тормозящих пролиферацию. Неправильная работа генов, контролирующих рост и деление </w:t>
      </w:r>
      <w:r>
        <w:t>клеток, вызывает неконтролируемую клеточную пролиферацию.</w:t>
      </w:r>
    </w:p>
    <w:p w:rsidR="008E3F15" w:rsidRDefault="005F449A">
      <w:pPr>
        <w:ind w:left="2" w:right="185"/>
      </w:pPr>
      <w:r>
        <w:t xml:space="preserve">Только около 5–10% случаев рака являются наследственными, остальные случаи рака являются результатом мутаций, возникающих в течение жизни в соматических клетках. Но даже при наследственной передаче </w:t>
      </w:r>
      <w:r>
        <w:t>предрасположенности к раку злокачественное новообразование возникает только в результате дополнительных соматических мутаций. Возникновение мутаций происходит вследствие воздействия внешних факторов (курение, химические вещества, радиация, инфекционные аге</w:t>
      </w:r>
      <w:r>
        <w:t>нты, солнечное излучение, алкоголь) и/ или внутренних (гормоны, иммунная система, наследуемые мутации). Частота смерти работников ядерной индустрии вследствие солидного рака повышается на 52% на 1 грей накопительной дозы ионизирующей радиации с временным л</w:t>
      </w:r>
      <w:r>
        <w:t>агом 10 лет — по данным исследования INWORKS. Причинные факторы могут действовать совместно или поочередно, вызывая или активизируя карциногенез. Например, если у ближайших родственниц имеется рак молочной железы, то воздействие ионизирующего излучения уве</w:t>
      </w:r>
      <w:r>
        <w:t>личивает риск рака молочной железы в 2,7 раза (Eidemüller M. et al., 2021).</w:t>
      </w:r>
    </w:p>
    <w:p w:rsidR="008E3F15" w:rsidRDefault="005F449A">
      <w:pPr>
        <w:ind w:left="2" w:right="15"/>
      </w:pPr>
      <w:r>
        <w:t>Опухолевую трансформацию в эпителиальных клетках делят на несколько стадий: гиперплазию, аденому, дисплазию, рак in situ, инвазивный рак.</w:t>
      </w:r>
    </w:p>
    <w:p w:rsidR="008E3F15" w:rsidRDefault="005F449A">
      <w:pPr>
        <w:ind w:left="2" w:right="231"/>
      </w:pPr>
      <w:r>
        <w:t>Вероятность злокачественных новообразований резко увеличивается с возрастом: до 39 лет заболевает один из 58 мужчин и одна из 52 женщин; в период 40–59 лет — один из 13 мужчин и одна из 11 женщин; в период 60–79 лет один из 3 мужчин и одна из 4 женщин (Lon</w:t>
      </w:r>
      <w:r>
        <w:t>go D., 2008). Три четверти всех случаев рака выявляются после 55 лет. Считается, что почти 42% злокачественных новообразований можно предупредить, воздействуя на модифицируемые факторы риска (</w:t>
      </w:r>
      <w:r>
        <w:rPr>
          <w:b/>
        </w:rPr>
        <w:t>рис. 20.3</w:t>
      </w:r>
      <w:r>
        <w:t xml:space="preserve">, </w:t>
      </w:r>
      <w:r>
        <w:rPr>
          <w:b/>
        </w:rPr>
        <w:t>20.4</w:t>
      </w:r>
      <w:r>
        <w:t>).</w:t>
      </w:r>
    </w:p>
    <w:p w:rsidR="008E3F15" w:rsidRDefault="005F449A">
      <w:pPr>
        <w:spacing w:after="65" w:line="259" w:lineRule="auto"/>
        <w:ind w:left="7" w:right="0" w:firstLine="0"/>
      </w:pPr>
      <w:r>
        <w:rPr>
          <w:noProof/>
        </w:rPr>
        <w:drawing>
          <wp:inline distT="0" distB="0" distL="0" distR="0">
            <wp:extent cx="5057775" cy="2209800"/>
            <wp:effectExtent l="0" t="0" r="0" b="0"/>
            <wp:docPr id="23956" name="Picture 23956"/>
            <wp:cNvGraphicFramePr/>
            <a:graphic xmlns:a="http://schemas.openxmlformats.org/drawingml/2006/main">
              <a:graphicData uri="http://schemas.openxmlformats.org/drawingml/2006/picture">
                <pic:pic xmlns:pic="http://schemas.openxmlformats.org/drawingml/2006/picture">
                  <pic:nvPicPr>
                    <pic:cNvPr id="23956" name="Picture 23956"/>
                    <pic:cNvPicPr/>
                  </pic:nvPicPr>
                  <pic:blipFill>
                    <a:blip r:embed="rId188"/>
                    <a:stretch>
                      <a:fillRect/>
                    </a:stretch>
                  </pic:blipFill>
                  <pic:spPr>
                    <a:xfrm>
                      <a:off x="0" y="0"/>
                      <a:ext cx="5057775" cy="2209800"/>
                    </a:xfrm>
                    <a:prstGeom prst="rect">
                      <a:avLst/>
                    </a:prstGeom>
                  </pic:spPr>
                </pic:pic>
              </a:graphicData>
            </a:graphic>
          </wp:inline>
        </w:drawing>
      </w:r>
    </w:p>
    <w:p w:rsidR="008E3F15" w:rsidRDefault="005F449A">
      <w:pPr>
        <w:ind w:left="2" w:right="15"/>
      </w:pPr>
      <w:r>
        <w:rPr>
          <w:b/>
        </w:rPr>
        <w:t xml:space="preserve">Рис. 20.3. </w:t>
      </w:r>
      <w:r>
        <w:t>Вклад модифицируемых факторов рис</w:t>
      </w:r>
      <w:r>
        <w:t>ка в развитие злокачественных новообразований (Американское онкологическое общество)</w:t>
      </w:r>
    </w:p>
    <w:p w:rsidR="008E3F15" w:rsidRDefault="005F449A">
      <w:pPr>
        <w:spacing w:after="65" w:line="259" w:lineRule="auto"/>
        <w:ind w:left="7" w:right="0" w:firstLine="0"/>
      </w:pPr>
      <w:r>
        <w:rPr>
          <w:noProof/>
        </w:rPr>
        <w:drawing>
          <wp:inline distT="0" distB="0" distL="0" distR="0">
            <wp:extent cx="5057775" cy="6753224"/>
            <wp:effectExtent l="0" t="0" r="0" b="0"/>
            <wp:docPr id="23969" name="Picture 23969"/>
            <wp:cNvGraphicFramePr/>
            <a:graphic xmlns:a="http://schemas.openxmlformats.org/drawingml/2006/main">
              <a:graphicData uri="http://schemas.openxmlformats.org/drawingml/2006/picture">
                <pic:pic xmlns:pic="http://schemas.openxmlformats.org/drawingml/2006/picture">
                  <pic:nvPicPr>
                    <pic:cNvPr id="23969" name="Picture 23969"/>
                    <pic:cNvPicPr/>
                  </pic:nvPicPr>
                  <pic:blipFill>
                    <a:blip r:embed="rId189"/>
                    <a:stretch>
                      <a:fillRect/>
                    </a:stretch>
                  </pic:blipFill>
                  <pic:spPr>
                    <a:xfrm>
                      <a:off x="0" y="0"/>
                      <a:ext cx="5057775" cy="6753224"/>
                    </a:xfrm>
                    <a:prstGeom prst="rect">
                      <a:avLst/>
                    </a:prstGeom>
                  </pic:spPr>
                </pic:pic>
              </a:graphicData>
            </a:graphic>
          </wp:inline>
        </w:drawing>
      </w:r>
    </w:p>
    <w:p w:rsidR="008E3F15" w:rsidRDefault="005F449A">
      <w:pPr>
        <w:ind w:left="2" w:right="99"/>
      </w:pPr>
      <w:r>
        <w:rPr>
          <w:b/>
        </w:rPr>
        <w:t xml:space="preserve">Рис. 20.4. </w:t>
      </w:r>
      <w:r>
        <w:t>Глобальная смертность от рака, связанная с факторами риска (Tran K. et al., 2022) Существенный вклад в развитие ряда онкологических заболеваний вносит курение</w:t>
      </w:r>
      <w:r>
        <w:t>, с которым связывают развитие рака 12 локализаций: ротовая полость и глотка, гортань, пищевод, легкие, печень, желудок, поджелудочная железа, почки, мочевой пузырь, толстый кишечник, шейка матки, острая миелоидная лейкемия. Почти половину смертей (48%) от</w:t>
      </w:r>
      <w:r>
        <w:t xml:space="preserve"> этих видов рака вызывает курение (Siegel R. et al., 2015).</w:t>
      </w:r>
    </w:p>
    <w:p w:rsidR="008E3F15" w:rsidRDefault="005F449A">
      <w:pPr>
        <w:ind w:left="2" w:right="341"/>
      </w:pPr>
      <w:r>
        <w:t xml:space="preserve">Курение наносит вред здоровью не только курящих, пассивное курение также значительно повышает риск рака легких. Курение потенцирует влияние алкоголя, и оба они относятся к наиболее опасной группе </w:t>
      </w:r>
      <w:r>
        <w:t>канцерогенов.</w:t>
      </w:r>
    </w:p>
    <w:p w:rsidR="008E3F15" w:rsidRDefault="005F449A">
      <w:pPr>
        <w:ind w:left="2" w:right="15"/>
      </w:pPr>
      <w:r>
        <w:t>Малоподвижный образ жизни связывают с развитием рака молочной железы, толстого кишечника, предстательной железы и эндометрия.</w:t>
      </w:r>
    </w:p>
    <w:p w:rsidR="008E3F15" w:rsidRDefault="005F449A">
      <w:pPr>
        <w:ind w:left="2" w:right="15"/>
      </w:pPr>
      <w:r>
        <w:t>Некоторые виды рака связывают с инфекционными агентами: вирусами гепатита В и С (рак печени), вирусом папилломы чело</w:t>
      </w:r>
      <w:r>
        <w:t>века типа 16 и 18 (рак шейки матки, лимфомы, саркома Капоши), вирусом иммунодефицита человека (рак шейки матки, лимфомы, саркома Капоши), хеликобактером (рак желудка), описторхозом (рак желчных протоков), шистосомозом (рак мочевого пузыря). Перечисленные в</w:t>
      </w:r>
      <w:r>
        <w:t>озбудители относятся к наиболее опасной группе канцерогенов для человека.</w:t>
      </w:r>
    </w:p>
    <w:p w:rsidR="008E3F15" w:rsidRDefault="005F449A">
      <w:pPr>
        <w:ind w:left="2" w:right="15"/>
      </w:pPr>
      <w:r>
        <w:t xml:space="preserve">Анализ данных GLOBOCAN 2020 показал, что 4% новых случаев рака связаны с потреблением алкоголя (Rumgay H. et al., 2021). Дозозависимые отношения выявлены между потреблением алкоголя </w:t>
      </w:r>
      <w:r>
        <w:t>и смертностью от рака, которая возрастает в 1,6 раза при легком потреблении</w:t>
      </w:r>
    </w:p>
    <w:p w:rsidR="008E3F15" w:rsidRDefault="008E3F15">
      <w:pPr>
        <w:sectPr w:rsidR="008E3F15">
          <w:headerReference w:type="even" r:id="rId190"/>
          <w:headerReference w:type="default" r:id="rId191"/>
          <w:footerReference w:type="even" r:id="rId192"/>
          <w:footerReference w:type="default" r:id="rId193"/>
          <w:headerReference w:type="first" r:id="rId194"/>
          <w:footerReference w:type="first" r:id="rId195"/>
          <w:pgSz w:w="11899" w:h="16838"/>
          <w:pgMar w:top="570" w:right="665" w:bottom="562" w:left="683" w:header="334" w:footer="290" w:gutter="0"/>
          <w:cols w:space="720"/>
        </w:sectPr>
      </w:pPr>
    </w:p>
    <w:p w:rsidR="008E3F15" w:rsidRDefault="005F449A">
      <w:pPr>
        <w:spacing w:after="5" w:line="259" w:lineRule="auto"/>
        <w:ind w:left="-210" w:right="0" w:firstLine="0"/>
      </w:pPr>
      <w:r>
        <w:rPr>
          <w:noProof/>
        </w:rPr>
        <w:drawing>
          <wp:inline distT="0" distB="0" distL="0" distR="0">
            <wp:extent cx="6745224" cy="326136"/>
            <wp:effectExtent l="0" t="0" r="0" b="0"/>
            <wp:docPr id="352715" name="Picture 352715"/>
            <wp:cNvGraphicFramePr/>
            <a:graphic xmlns:a="http://schemas.openxmlformats.org/drawingml/2006/main">
              <a:graphicData uri="http://schemas.openxmlformats.org/drawingml/2006/picture">
                <pic:pic xmlns:pic="http://schemas.openxmlformats.org/drawingml/2006/picture">
                  <pic:nvPicPr>
                    <pic:cNvPr id="352715" name="Picture 352715"/>
                    <pic:cNvPicPr/>
                  </pic:nvPicPr>
                  <pic:blipFill>
                    <a:blip r:embed="rId196"/>
                    <a:stretch>
                      <a:fillRect/>
                    </a:stretch>
                  </pic:blipFill>
                  <pic:spPr>
                    <a:xfrm>
                      <a:off x="0" y="0"/>
                      <a:ext cx="6745224" cy="326136"/>
                    </a:xfrm>
                    <a:prstGeom prst="rect">
                      <a:avLst/>
                    </a:prstGeom>
                  </pic:spPr>
                </pic:pic>
              </a:graphicData>
            </a:graphic>
          </wp:inline>
        </w:drawing>
      </w:r>
    </w:p>
    <w:p w:rsidR="008E3F15" w:rsidRDefault="005F449A">
      <w:pPr>
        <w:spacing w:after="31"/>
        <w:ind w:left="2" w:right="15"/>
      </w:pPr>
      <w:r>
        <w:t xml:space="preserve">вызванных алкоголем, обусловлены </w:t>
      </w:r>
      <w:r>
        <w:t>приемом небольшого количества алкоголя (</w:t>
      </w:r>
      <w:r>
        <w:rPr>
          <w:b/>
        </w:rPr>
        <w:t>рис. 20.5</w:t>
      </w:r>
      <w:r>
        <w:t>).</w:t>
      </w:r>
    </w:p>
    <w:p w:rsidR="008E3F15" w:rsidRDefault="005F449A">
      <w:pPr>
        <w:spacing w:after="65" w:line="259" w:lineRule="auto"/>
        <w:ind w:left="0" w:right="0" w:firstLine="0"/>
      </w:pPr>
      <w:r>
        <w:rPr>
          <w:noProof/>
        </w:rPr>
        <w:drawing>
          <wp:inline distT="0" distB="0" distL="0" distR="0">
            <wp:extent cx="5057775" cy="3705225"/>
            <wp:effectExtent l="0" t="0" r="0" b="0"/>
            <wp:docPr id="24004" name="Picture 24004"/>
            <wp:cNvGraphicFramePr/>
            <a:graphic xmlns:a="http://schemas.openxmlformats.org/drawingml/2006/main">
              <a:graphicData uri="http://schemas.openxmlformats.org/drawingml/2006/picture">
                <pic:pic xmlns:pic="http://schemas.openxmlformats.org/drawingml/2006/picture">
                  <pic:nvPicPr>
                    <pic:cNvPr id="24004" name="Picture 24004"/>
                    <pic:cNvPicPr/>
                  </pic:nvPicPr>
                  <pic:blipFill>
                    <a:blip r:embed="rId197"/>
                    <a:stretch>
                      <a:fillRect/>
                    </a:stretch>
                  </pic:blipFill>
                  <pic:spPr>
                    <a:xfrm>
                      <a:off x="0" y="0"/>
                      <a:ext cx="5057775" cy="3705225"/>
                    </a:xfrm>
                    <a:prstGeom prst="rect">
                      <a:avLst/>
                    </a:prstGeom>
                  </pic:spPr>
                </pic:pic>
              </a:graphicData>
            </a:graphic>
          </wp:inline>
        </w:drawing>
      </w:r>
    </w:p>
    <w:p w:rsidR="008E3F15" w:rsidRDefault="005F449A">
      <w:pPr>
        <w:spacing w:after="31"/>
        <w:ind w:left="2" w:right="15"/>
      </w:pPr>
      <w:r>
        <w:rPr>
          <w:b/>
        </w:rPr>
        <w:t xml:space="preserve">Рис. 20.5. </w:t>
      </w:r>
      <w:r>
        <w:t>Связь рака и потребления алкоголя в Евроcоюзе (Rovira P., Rehm J., 2021)</w:t>
      </w:r>
    </w:p>
    <w:p w:rsidR="008E3F15" w:rsidRDefault="005F449A">
      <w:pPr>
        <w:ind w:left="2" w:right="131"/>
      </w:pPr>
      <w:r>
        <w:t>Почти 11% злокачественных новообразований в Европе обусловлены ожирением (Bardou M. et al., 2022). Риск рака тела матк</w:t>
      </w:r>
      <w:r>
        <w:t>и, молочной железы, толстой кишки, предстательной железы пропорционален степени ожирения. Предрасположенность к раку тела матки и раку молочной железы при ожирении объясняется избыточным образованием эстрогенов в жировой ткани. Бариатрическая хирургия у па</w:t>
      </w:r>
      <w:r>
        <w:t>циентов с ожирением может снизить риск злокачественных новообразований (Sjöholm K. et al., 2022; Rustgi V. et al., 2021).</w:t>
      </w:r>
    </w:p>
    <w:p w:rsidR="008E3F15" w:rsidRDefault="005F449A">
      <w:pPr>
        <w:spacing w:after="359"/>
        <w:ind w:left="2" w:right="93"/>
      </w:pPr>
      <w:r>
        <w:t>В настоящее время доказан повышенный риск некоторых форм рака среди родственников пациентов первой [родители, дети, братья и сестры (с</w:t>
      </w:r>
      <w:r>
        <w:t xml:space="preserve">ибсы)] и второй (бабушки, дедушки, тети, дяди, внуки, племянники, племянницы) степеней родства. Для врожденных видов рака характерно: развитие поражения в парных органах, ранний возраст заболевания, высокая пенетрантность (частота проявления заболевания у </w:t>
      </w:r>
      <w:r>
        <w:t>носителей мутаций), вертикальная передача (от родителей к детям) и связь с другими типами опухолей. Благодаря успехам молекулярной генетики выделены гены, связанные с врожденной подверженностью раку, разработаны рекомендации по скринингу пациентов с повыше</w:t>
      </w:r>
      <w:r>
        <w:t>нным риском рака и членов их семей.</w:t>
      </w:r>
    </w:p>
    <w:p w:rsidR="008E3F15" w:rsidRDefault="005F449A">
      <w:pPr>
        <w:pStyle w:val="Heading1"/>
        <w:ind w:left="2"/>
      </w:pPr>
      <w:r>
        <w:t>Часть II. Коморбидные болезни</w:t>
      </w:r>
    </w:p>
    <w:p w:rsidR="008E3F15" w:rsidRDefault="005F449A">
      <w:pPr>
        <w:spacing w:after="31"/>
        <w:ind w:left="2" w:right="15"/>
      </w:pPr>
      <w:r>
        <w:t>Скрининг и диагностика</w:t>
      </w:r>
    </w:p>
    <w:p w:rsidR="008E3F15" w:rsidRDefault="005F449A">
      <w:pPr>
        <w:ind w:left="2" w:right="15"/>
      </w:pPr>
      <w:r>
        <w:t>Под скринингом понимается систематическое проведение тестов в бессимптомных популяциях. Его целью является выявление людей с нарушениями, позволяющими предполагать как</w:t>
      </w:r>
      <w:r>
        <w:t>ие-либо определенные раковые заболевания или предрак, и быстрое направление таких людей для диагностирования и лечения (ВОЗ).</w:t>
      </w:r>
    </w:p>
    <w:p w:rsidR="008E3F15" w:rsidRDefault="005F449A">
      <w:pPr>
        <w:ind w:left="2" w:right="151"/>
      </w:pPr>
      <w:r>
        <w:t>Ежегодное наблюдение в системе первичной медицинской помощи до постановки диагноза рака было связано со значительным снижением чис</w:t>
      </w:r>
      <w:r>
        <w:t>ла метастатических заболеваний (–39%) и смертности от рака (–21%) (Qiao E. et al., 2022).</w:t>
      </w:r>
    </w:p>
    <w:p w:rsidR="008E3F15" w:rsidRDefault="005F449A">
      <w:pPr>
        <w:ind w:left="2" w:right="449"/>
      </w:pPr>
      <w:r>
        <w:t>В целях систематизации учета и диспансерного наблюдения все онкологические больные подразделяются на 4 клинические группы, в том числе группа Ia, включающая пациентов с подозрением на рак, и группа Iб — пациенты с предопухолевыми заболеваниями.</w:t>
      </w:r>
    </w:p>
    <w:p w:rsidR="008E3F15" w:rsidRDefault="005F449A">
      <w:pPr>
        <w:ind w:left="2" w:right="100"/>
      </w:pPr>
      <w:r>
        <w:t>При повышен</w:t>
      </w:r>
      <w:r>
        <w:t>ном риске злокачественного новообразования, который оценивает участковый терапевт, врач общей практики или фельдшер, пациент направляется в центр амбулаторной онкологической помощи, а при его отсутствии — в первичный онкологический кабинет или поликлиничес</w:t>
      </w:r>
      <w:r>
        <w:t>кое отделение онкологического диспансера (приказ № 116н).</w:t>
      </w:r>
    </w:p>
    <w:p w:rsidR="008E3F15" w:rsidRDefault="005F449A">
      <w:pPr>
        <w:ind w:left="2" w:right="321"/>
      </w:pPr>
      <w:r>
        <w:t>В качестве общего скрининга на рак Американское онкологическое общество рекомендует для лиц 20–39 лет профилактические осмотры врачом 1 раз в 3 года, а для лиц старше 40 лет — ежегодно.</w:t>
      </w:r>
    </w:p>
    <w:p w:rsidR="008E3F15" w:rsidRDefault="005F449A">
      <w:pPr>
        <w:ind w:left="2" w:right="15"/>
      </w:pPr>
      <w:r>
        <w:t>Во время кон</w:t>
      </w:r>
      <w:r>
        <w:t>сультации осматриваются кожа и ротовая полость. Проводится пальпация лимфоузлов, молочных желез, щитовидной железы, живота, пальцевое исследование прямой кишки и предстательной железы, органов мошонки.</w:t>
      </w:r>
    </w:p>
    <w:p w:rsidR="008E3F15" w:rsidRDefault="005F449A">
      <w:pPr>
        <w:ind w:left="2" w:right="276"/>
      </w:pPr>
      <w:r>
        <w:t xml:space="preserve">Кроме того, дают советы по профилактике рака, включая </w:t>
      </w:r>
      <w:r>
        <w:t>такие факторы риска, как курение, инсоляция, питание, профессиональные факторы, сексуальные контакты. Нет доказательств, что скрининг рака снижает общую смертность и увеличивает</w:t>
      </w:r>
    </w:p>
    <w:p w:rsidR="008E3F15" w:rsidRDefault="005F449A">
      <w:pPr>
        <w:ind w:left="2" w:right="15"/>
      </w:pPr>
      <w:r>
        <w:t>продолжительность жизни (</w:t>
      </w:r>
      <w:r>
        <w:rPr>
          <w:b/>
        </w:rPr>
        <w:t>табл. 20.1</w:t>
      </w:r>
      <w:r>
        <w:t>; Bretthauer M. et al., 2023). На эффективн</w:t>
      </w:r>
      <w:r>
        <w:t>ость скрининга существенно влияет скорость развития рака.</w:t>
      </w:r>
    </w:p>
    <w:p w:rsidR="008E3F15" w:rsidRDefault="005F449A">
      <w:pPr>
        <w:spacing w:after="31"/>
        <w:ind w:left="2" w:right="15"/>
      </w:pPr>
      <w:r>
        <w:rPr>
          <w:b/>
        </w:rPr>
        <w:t xml:space="preserve">Таблица 20.1. </w:t>
      </w:r>
      <w:r>
        <w:t>Эффективность скрининга рака разной локализации</w:t>
      </w:r>
    </w:p>
    <w:tbl>
      <w:tblPr>
        <w:tblStyle w:val="TableGrid"/>
        <w:tblW w:w="7410" w:type="dxa"/>
        <w:tblInd w:w="30" w:type="dxa"/>
        <w:tblCellMar>
          <w:top w:w="80" w:type="dxa"/>
          <w:left w:w="45" w:type="dxa"/>
          <w:bottom w:w="0" w:type="dxa"/>
          <w:right w:w="40" w:type="dxa"/>
        </w:tblCellMar>
        <w:tblLook w:val="04A0" w:firstRow="1" w:lastRow="0" w:firstColumn="1" w:lastColumn="0" w:noHBand="0" w:noVBand="1"/>
      </w:tblPr>
      <w:tblGrid>
        <w:gridCol w:w="2715"/>
        <w:gridCol w:w="2385"/>
        <w:gridCol w:w="2310"/>
      </w:tblGrid>
      <w:tr w:rsidR="008E3F15">
        <w:trPr>
          <w:trHeight w:val="660"/>
        </w:trPr>
        <w:tc>
          <w:tcPr>
            <w:tcW w:w="2715" w:type="dxa"/>
            <w:tcBorders>
              <w:top w:val="double" w:sz="6" w:space="0" w:color="000000"/>
              <w:left w:val="double" w:sz="6" w:space="0" w:color="000000"/>
              <w:bottom w:val="double" w:sz="6" w:space="0" w:color="000000"/>
              <w:right w:val="single" w:sz="6" w:space="0" w:color="000000"/>
            </w:tcBorders>
            <w:vAlign w:val="center"/>
          </w:tcPr>
          <w:p w:rsidR="008E3F15" w:rsidRDefault="005F449A">
            <w:pPr>
              <w:spacing w:after="0" w:line="259" w:lineRule="auto"/>
              <w:ind w:left="0" w:right="0" w:firstLine="0"/>
            </w:pPr>
            <w:r>
              <w:rPr>
                <w:b/>
              </w:rPr>
              <w:t>Локализация рака</w:t>
            </w:r>
          </w:p>
        </w:tc>
        <w:tc>
          <w:tcPr>
            <w:tcW w:w="4695" w:type="dxa"/>
            <w:gridSpan w:val="2"/>
            <w:tcBorders>
              <w:top w:val="single" w:sz="6" w:space="0" w:color="000000"/>
              <w:left w:val="nil"/>
              <w:bottom w:val="single" w:sz="6" w:space="0" w:color="000000"/>
              <w:right w:val="single" w:sz="6" w:space="0" w:color="000000"/>
            </w:tcBorders>
          </w:tcPr>
          <w:p w:rsidR="008E3F15" w:rsidRDefault="005F449A">
            <w:pPr>
              <w:spacing w:after="5" w:line="259" w:lineRule="auto"/>
              <w:ind w:left="5" w:right="0" w:firstLine="0"/>
            </w:pPr>
            <w:r>
              <w:rPr>
                <w:b/>
                <w:bdr w:val="single" w:sz="12" w:space="0" w:color="000000"/>
              </w:rPr>
              <w:t>Доказательства снижения смертности</w:t>
            </w:r>
          </w:p>
          <w:p w:rsidR="008E3F15" w:rsidRDefault="005F449A">
            <w:pPr>
              <w:spacing w:after="0" w:line="259" w:lineRule="auto"/>
              <w:ind w:left="5" w:right="0" w:firstLine="0"/>
              <w:jc w:val="both"/>
            </w:pPr>
            <w:r>
              <w:rPr>
                <w:b/>
                <w:bdr w:val="single" w:sz="12" w:space="0" w:color="000000"/>
              </w:rPr>
              <w:t>Смертность от рака Общая смертность</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Грудная железа</w:t>
            </w:r>
          </w:p>
        </w:tc>
        <w:tc>
          <w:tcPr>
            <w:tcW w:w="238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Желудок</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Кожа</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Легкие</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Печень</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vMerge w:val="restart"/>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Поджелудочная железа</w:t>
            </w:r>
          </w:p>
          <w:p w:rsidR="008E3F15" w:rsidRDefault="005F449A">
            <w:pPr>
              <w:spacing w:after="0" w:line="259" w:lineRule="auto"/>
              <w:ind w:left="0" w:right="0" w:firstLine="0"/>
              <w:jc w:val="both"/>
            </w:pPr>
            <w:r>
              <w:rPr>
                <w:bdr w:val="single" w:sz="12" w:space="0" w:color="000000"/>
              </w:rPr>
              <w:t>Предстательная железа</w:t>
            </w:r>
          </w:p>
        </w:tc>
        <w:tc>
          <w:tcPr>
            <w:tcW w:w="23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0" w:type="auto"/>
            <w:vMerge/>
            <w:tcBorders>
              <w:top w:val="nil"/>
              <w:left w:val="single" w:sz="6" w:space="0" w:color="000000"/>
              <w:bottom w:val="single" w:sz="6" w:space="0" w:color="000000"/>
              <w:right w:val="nil"/>
            </w:tcBorders>
          </w:tcPr>
          <w:p w:rsidR="008E3F15" w:rsidRDefault="008E3F15">
            <w:pPr>
              <w:spacing w:after="160" w:line="259" w:lineRule="auto"/>
              <w:ind w:left="0" w:right="0" w:firstLine="0"/>
            </w:pPr>
          </w:p>
        </w:tc>
        <w:tc>
          <w:tcPr>
            <w:tcW w:w="238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Толстый кишечник</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Шейка матки</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Яичники</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r w:rsidR="008E3F15">
        <w:trPr>
          <w:trHeight w:val="330"/>
        </w:trPr>
        <w:tc>
          <w:tcPr>
            <w:tcW w:w="271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Щитовидная железа</w:t>
            </w:r>
          </w:p>
        </w:tc>
        <w:tc>
          <w:tcPr>
            <w:tcW w:w="238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5" w:right="0" w:firstLine="0"/>
            </w:pPr>
            <w:r>
              <w:t>–</w:t>
            </w:r>
          </w:p>
        </w:tc>
        <w:tc>
          <w:tcPr>
            <w:tcW w:w="2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7" w:right="0" w:firstLine="0"/>
            </w:pPr>
            <w:r>
              <w:t>–</w:t>
            </w:r>
          </w:p>
        </w:tc>
      </w:tr>
    </w:tbl>
    <w:p w:rsidR="008E3F15" w:rsidRDefault="005F449A">
      <w:pPr>
        <w:ind w:left="2" w:right="15"/>
      </w:pPr>
      <w:r>
        <w:rPr>
          <w:b/>
        </w:rPr>
        <w:t xml:space="preserve">Диагностика рака в практике интерниста. </w:t>
      </w:r>
      <w:r>
        <w:t>В большинстве случаев (64%) рак диагностируется после появления симптомов, а с помощью программ скрининга — только 7% (Swann R. et al., 2018).</w:t>
      </w:r>
    </w:p>
    <w:p w:rsidR="008E3F15" w:rsidRDefault="005F449A">
      <w:pPr>
        <w:ind w:left="2" w:right="106"/>
      </w:pPr>
      <w:r>
        <w:t>Подозрение на злокачественное новообразование возникает обычно у пациентов в возрасте &gt;50 лет, имеющих предраковые заболевания в анамнезе, семейный анамнез рака, курящих, с неясных похуданием и лимфаденопатией.</w:t>
      </w:r>
    </w:p>
    <w:p w:rsidR="008E3F15" w:rsidRDefault="005F449A">
      <w:pPr>
        <w:ind w:left="2" w:right="417"/>
      </w:pPr>
      <w:r>
        <w:t>Риск рака у амбулаторных пациентов с необъясн</w:t>
      </w:r>
      <w:r>
        <w:t>имым похуданием составляет всего 2%, но заметно возрастает при наличии других факторов риска (возраст &gt;50 лет, курение, мужчины, боли, тромбоцитоз и т.д.) (Nicholson B . et al., 2020).</w:t>
      </w:r>
    </w:p>
    <w:p w:rsidR="008E3F15" w:rsidRDefault="005F449A">
      <w:pPr>
        <w:spacing w:after="179"/>
        <w:ind w:left="2" w:right="15"/>
      </w:pPr>
      <w:r>
        <w:t xml:space="preserve">Почти у 20% пациентов с раком описывают связанный с секрецией активных </w:t>
      </w:r>
      <w:r>
        <w:t>веществ опухолью или перекрестными иммунологическими реакциями паранеопластический синдром в виде симптомов, удаленных от локального новообразования:</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48032"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43674" name="Group 34367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4166" name="Shape 2416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168" name="Shape 24168"/>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171" name="Shape 24171"/>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173" name="Shape 24173"/>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3674" style="width:4.5pt;height:52.5pt;position:absolute;mso-position-horizontal-relative:text;mso-position-horizontal:absolute;margin-left:16.5pt;mso-position-vertical-relative:text;margin-top:2.73438pt;" coordsize="571,6667">
                <v:shape id="Shape 24166" style="position:absolute;width:571;height:571;left:0;top:0;" coordsize="57150,57150" path="m28575,0c32364,0,36009,794,39510,2183c43011,3373,46101,5358,48781,8136c51460,10716,53525,13891,54975,17463c56425,20836,57150,24606,57150,28575c57150,32345,56425,35917,54975,39291c53525,42664,51460,45839,48781,48617c46101,51395,43011,53380,39510,54769c36009,56356,32364,56952,28575,57150c24786,56952,21141,56356,17640,54769c14139,53380,11049,51395,8369,48617c5690,45839,3625,42664,2175,39291c725,35917,0,32345,0,28575c0,24606,725,20836,2175,17463c3625,13891,5690,10716,8369,8136c11049,5358,14139,3373,17640,2183c21141,794,24786,0,28575,0x">
                  <v:stroke weight="0pt" endcap="flat" joinstyle="miter" miterlimit="4" on="false" color="#000000" opacity="0"/>
                  <v:fill on="true" color="#333333"/>
                </v:shape>
                <v:shape id="Shape 24168" style="position:absolute;width:571;height:571;left:0;top:1524;" coordsize="57150,57150" path="m28575,0c32364,0,36009,794,39510,2183c43011,3373,46101,5556,48781,8136c51460,10716,53525,13692,54975,17264c56425,20836,57150,24606,57150,28575c57150,32345,56425,35917,54975,39291c53525,42664,51460,45839,48781,48617c46101,51197,43011,53181,39510,54769c36009,56356,32364,56952,28575,57150c24786,56952,21141,56356,17640,54769c14139,53181,11049,51197,8369,48617c5690,45839,3625,42664,2175,39291c725,35917,0,32345,0,28575c0,24606,725,20836,2175,17264c3625,13692,5690,10716,8369,8136c11049,5556,14139,3373,17640,2183c21141,794,24786,0,28575,0x">
                  <v:stroke weight="0pt" endcap="flat" joinstyle="miter" miterlimit="4" on="false" color="#000000" opacity="0"/>
                  <v:fill on="true" color="#333333"/>
                </v:shape>
                <v:shape id="Shape 24171" style="position:absolute;width:571;height:571;left:0;top:4572;" coordsize="57150,57150" path="m28575,0c32364,0,36009,794,39510,2183c43011,3373,46101,5556,48781,8136c51460,10716,53525,13692,54975,17264c56425,20836,57150,24606,57150,28575c57150,32345,56425,35917,54975,39291c53525,42664,51460,45839,48781,48617c46101,51197,43011,53181,39510,54769c36009,56356,32364,56952,28575,57150c24786,56952,21141,56356,17640,54769c14139,53181,11049,51197,8369,48617c5690,45839,3625,42664,2175,39291c725,35917,0,32345,0,28575c0,24606,725,20836,2175,17264c3625,13692,5690,10716,8369,8136c11049,5556,14139,3373,17640,2183c21141,794,24786,0,28575,0x">
                  <v:stroke weight="0pt" endcap="flat" joinstyle="miter" miterlimit="4" on="false" color="#000000" opacity="0"/>
                  <v:fill on="true" color="#333333"/>
                </v:shape>
                <v:shape id="Shape 24173" style="position:absolute;width:571;height:571;left:0;top:6096;" coordsize="57150,57150" path="m28575,0c32364,0,36009,595,39510,1984c43011,3373,46101,5358,48781,8136c51460,10716,53525,13891,54975,17264c56425,20836,57150,24606,57150,28575c57150,32345,56425,35917,54975,39291c53525,42664,51460,45839,48781,48617c46101,51197,43011,53380,39510,54769c36009,56356,32364,56952,28575,57150c24786,56952,21141,56356,17640,54769c14139,53380,11049,51197,8369,48617c5690,45839,3625,42664,2175,39291c725,35917,0,32345,0,28575c0,24606,725,20836,2175,17264c3625,13891,5690,10716,8369,8136c11049,5358,14139,3373,17640,1984c21141,595,24786,0,28575,0x">
                  <v:stroke weight="0pt" endcap="flat" joinstyle="miter" miterlimit="4" on="false" color="#000000" opacity="0"/>
                  <v:fill on="true" color="#333333"/>
                </v:shape>
                <w10:wrap type="square"/>
              </v:group>
            </w:pict>
          </mc:Fallback>
        </mc:AlternateContent>
      </w:r>
      <w:r>
        <w:t>лихорадка;</w:t>
      </w:r>
    </w:p>
    <w:p w:rsidR="008E3F15" w:rsidRDefault="005F449A">
      <w:pPr>
        <w:ind w:left="340" w:right="868"/>
      </w:pPr>
      <w:r>
        <w:t>анемия, эритроцитоз, лейкоцитоз, тромбоцитоз, тромбоцитопения, эозинофилия, повышение скорости</w:t>
      </w:r>
      <w:r>
        <w:t xml:space="preserve"> оседания эритроцитов; гипогликемия, гипергликемия, гипонатриемия;</w:t>
      </w:r>
    </w:p>
    <w:p w:rsidR="008E3F15" w:rsidRDefault="005F449A">
      <w:pPr>
        <w:spacing w:after="179"/>
        <w:ind w:left="340" w:right="15"/>
      </w:pPr>
      <w:r>
        <w:t>артрит, сыпь, синдром Кушинга, мембранозный гломерулонефрит, периферическая невропатия, дерматомиозит.</w:t>
      </w:r>
    </w:p>
    <w:p w:rsidR="008E3F15" w:rsidRDefault="005F449A">
      <w:pPr>
        <w:ind w:left="2" w:right="15"/>
      </w:pPr>
      <w:r>
        <w:t>Часто встречающиеся симптомы и признаки, причиной которых может являться рак, показаны</w:t>
      </w:r>
      <w:r>
        <w:t xml:space="preserve"> в </w:t>
      </w:r>
      <w:r>
        <w:rPr>
          <w:b/>
        </w:rPr>
        <w:t>табл. 20.2</w:t>
      </w:r>
      <w:r>
        <w:t>.</w:t>
      </w:r>
    </w:p>
    <w:p w:rsidR="008E3F15" w:rsidRDefault="005F449A">
      <w:pPr>
        <w:spacing w:after="31"/>
        <w:ind w:left="2" w:right="15"/>
      </w:pPr>
      <w:r>
        <w:rPr>
          <w:b/>
        </w:rPr>
        <w:t xml:space="preserve">Таблица 20.2. </w:t>
      </w:r>
      <w:r>
        <w:t>Часто встречающиеся симптомы, возможные при раке (ВОЗ)</w:t>
      </w:r>
    </w:p>
    <w:tbl>
      <w:tblPr>
        <w:tblStyle w:val="TableGrid"/>
        <w:tblW w:w="10485" w:type="dxa"/>
        <w:tblInd w:w="30" w:type="dxa"/>
        <w:tblCellMar>
          <w:top w:w="58" w:type="dxa"/>
          <w:left w:w="41" w:type="dxa"/>
          <w:bottom w:w="0" w:type="dxa"/>
          <w:right w:w="65" w:type="dxa"/>
        </w:tblCellMar>
        <w:tblLook w:val="04A0" w:firstRow="1" w:lastRow="0" w:firstColumn="1" w:lastColumn="0" w:noHBand="0" w:noVBand="1"/>
      </w:tblPr>
      <w:tblGrid>
        <w:gridCol w:w="2175"/>
        <w:gridCol w:w="8310"/>
      </w:tblGrid>
      <w:tr w:rsidR="008E3F15">
        <w:trPr>
          <w:trHeight w:val="57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Локализация рака</w:t>
            </w:r>
          </w:p>
        </w:tc>
        <w:tc>
          <w:tcPr>
            <w:tcW w:w="8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rPr>
                <w:b/>
              </w:rPr>
              <w:t>Симптомы</w:t>
            </w:r>
          </w:p>
        </w:tc>
      </w:tr>
      <w:tr w:rsidR="008E3F15">
        <w:trPr>
          <w:trHeight w:val="105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Молочная железа</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Узловатое уплотнение в молочной железе, асимметрия молочных желез, втяжение кожи на ограниченном участке — «лимонная корочка», втяжение соска, сукровичные выделения из соска, экзематозные изменения ареолы</w:t>
            </w:r>
          </w:p>
        </w:tc>
      </w:tr>
      <w:tr w:rsidR="008E3F15">
        <w:trPr>
          <w:trHeight w:val="33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Шейка матки</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Кровотечение после полового акта, обил</w:t>
            </w:r>
            <w:r>
              <w:t>ьные выделения из влагалища</w:t>
            </w:r>
          </w:p>
        </w:tc>
      </w:tr>
      <w:tr w:rsidR="008E3F15">
        <w:trPr>
          <w:trHeight w:val="81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Толстая кишка</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Изменение частоты опорожнения кишечника, беспричинная потеря веса, анемия, кровянистые примеси в каловых массах (рак прямой кишки)</w:t>
            </w:r>
          </w:p>
        </w:tc>
      </w:tr>
      <w:tr w:rsidR="008E3F15">
        <w:trPr>
          <w:trHeight w:val="548"/>
        </w:trPr>
        <w:tc>
          <w:tcPr>
            <w:tcW w:w="217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4" w:right="0" w:firstLine="0"/>
            </w:pPr>
            <w:r>
              <w:t>Ротовая полость</w:t>
            </w:r>
          </w:p>
        </w:tc>
        <w:tc>
          <w:tcPr>
            <w:tcW w:w="83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Белесые (лейкоплакия) или красные (эритроплакия) очаги изменения слизистой ротовой полости в виде язв или уплотнений</w:t>
            </w:r>
          </w:p>
        </w:tc>
      </w:tr>
      <w:tr w:rsidR="008E3F15">
        <w:trPr>
          <w:trHeight w:val="33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548"/>
        </w:trPr>
        <w:tc>
          <w:tcPr>
            <w:tcW w:w="217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Носоглотка</w:t>
            </w:r>
          </w:p>
        </w:tc>
        <w:tc>
          <w:tcPr>
            <w:tcW w:w="83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Носовое кровотечение, постоянная заложенность носа, снижение слуха, увеличение шейных лимфоузлов в верхней части шеи</w:t>
            </w:r>
          </w:p>
        </w:tc>
      </w:tr>
      <w:tr w:rsidR="008E3F15">
        <w:trPr>
          <w:trHeight w:val="33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Гортань</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Стойкая охриплость голоса</w:t>
            </w:r>
          </w:p>
        </w:tc>
      </w:tr>
      <w:tr w:rsidR="008E3F15">
        <w:trPr>
          <w:trHeight w:val="57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Желудок</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Боль в эпигастральной области, недавно начавшиеся приступы несварения желудка, потеря веса</w:t>
            </w:r>
          </w:p>
        </w:tc>
      </w:tr>
      <w:tr w:rsidR="008E3F15">
        <w:trPr>
          <w:trHeight w:val="81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Меланома кожи</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Образование на коже коричневого цвета с неправильными очертаниями или участками пятнистой окраски, которое может вызывать зуд или кровоточить</w:t>
            </w:r>
          </w:p>
        </w:tc>
      </w:tr>
      <w:tr w:rsidR="008E3F15">
        <w:trPr>
          <w:trHeight w:val="57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Другие формы рака кожи</w:t>
            </w:r>
          </w:p>
        </w:tc>
        <w:tc>
          <w:tcPr>
            <w:tcW w:w="83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Новообразование или незаживающая язва на коже</w:t>
            </w:r>
          </w:p>
        </w:tc>
      </w:tr>
      <w:tr w:rsidR="008E3F15">
        <w:trPr>
          <w:trHeight w:val="570"/>
        </w:trPr>
        <w:tc>
          <w:tcPr>
            <w:tcW w:w="217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4" w:right="0" w:firstLine="0"/>
            </w:pPr>
            <w:r>
              <w:t>Мочевой пузырь</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Болезненное, учащенное или затрудненное мочеиспускание, примеси крови в моче</w:t>
            </w:r>
          </w:p>
        </w:tc>
      </w:tr>
      <w:tr w:rsidR="008E3F15">
        <w:trPr>
          <w:trHeight w:val="33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Яичко</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Увеличение одного яичка (асимметрия яичек)</w:t>
            </w:r>
          </w:p>
        </w:tc>
      </w:tr>
      <w:tr w:rsidR="008E3F15">
        <w:trPr>
          <w:trHeight w:val="57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Предстательная железа</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Затрудненное мочеиспускание в течение длительного времени, частые ночные позывы к мочеиспусканию</w:t>
            </w:r>
          </w:p>
        </w:tc>
      </w:tr>
      <w:tr w:rsidR="008E3F15">
        <w:trPr>
          <w:trHeight w:val="330"/>
        </w:trPr>
        <w:tc>
          <w:tcPr>
            <w:tcW w:w="217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Ретинобластома</w:t>
            </w:r>
          </w:p>
        </w:tc>
        <w:tc>
          <w:tcPr>
            <w:tcW w:w="83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Эффект белого зрачка, сходящееся косоглазие (у ребенка)</w:t>
            </w:r>
          </w:p>
        </w:tc>
      </w:tr>
    </w:tbl>
    <w:p w:rsidR="008E3F15" w:rsidRDefault="005F449A">
      <w:pPr>
        <w:pStyle w:val="Heading1"/>
        <w:ind w:left="2"/>
      </w:pPr>
      <w:r>
        <w:t>Часть II. Коморбидные болезни</w:t>
      </w:r>
    </w:p>
    <w:p w:rsidR="008E3F15" w:rsidRDefault="005F449A">
      <w:pPr>
        <w:spacing w:after="179"/>
        <w:ind w:left="2" w:right="15"/>
      </w:pPr>
      <w:r>
        <w:t>В этих случаях для диагностики наиболее распространенных видов рака целесообразно провести обследование:</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49056" behindDoc="0" locked="0" layoutInCell="1" allowOverlap="1">
                <wp:simplePos x="0" y="0"/>
                <wp:positionH relativeFrom="column">
                  <wp:posOffset>209550</wp:posOffset>
                </wp:positionH>
                <wp:positionV relativeFrom="paragraph">
                  <wp:posOffset>34727</wp:posOffset>
                </wp:positionV>
                <wp:extent cx="57150" cy="1428750"/>
                <wp:effectExtent l="0" t="0" r="0" b="0"/>
                <wp:wrapSquare wrapText="bothSides"/>
                <wp:docPr id="340318" name="Group 340318"/>
                <wp:cNvGraphicFramePr/>
                <a:graphic xmlns:a="http://schemas.openxmlformats.org/drawingml/2006/main">
                  <a:graphicData uri="http://schemas.microsoft.com/office/word/2010/wordprocessingGroup">
                    <wpg:wgp>
                      <wpg:cNvGrpSpPr/>
                      <wpg:grpSpPr>
                        <a:xfrm>
                          <a:off x="0" y="0"/>
                          <a:ext cx="57150" cy="1428750"/>
                          <a:chOff x="0" y="0"/>
                          <a:chExt cx="57150" cy="1428750"/>
                        </a:xfrm>
                      </wpg:grpSpPr>
                      <wps:wsp>
                        <wps:cNvPr id="24266" name="Shape 2426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68" name="Shape 24268"/>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71" name="Shape 24271"/>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73" name="Shape 24273"/>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75" name="Shape 24275"/>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77" name="Shape 24277"/>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79" name="Shape 24279"/>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81" name="Shape 24281"/>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283" name="Shape 24283"/>
                        <wps:cNvSpPr/>
                        <wps:spPr>
                          <a:xfrm>
                            <a:off x="0" y="13716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0318" style="width:4.5pt;height:112.5pt;position:absolute;mso-position-horizontal-relative:text;mso-position-horizontal:absolute;margin-left:16.5pt;mso-position-vertical-relative:text;margin-top:2.73438pt;" coordsize="571,14287">
                <v:shape id="Shape 24266" style="position:absolute;width:571;height:571;left:0;top:0;"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4" on="false" color="#000000" opacity="0"/>
                  <v:fill on="true" color="#333333"/>
                </v:shape>
                <v:shape id="Shape 24268" style="position:absolute;width:571;height:571;left:0;top:1524;"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4" on="false" color="#000000" opacity="0"/>
                  <v:fill on="true" color="#333333"/>
                </v:shape>
                <v:shape id="Shape 24271" style="position:absolute;width:571;height:571;left:0;top:4572;"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4273" style="position:absolute;width:571;height:571;left:0;top:6096;"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4" on="false" color="#000000" opacity="0"/>
                  <v:fill on="true" color="#333333"/>
                </v:shape>
                <v:shape id="Shape 24275" style="position:absolute;width:571;height:571;left:0;top:7620;"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4277" style="position:absolute;width:571;height:571;left:0;top:9144;"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4" on="false" color="#000000" opacity="0"/>
                  <v:fill on="true" color="#333333"/>
                </v:shape>
                <v:shape id="Shape 24279" style="position:absolute;width:571;height:571;left:0;top:10668;"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4281" style="position:absolute;width:571;height:571;left:0;top:12192;" coordsize="57150,57150" path="m28575,0c32364,0,36009,794,39510,2183c43011,3373,46101,5556,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556,14139,3373,17640,2183c21141,794,24786,0,28575,0x">
                  <v:stroke weight="0pt" endcap="flat" joinstyle="miter" miterlimit="4" on="false" color="#000000" opacity="0"/>
                  <v:fill on="true" color="#333333"/>
                </v:shape>
                <v:shape id="Shape 24283" style="position:absolute;width:571;height:571;left:0;top:13716;" coordsize="57150,57150" path="m28575,0c32364,0,36009,794,39510,2183c43011,3373,46101,5358,48781,8136c51460,10716,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716,8369,8136c11049,5358,14139,3373,17640,2183c21141,794,24786,0,28575,0x">
                  <v:stroke weight="0pt" endcap="flat" joinstyle="miter" miterlimit="4" on="false" color="#000000" opacity="0"/>
                  <v:fill on="true" color="#333333"/>
                </v:shape>
                <w10:wrap type="square"/>
              </v:group>
            </w:pict>
          </mc:Fallback>
        </mc:AlternateContent>
      </w:r>
      <w:r>
        <w:t>консультация гинеколога;</w:t>
      </w:r>
    </w:p>
    <w:p w:rsidR="008E3F15" w:rsidRDefault="005F449A">
      <w:pPr>
        <w:ind w:left="340" w:right="15"/>
      </w:pPr>
      <w:r>
        <w:t>сонография печени, почек, предстательной железы, поджелудочной железы, щитовидной железы;</w:t>
      </w:r>
    </w:p>
    <w:p w:rsidR="008E3F15" w:rsidRDefault="005F449A">
      <w:pPr>
        <w:spacing w:after="31"/>
        <w:ind w:left="340" w:right="15"/>
      </w:pPr>
      <w:r>
        <w:t>сонография и биопсия периферических лимфоузлов;</w:t>
      </w:r>
    </w:p>
    <w:p w:rsidR="008E3F15" w:rsidRDefault="005F449A">
      <w:pPr>
        <w:spacing w:after="31"/>
        <w:ind w:left="340" w:right="15"/>
      </w:pPr>
      <w:r>
        <w:t>рентгенография грудной клетки в прямой и боковых проекциях;</w:t>
      </w:r>
    </w:p>
    <w:p w:rsidR="008E3F15" w:rsidRDefault="005F449A">
      <w:pPr>
        <w:spacing w:after="179"/>
        <w:ind w:left="340" w:right="4737"/>
      </w:pPr>
      <w:r>
        <w:t xml:space="preserve">КТ органов грудной клетки, брюшной полости; гастроскопия; </w:t>
      </w:r>
      <w:r>
        <w:t>колоноскопия; бронхоскопия; простатический антиген в крови.</w:t>
      </w:r>
    </w:p>
    <w:p w:rsidR="008E3F15" w:rsidRDefault="005F449A">
      <w:pPr>
        <w:ind w:left="2" w:right="15"/>
      </w:pPr>
      <w:r>
        <w:t xml:space="preserve">Симптомы тревоги в большинстве случаев обусловлены нераковыми болезнями: через 3 года рак легких был выявлен только у 4–8% пациентов с кровохарканием, рак пищевода — у 2–6% пациентов с дисфагией, </w:t>
      </w:r>
      <w:r>
        <w:t>колоректальный рак — у 2–3% пациентов с кишечным</w:t>
      </w:r>
    </w:p>
    <w:p w:rsidR="008E3F15" w:rsidRDefault="005F449A">
      <w:pPr>
        <w:ind w:left="2" w:right="15"/>
      </w:pPr>
      <w:r>
        <w:t>кровотечением, рак мочевыводящих путей — у 4–8% пациентов с гематурией (Jones R. et al., 2009).</w:t>
      </w:r>
    </w:p>
    <w:p w:rsidR="008E3F15" w:rsidRDefault="005F449A">
      <w:pPr>
        <w:spacing w:after="359"/>
        <w:ind w:left="2" w:right="15"/>
      </w:pPr>
      <w:r>
        <w:t xml:space="preserve">Для раннего выявления перспективны тесты крови на фрагменты нуклеиновых кислот разных опухолей с положительной </w:t>
      </w:r>
      <w:r>
        <w:t>прогностической ценностью 38–75% (SYMPLIFY, PATHFINDER).</w:t>
      </w:r>
    </w:p>
    <w:p w:rsidR="008E3F15" w:rsidRDefault="005F449A">
      <w:pPr>
        <w:pStyle w:val="Heading1"/>
        <w:ind w:left="2"/>
      </w:pPr>
      <w:r>
        <w:t>Часть II. Коморбидные болезни</w:t>
      </w:r>
    </w:p>
    <w:p w:rsidR="008E3F15" w:rsidRDefault="005F449A">
      <w:pPr>
        <w:spacing w:after="31"/>
        <w:ind w:left="2" w:right="15"/>
      </w:pPr>
      <w:r>
        <w:t>Профилактика</w:t>
      </w:r>
    </w:p>
    <w:p w:rsidR="008E3F15" w:rsidRDefault="005F449A">
      <w:pPr>
        <w:ind w:left="2" w:right="223"/>
      </w:pPr>
      <w:r>
        <w:t>Исследования показали, что 38–41% злокачественных новообразований обусловлены модифицируемыми факторами риска (Brown K. et al., 2018; Soerjomataram I. et al., 2018). Первичная профилактика рака заключается в выявлении генетических, биологических и окружающ</w:t>
      </w:r>
      <w:r>
        <w:t>их факторов, играющих этиологическую или патогенетическую роль в развитии рака, с тем чтобы впоследствии воздействовать на карциногенез у здорового человека и предупредить развитие злокачественного новообразования.</w:t>
      </w:r>
    </w:p>
    <w:p w:rsidR="008E3F15" w:rsidRDefault="005F449A">
      <w:pPr>
        <w:ind w:left="2" w:right="436"/>
      </w:pPr>
      <w:r>
        <w:t>К первичной профилактике относятся борьба</w:t>
      </w:r>
      <w:r>
        <w:t xml:space="preserve"> с курением, нормализация питания и другие меры по изменению образа жизни, а также медикаментозная профилактика. Задача вторичной профилактики — своевременно выявить злокачественное</w:t>
      </w:r>
    </w:p>
    <w:p w:rsidR="008E3F15" w:rsidRDefault="005F449A">
      <w:pPr>
        <w:ind w:left="2" w:right="15"/>
      </w:pPr>
      <w:r>
        <w:t>новообразование и предотвратить его рост. Ко вторичной профилактике относя</w:t>
      </w:r>
      <w:r>
        <w:t>тся массовые обследования и химиопрофилактика.</w:t>
      </w:r>
    </w:p>
    <w:p w:rsidR="008E3F15" w:rsidRDefault="005F449A">
      <w:pPr>
        <w:spacing w:after="165"/>
        <w:ind w:left="2" w:right="15"/>
      </w:pPr>
      <w:r>
        <w:t>К общим мероприятиям по первичной профилактике рака относятся в первую очередь:</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50080"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40320" name="Group 340320"/>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4306" name="Shape 24306"/>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308" name="Shape 24308"/>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089"/>
                                  <a:pt x="54975" y="17661"/>
                                </a:cubicBezTo>
                                <a:cubicBezTo>
                                  <a:pt x="56425" y="21034"/>
                                  <a:pt x="57150" y="24805"/>
                                  <a:pt x="57150" y="28575"/>
                                </a:cubicBezTo>
                                <a:cubicBezTo>
                                  <a:pt x="57150" y="32147"/>
                                  <a:pt x="56425" y="35719"/>
                                  <a:pt x="54975" y="39092"/>
                                </a:cubicBezTo>
                                <a:cubicBezTo>
                                  <a:pt x="53525" y="42664"/>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664"/>
                                  <a:pt x="2175" y="39092"/>
                                </a:cubicBezTo>
                                <a:cubicBezTo>
                                  <a:pt x="725" y="35719"/>
                                  <a:pt x="0" y="32147"/>
                                  <a:pt x="0" y="28575"/>
                                </a:cubicBezTo>
                                <a:cubicBezTo>
                                  <a:pt x="0" y="24805"/>
                                  <a:pt x="725" y="21034"/>
                                  <a:pt x="2175" y="17661"/>
                                </a:cubicBezTo>
                                <a:cubicBezTo>
                                  <a:pt x="3625" y="14089"/>
                                  <a:pt x="5690" y="11113"/>
                                  <a:pt x="8369" y="8334"/>
                                </a:cubicBezTo>
                                <a:cubicBezTo>
                                  <a:pt x="11049" y="5755"/>
                                  <a:pt x="14139" y="3572"/>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310" name="Shape 24310"/>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092"/>
                                </a:cubicBezTo>
                                <a:cubicBezTo>
                                  <a:pt x="725" y="35719"/>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0320" style="width:4.5pt;height:28.5pt;position:absolute;mso-position-horizontal-relative:text;mso-position-horizontal:absolute;margin-left:16.5pt;mso-position-vertical-relative:text;margin-top:2.73438pt;" coordsize="571,3619">
                <v:shape id="Shape 24306" style="position:absolute;width:571;height:571;left:0;top:0;" coordsize="57150,57150" path="m28575,0c32364,0,36009,595,39510,1984c43011,3373,46101,5556,48781,8334c51460,10914,53525,14089,54975,17463c56425,20836,57150,24606,57150,28575c57150,32345,56425,35917,54975,39489c53525,42863,51460,46038,48781,48816c46101,51395,43011,53380,39510,54769c36009,56356,32364,56952,28575,57150c24786,56952,21141,56356,17640,54769c14139,53380,11049,51395,8369,48816c5690,46038,3625,42863,2175,39489c725,35917,0,32345,0,28575c0,24606,725,20836,2175,17463c3625,14089,5690,10914,8369,8334c11049,5556,14139,3373,17640,1984c21141,595,24786,0,28575,0x">
                  <v:stroke weight="0pt" endcap="flat" joinstyle="miter" miterlimit="4" on="false" color="#000000" opacity="0"/>
                  <v:fill on="true" color="#333333"/>
                </v:shape>
                <v:shape id="Shape 24308" style="position:absolute;width:571;height:571;left:0;top:1524;" coordsize="57150,57150" path="m28575,0c32364,0,36009,794,39510,2183c43011,3572,46101,5755,48781,8334c51460,11113,53525,14089,54975,17661c56425,21034,57150,24805,57150,28575c57150,32147,56425,35719,54975,39092c53525,42664,51460,46038,48781,48816c46101,51395,43011,53380,39510,54769c36009,56356,32364,56952,28575,57150c24786,56952,21141,56356,17640,54769c14139,53380,11049,51395,8369,48816c5690,46038,3625,42664,2175,39092c725,35719,0,32147,0,28575c0,24805,725,21034,2175,17661c3625,14089,5690,11113,8369,8334c11049,5755,14139,3572,17640,2183c21141,794,24786,0,28575,0x">
                  <v:stroke weight="0pt" endcap="flat" joinstyle="miter" miterlimit="4" on="false" color="#000000" opacity="0"/>
                  <v:fill on="true" color="#333333"/>
                </v:shape>
                <v:shape id="Shape 24310" style="position:absolute;width:571;height:571;left:0;top:3048;" coordsize="57150,57150" path="m28575,0c32364,0,36009,595,39510,1984c43011,3373,46101,5556,48781,8334c51460,10914,53525,14089,54975,17463c56425,20836,57150,24606,57150,28575c57150,32345,56425,35917,54975,39291c53525,42664,51460,45839,48781,48617c46101,51395,43011,53380,39510,54769c36009,56356,32364,56952,28575,57150c24786,56952,21141,56356,17640,54769c14139,53380,11049,51395,8369,48617c5690,45839,3625,42664,2175,39092c725,35719,0,32345,0,28575c0,24606,725,20836,2175,17463c3625,14089,5690,10914,8369,8334c11049,5556,14139,3373,17640,1984c21141,595,24786,0,28575,0x">
                  <v:stroke weight="0pt" endcap="flat" joinstyle="miter" miterlimit="4" on="false" color="#000000" opacity="0"/>
                  <v:fill on="true" color="#333333"/>
                </v:shape>
                <w10:wrap type="square"/>
              </v:group>
            </w:pict>
          </mc:Fallback>
        </mc:AlternateContent>
      </w:r>
      <w:r>
        <w:t>отказ от курения;</w:t>
      </w:r>
    </w:p>
    <w:p w:rsidR="008E3F15" w:rsidRDefault="005F449A">
      <w:pPr>
        <w:spacing w:after="31"/>
        <w:ind w:left="340" w:right="15"/>
      </w:pPr>
      <w:r>
        <w:t>регулярные физические нагрузки;</w:t>
      </w:r>
    </w:p>
    <w:p w:rsidR="008E3F15" w:rsidRDefault="005F449A">
      <w:pPr>
        <w:spacing w:after="31"/>
        <w:ind w:left="340" w:right="15"/>
      </w:pPr>
      <w:r>
        <w:t>диета с увеличением количества овощей и фруктов;</w:t>
      </w:r>
    </w:p>
    <w:p w:rsidR="008E3F15" w:rsidRDefault="005F449A">
      <w:pPr>
        <w:tabs>
          <w:tab w:val="center" w:pos="1517"/>
          <w:tab w:val="center" w:pos="5657"/>
        </w:tabs>
        <w:spacing w:after="31"/>
        <w:ind w:left="0" w:right="0" w:firstLine="0"/>
      </w:pPr>
      <w:r>
        <w:rPr>
          <w:rFonts w:ascii="Calibri" w:eastAsia="Calibri" w:hAnsi="Calibri" w:cs="Calibri"/>
          <w:color w:val="000000"/>
          <w:sz w:val="22"/>
        </w:rPr>
        <w:tab/>
      </w:r>
      <w:r>
        <w:t>у</w:t>
      </w:r>
      <w:r>
        <w:tab/>
        <w:t>фру</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51104"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38097" name="Group 338097"/>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4322" name="Shape 24322"/>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24" name="Shape 24324"/>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26" name="Shape 24326"/>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097" style="width:4.5pt;height:28.5pt;position:absolute;mso-position-horizontal-relative:text;mso-position-horizontal:absolute;margin-left:16.5pt;mso-position-vertical-relative:text;margin-top:2.73438pt;" coordsize="571,3619">
                <v:shape id="Shape 24322" style="position:absolute;width:571;height:571;left:0;top:0;"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4324" style="position:absolute;width:571;height:571;left:0;top:1524;" coordsize="57150,57150" path="m28575,0c32364,0,36009,595,39510,1984c43011,3373,46101,5556,48781,8136c51460,10716,53525,13891,54975,17264c56425,21034,57150,24805,57150,28575c57150,32147,56425,35719,54975,39291c53525,42664,51460,45839,48781,48617c46101,51197,43011,53181,39510,54769c36009,56158,32364,56952,28575,57150c24786,56952,21141,56158,17640,54769c14139,53181,11049,51197,8369,48617c5690,45839,3625,42664,2175,39291c725,35719,0,32147,0,28575c0,24805,725,21034,2175,17463c3625,13891,5690,10716,8369,8136c11049,5556,14139,3373,17640,1984c21141,595,24786,0,28575,0x">
                  <v:stroke weight="0pt" endcap="flat" joinstyle="miter" miterlimit="10" on="false" color="#000000" opacity="0"/>
                  <v:fill on="true" color="#333333"/>
                </v:shape>
                <v:shape id="Shape 24326" style="position:absolute;width:571;height:571;left:0;top:3048;" coordsize="57150,57150" path="m28575,0c32364,0,36009,595,39510,1984c43011,3373,46101,5358,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358,14139,3373,17640,1984c21141,595,24786,0,28575,0x">
                  <v:stroke weight="0pt" endcap="flat" joinstyle="miter" miterlimit="10" on="false" color="#000000" opacity="0"/>
                  <v:fill on="true" color="#333333"/>
                </v:shape>
                <w10:wrap type="square"/>
              </v:group>
            </w:pict>
          </mc:Fallback>
        </mc:AlternateContent>
      </w:r>
      <w:r>
        <w:t>борьба с ожирением;</w:t>
      </w:r>
    </w:p>
    <w:p w:rsidR="008E3F15" w:rsidRDefault="005F449A">
      <w:pPr>
        <w:spacing w:after="31"/>
        <w:ind w:left="340" w:right="15"/>
      </w:pPr>
      <w:r>
        <w:t>о</w:t>
      </w:r>
      <w:r>
        <w:t>тказ от злоупотребления алкоголем;</w:t>
      </w:r>
    </w:p>
    <w:p w:rsidR="008E3F15" w:rsidRDefault="005F449A">
      <w:pPr>
        <w:ind w:left="340" w:right="15"/>
      </w:pPr>
      <w:r>
        <w:t>профилактика трансмиссивных заболеваний и заболеваний, передающихся половым путем (вирусы папилломы человека, иммунодефицита человека, гепатитов В и С,</w:t>
      </w:r>
    </w:p>
    <w:p w:rsidR="008E3F15" w:rsidRDefault="005F449A">
      <w:pPr>
        <w:spacing w:line="259" w:lineRule="auto"/>
        <w:ind w:left="602" w:right="0"/>
      </w:pPr>
      <w:r>
        <w:rPr>
          <w:i/>
        </w:rPr>
        <w:t>H. pylori</w:t>
      </w:r>
      <w:r>
        <w:t>);</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952128"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38098" name="Group 33809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4331" name="Shape 24331"/>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34" name="Shape 24334"/>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769"/>
                                </a:cubicBezTo>
                                <a:cubicBezTo>
                                  <a:pt x="36009" y="56356"/>
                                  <a:pt x="32364" y="56952"/>
                                  <a:pt x="28575" y="57150"/>
                                </a:cubicBezTo>
                                <a:cubicBezTo>
                                  <a:pt x="24786" y="56952"/>
                                  <a:pt x="21141" y="56356"/>
                                  <a:pt x="17640" y="54967"/>
                                </a:cubicBezTo>
                                <a:cubicBezTo>
                                  <a:pt x="14139" y="53380"/>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36" name="Shape 24336"/>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641"/>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641"/>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098" style="width:4.5pt;height:40.5pt;position:absolute;mso-position-horizontal-relative:text;mso-position-horizontal:absolute;margin-left:16.5pt;mso-position-vertical-relative:text;margin-top:2.73438pt;" coordsize="571,5143">
                <v:shape id="Shape 24331" style="position:absolute;width:571;height:571;left:0;top:0;" coordsize="57150,57150" path="m28575,0c32364,0,36009,595,39510,1984c43011,3373,46101,5556,48781,8136c51460,10716,53525,13891,54975,17264c56425,20836,57150,24606,57150,28575c57150,32147,56425,35719,54975,39092c53525,42664,51460,45641,48781,48617c46101,50998,43011,53181,39510,54570c36009,56158,32364,56952,28575,57150c24786,56952,21141,56158,17640,54570c14139,53181,11049,50998,8369,48617c5690,45641,3625,42664,2175,39092c725,35719,0,32147,0,28575c0,24606,725,20836,2175,17463c3625,13891,5690,10716,8369,8136c11049,5556,14139,3373,17640,1984c21141,595,24786,0,28575,0x">
                  <v:stroke weight="0pt" endcap="flat" joinstyle="miter" miterlimit="10" on="false" color="#000000" opacity="0"/>
                  <v:fill on="true" color="#333333"/>
                </v:shape>
                <v:shape id="Shape 24334" style="position:absolute;width:571;height:571;left:0;top:3048;" coordsize="57150,57150" path="m28575,0c32364,0,36009,595,39510,1984c43011,3373,46101,5556,48781,8136c51460,10716,53525,13891,54975,17264c56425,20836,57150,24606,57150,28575c57150,32147,56425,35719,54975,39092c53525,42664,51460,45641,48781,48617c46101,50998,43011,53181,39510,54769c36009,56356,32364,56952,28575,57150c24786,56952,21141,56356,17640,54967c14139,53380,11049,50998,8369,48617c5690,45641,3625,42664,2175,39092c725,35719,0,32147,0,28575c0,24606,725,20836,2175,17463c3625,13891,5690,10716,8369,8136c11049,5556,14139,3373,17640,1984c21141,595,24786,0,28575,0x">
                  <v:stroke weight="0pt" endcap="flat" joinstyle="miter" miterlimit="10" on="false" color="#000000" opacity="0"/>
                  <v:fill on="true" color="#333333"/>
                </v:shape>
                <v:shape id="Shape 24336" style="position:absolute;width:571;height:571;left:0;top:4572;" coordsize="57150,57150" path="m28575,0c32364,0,36009,794,39510,2183c43011,3373,46101,5556,48781,8136c51460,10716,53525,13891,54975,17264c56425,20638,57150,24606,57150,28575c57150,32147,56425,35719,54975,39291c53525,42664,51460,45641,48781,48617c46101,51197,43011,53380,39510,54769c36009,56158,32364,56952,28575,57150c24786,56952,21141,56158,17640,54769c14139,53380,11049,51197,8369,48617c5690,45641,3625,42664,2175,39291c725,35719,0,32147,0,28575c0,24606,725,20638,2175,17264c3625,13891,5690,10716,8369,8136c11049,5556,14139,3373,17640,1984c21141,595,24786,0,28575,0x">
                  <v:stroke weight="0pt" endcap="flat" joinstyle="miter" miterlimit="10" on="false" color="#000000" opacity="0"/>
                  <v:fill on="true" color="#333333"/>
                </v:shape>
                <w10:wrap type="square"/>
              </v:group>
            </w:pict>
          </mc:Fallback>
        </mc:AlternateContent>
      </w:r>
      <w:r>
        <w:t>ограничение экспозиции радиации [ультрафиолетовой, иониз</w:t>
      </w:r>
      <w:r>
        <w:t>ирующей (КТ, ангиография)];</w:t>
      </w:r>
    </w:p>
    <w:p w:rsidR="008E3F15" w:rsidRDefault="005F449A">
      <w:pPr>
        <w:ind w:left="-8" w:right="75" w:firstLine="180"/>
      </w:pPr>
      <w:r>
        <w:t>наблюдение и лечение предраковых заболеваний; массовый скрининг рака молочной железы, шейки матки, колоректального рака и кожи. Почти 29% всех смертей от злокачественных новообразований в США связаны с курением</w:t>
      </w:r>
    </w:p>
    <w:p w:rsidR="008E3F15" w:rsidRDefault="005F449A">
      <w:pPr>
        <w:spacing w:after="31"/>
        <w:ind w:left="2" w:right="15"/>
      </w:pPr>
      <w:r>
        <w:t>(Lortet-Tieulent J. et al., 2016).</w:t>
      </w:r>
    </w:p>
    <w:p w:rsidR="008E3F15" w:rsidRDefault="005F449A">
      <w:pPr>
        <w:ind w:left="2" w:right="15"/>
      </w:pPr>
      <w:r>
        <w:t>Приверженность рекомендациями WCRF по диете, физической активности и контролю массы тела позволяет снизить заболеваемость раком на 11% (Byrne S. et al., 2023).</w:t>
      </w:r>
    </w:p>
    <w:p w:rsidR="008E3F15" w:rsidRDefault="005F449A">
      <w:pPr>
        <w:ind w:left="2" w:right="15"/>
      </w:pPr>
      <w:r>
        <w:t>Употребление большого количества овощей и фруктов ассоциирует</w:t>
      </w:r>
      <w:r>
        <w:t>ся со снижением риска рака ротовой полости, глотки, пищевода, легкого, желудка и, возможно, колоректального рака.</w:t>
      </w:r>
    </w:p>
    <w:p w:rsidR="008E3F15" w:rsidRDefault="005F449A">
      <w:pPr>
        <w:ind w:left="2" w:right="965"/>
      </w:pPr>
      <w:r>
        <w:t>Снизить риск рака также может замена ультраобработанной и обработанной пищи на продукты с минимальной обработкой (Kliemann N. et al., 2023).</w:t>
      </w:r>
    </w:p>
    <w:p w:rsidR="008E3F15" w:rsidRDefault="005F449A">
      <w:pPr>
        <w:ind w:left="2" w:right="245"/>
      </w:pPr>
      <w:r>
        <w:t>Ф</w:t>
      </w:r>
      <w:r>
        <w:t>изическая активность снижает риск колоректального рака, рака молочной железы и эндометрия, а также других локализаций (McTiernan A. et al., 2019). Прохождение не менее 10 000 шагов в день ассоциируется со снижением общей смертности и смертности от рака и С</w:t>
      </w:r>
      <w:r>
        <w:t>СЗ, также сердечно-сосудистой и онкологической заболеваемости (del Pozo Cruz B. et al., 2022).</w:t>
      </w:r>
    </w:p>
    <w:p w:rsidR="008E3F15" w:rsidRDefault="005F449A">
      <w:pPr>
        <w:ind w:left="2" w:right="15"/>
      </w:pPr>
      <w:r>
        <w:t>Имеется связь между избыточной массой тела и повышенным риском рака эндометрия, почки, печени, поджелудочной железы, колоректального рака, рака молочной железы и</w:t>
      </w:r>
      <w:r>
        <w:t xml:space="preserve"> рака других локализаций. Бариатрическая хирургия, существенно снижающая массу тела при тяжелых формах ожирения, приводит к уменьшению риска рака различных локализаций</w:t>
      </w:r>
    </w:p>
    <w:p w:rsidR="008E3F15" w:rsidRDefault="005F449A">
      <w:pPr>
        <w:spacing w:after="31"/>
        <w:ind w:left="2" w:right="15"/>
      </w:pPr>
      <w:r>
        <w:t>(Rustgi V. et al., 2021).</w:t>
      </w:r>
    </w:p>
    <w:p w:rsidR="008E3F15" w:rsidRDefault="005F449A">
      <w:pPr>
        <w:ind w:left="2" w:right="15"/>
      </w:pPr>
      <w:r>
        <w:t>Показана связь приема малых доз АСК со снижением риска рака пи</w:t>
      </w:r>
      <w:r>
        <w:t>щевода, желудка, толстого кишечника, яичников (Loomans-Kropp H. et al., 2019; Hurwitz L. et al., 2022). Польза от приема АСК, включая снижение смертности от рака, может перевешивать риск кровотечений (Mills E. et al., 2012). В то же время в рандомизированн</w:t>
      </w:r>
      <w:r>
        <w:t>ом исследовании ASPREE у пациентов старше 70 лет, принимавших 100 мг АСК, чаще выявляли рак на поздних стадиях и метастазы по сравнению с группой плацебо, что не исключает негативного влияния препарата на прогрессирование рака.</w:t>
      </w:r>
    </w:p>
    <w:p w:rsidR="008E3F15" w:rsidRDefault="005F449A">
      <w:pPr>
        <w:spacing w:after="179"/>
        <w:ind w:left="2" w:right="508"/>
      </w:pPr>
      <w:r>
        <w:t>Эксперты предлагают следующи</w:t>
      </w:r>
      <w:r>
        <w:t>е общие мероприятия по профилактике рака, связанные с питанием и физической активностью (ACS).</w:t>
      </w:r>
    </w:p>
    <w:p w:rsidR="008E3F15" w:rsidRDefault="005F449A">
      <w:pPr>
        <w:spacing w:after="31"/>
        <w:ind w:left="610" w:right="15"/>
      </w:pPr>
      <w:r>
        <w:rPr>
          <w:rFonts w:ascii="Calibri" w:eastAsia="Calibri" w:hAnsi="Calibri" w:cs="Calibri"/>
          <w:noProof/>
          <w:color w:val="000000"/>
          <w:sz w:val="22"/>
        </w:rPr>
        <mc:AlternateContent>
          <mc:Choice Requires="wpg">
            <w:drawing>
              <wp:anchor distT="0" distB="0" distL="114300" distR="114300" simplePos="0" relativeHeight="251953152" behindDoc="0" locked="0" layoutInCell="1" allowOverlap="1">
                <wp:simplePos x="0" y="0"/>
                <wp:positionH relativeFrom="column">
                  <wp:posOffset>209550</wp:posOffset>
                </wp:positionH>
                <wp:positionV relativeFrom="paragraph">
                  <wp:posOffset>34727</wp:posOffset>
                </wp:positionV>
                <wp:extent cx="438150" cy="1428750"/>
                <wp:effectExtent l="0" t="0" r="0" b="0"/>
                <wp:wrapSquare wrapText="bothSides"/>
                <wp:docPr id="338099" name="Group 338099"/>
                <wp:cNvGraphicFramePr/>
                <a:graphic xmlns:a="http://schemas.openxmlformats.org/drawingml/2006/main">
                  <a:graphicData uri="http://schemas.microsoft.com/office/word/2010/wordprocessingGroup">
                    <wpg:wgp>
                      <wpg:cNvGrpSpPr/>
                      <wpg:grpSpPr>
                        <a:xfrm>
                          <a:off x="0" y="0"/>
                          <a:ext cx="438150" cy="1428750"/>
                          <a:chOff x="0" y="0"/>
                          <a:chExt cx="438150" cy="1428750"/>
                        </a:xfrm>
                      </wpg:grpSpPr>
                      <wps:wsp>
                        <wps:cNvPr id="24366" name="Shape 24366"/>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68" name="Shape 24368"/>
                        <wps:cNvSpPr/>
                        <wps:spPr>
                          <a:xfrm>
                            <a:off x="38100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70"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70"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1" name="Shape 24371"/>
                        <wps:cNvSpPr/>
                        <wps:spPr>
                          <a:xfrm>
                            <a:off x="38100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70" y="48617"/>
                                </a:cubicBezTo>
                                <a:cubicBezTo>
                                  <a:pt x="5690" y="45839"/>
                                  <a:pt x="3625" y="42664"/>
                                  <a:pt x="2175" y="39291"/>
                                </a:cubicBezTo>
                                <a:cubicBezTo>
                                  <a:pt x="725" y="35719"/>
                                  <a:pt x="0" y="32147"/>
                                  <a:pt x="0" y="28575"/>
                                </a:cubicBezTo>
                                <a:cubicBezTo>
                                  <a:pt x="0" y="24805"/>
                                  <a:pt x="725" y="21034"/>
                                  <a:pt x="2175" y="17463"/>
                                </a:cubicBezTo>
                                <a:cubicBezTo>
                                  <a:pt x="3625" y="13891"/>
                                  <a:pt x="5690" y="10716"/>
                                  <a:pt x="8370"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3" name="Shape 24373"/>
                        <wps:cNvSpPr/>
                        <wps:spPr>
                          <a:xfrm>
                            <a:off x="381000" y="6096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70" y="48617"/>
                                </a:cubicBezTo>
                                <a:cubicBezTo>
                                  <a:pt x="5690" y="45839"/>
                                  <a:pt x="3625" y="42664"/>
                                  <a:pt x="2175" y="39291"/>
                                </a:cubicBezTo>
                                <a:cubicBezTo>
                                  <a:pt x="725" y="35917"/>
                                  <a:pt x="0" y="32345"/>
                                  <a:pt x="0" y="28575"/>
                                </a:cubicBezTo>
                                <a:cubicBezTo>
                                  <a:pt x="0" y="24805"/>
                                  <a:pt x="725" y="21034"/>
                                  <a:pt x="2175" y="17463"/>
                                </a:cubicBezTo>
                                <a:cubicBezTo>
                                  <a:pt x="3625" y="14089"/>
                                  <a:pt x="5690" y="10914"/>
                                  <a:pt x="8370"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5" name="Shape 24375"/>
                        <wps:cNvSpPr/>
                        <wps:spPr>
                          <a:xfrm>
                            <a:off x="381000" y="7620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70"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70"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7" name="Shape 24377"/>
                        <wps:cNvSpPr/>
                        <wps:spPr>
                          <a:xfrm>
                            <a:off x="0" y="914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79" name="Shape 24379"/>
                        <wps:cNvSpPr/>
                        <wps:spPr>
                          <a:xfrm>
                            <a:off x="381000" y="1066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70"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70"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82" name="Shape 24382"/>
                        <wps:cNvSpPr/>
                        <wps:spPr>
                          <a:xfrm>
                            <a:off x="381000" y="1371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70"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70"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099" style="width:34.5pt;height:112.5pt;position:absolute;mso-position-horizontal-relative:text;mso-position-horizontal:absolute;margin-left:16.5pt;mso-position-vertical-relative:text;margin-top:2.73438pt;" coordsize="4381,14287">
                <v:shape id="Shape 24366" style="position:absolute;width:571;height:571;left:0;top:0;" coordsize="57150,57150" path="m28575,0c32364,0,36009,595,39510,1984c43011,3373,46101,5556,48781,8334c51460,10914,53525,14089,54975,17463c56425,21034,57150,24805,57150,28575c57150,32345,56425,36116,54975,39489c53525,42863,51460,45839,48781,48617c46101,51197,43011,53380,39510,54769c36009,56356,32364,56952,28575,57150c24786,56952,21141,56356,17640,54967c14139,53380,11049,51197,8369,48617c5690,45839,3625,42664,2175,39291c725,35917,0,32345,0,28575c0,24805,725,21034,2175,17463c3625,14089,5690,10914,8369,8334c11049,5556,14139,3373,17640,1984c21141,595,24786,0,28575,0x">
                  <v:stroke weight="0pt" endcap="flat" joinstyle="miter" miterlimit="10" on="false" color="#000000" opacity="0"/>
                  <v:fill on="true" color="#333333"/>
                </v:shape>
                <v:shape id="Shape 24368" style="position:absolute;width:571;height:571;left:3810;top:1524;" coordsize="57150,57150" path="m28575,0c32364,0,36009,595,39510,1984c43011,3373,46101,5358,48781,8136c51460,10716,53525,13891,54975,17463c56425,21034,57150,24805,57150,28575c57150,32147,56425,35719,54975,39291c53525,42664,51460,45839,48781,48617c46101,51197,43011,53380,39510,54769c36009,56158,32364,56952,28575,57150c24786,56952,21141,56158,17640,54769c14139,53380,11049,51197,8370,48617c5690,45839,3625,42664,2175,39291c725,35719,0,32147,0,28575c0,24805,725,21034,2175,17463c3625,13891,5690,10716,8370,8136c11049,5358,14139,3373,17640,1984c21141,595,24786,0,28575,0x">
                  <v:stroke weight="0pt" endcap="flat" joinstyle="miter" miterlimit="10" on="false" color="#000000" opacity="0"/>
                  <v:fill on="true" color="#333333"/>
                </v:shape>
                <v:shape id="Shape 24371" style="position:absolute;width:571;height:571;left:3810;top:4572;" coordsize="57150,57150" path="m28575,0c32364,0,36009,595,39510,1984c43011,3373,46101,5358,48781,8136c51460,10716,53525,13891,54975,17463c56425,21034,57150,24805,57150,28575c57150,32147,56425,35719,54975,39291c53525,42664,51460,45839,48781,48617c46101,51197,43011,53380,39510,54769c36009,56158,32364,56952,28575,57150c24786,56952,21141,56158,17640,54769c14139,53380,11049,51197,8370,48617c5690,45839,3625,42664,2175,39291c725,35719,0,32147,0,28575c0,24805,725,21034,2175,17463c3625,13891,5690,10716,8370,8136c11049,5358,14139,3373,17640,1984c21141,595,24786,0,28575,0x">
                  <v:stroke weight="0pt" endcap="flat" joinstyle="miter" miterlimit="10" on="false" color="#000000" opacity="0"/>
                  <v:fill on="true" color="#333333"/>
                </v:shape>
                <v:shape id="Shape 24373" style="position:absolute;width:571;height:571;left:3810;top:6096;" coordsize="57150,57150" path="m28575,0c32364,0,36009,595,39510,1984c43011,3373,46101,5556,48781,8136c51460,10914,53525,14089,54975,17463c56425,21034,57150,24805,57150,28575c57150,32345,56425,35917,54975,39489c53525,42863,51460,45839,48781,48617c46101,51197,43011,53181,39510,54769c36009,56158,32364,56952,28575,57150c24786,56952,21141,56158,17640,54769c14139,53181,11049,51197,8370,48617c5690,45839,3625,42664,2175,39291c725,35917,0,32345,0,28575c0,24805,725,21034,2175,17463c3625,14089,5690,10914,8370,8136c11049,5556,14139,3373,17640,1984c21141,595,24786,0,28575,0x">
                  <v:stroke weight="0pt" endcap="flat" joinstyle="miter" miterlimit="10" on="false" color="#000000" opacity="0"/>
                  <v:fill on="true" color="#333333"/>
                </v:shape>
                <v:shape id="Shape 24375" style="position:absolute;width:571;height:571;left:3810;top:7620;" coordsize="57150,57150" path="m28575,0c32364,0,36009,794,39510,2183c43011,3373,46101,5556,48781,8136c51460,10716,53525,13891,54975,17463c56425,20836,57150,24606,57150,28575c57150,32147,56425,35719,54975,39291c53525,42664,51460,45839,48781,48617c46101,51197,43011,53380,39510,54769c36009,56158,32364,56952,28575,57150c24786,56952,21141,56158,17640,54769c14139,53380,11049,51197,8370,48617c5690,45839,3625,42664,2175,39291c725,35719,0,32147,0,28575c0,24606,725,20836,2175,17463c3625,13891,5690,10716,8370,8136c11049,5556,14139,3373,17640,1984c21141,595,24786,0,28575,0x">
                  <v:stroke weight="0pt" endcap="flat" joinstyle="miter" miterlimit="10" on="false" color="#000000" opacity="0"/>
                  <v:fill on="true" color="#333333"/>
                </v:shape>
                <v:shape id="Shape 24377" style="position:absolute;width:571;height:571;left:0;top:9144;" coordsize="57150,57150" path="m28575,0c32364,0,36009,595,39510,1984c43011,3373,46101,5556,48781,8136c51460,10716,53525,13891,54975,17264c56425,20836,57150,24606,57150,28575c57150,32345,56425,35917,54975,39489c53525,42863,51460,45839,48781,48617c46101,51197,43011,53181,39510,54769c36009,56158,32364,56952,28575,57150c24786,56952,21141,56158,17640,54769c14139,53181,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v:shape id="Shape 24379" style="position:absolute;width:571;height:571;left:3810;top:10668;"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70,48617c5690,45839,3625,42664,2175,39291c725,35719,0,32147,0,28575c0,24606,725,20638,2175,17264c3625,13891,5690,10716,8370,8136c11049,5556,14139,3373,17640,1984c21141,595,24786,0,28575,0x">
                  <v:stroke weight="0pt" endcap="flat" joinstyle="miter" miterlimit="10" on="false" color="#000000" opacity="0"/>
                  <v:fill on="true" color="#333333"/>
                </v:shape>
                <v:shape id="Shape 24382" style="position:absolute;width:571;height:571;left:3810;top:13716;"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70,48617c5690,45839,3625,42664,2175,39291c725,35719,0,32147,0,28575c0,24606,725,20638,2175,17264c3625,13891,5690,10716,8370,8136c11049,5556,14139,3373,17640,1984c21141,595,24786,0,28575,0x">
                  <v:stroke weight="0pt" endcap="flat" joinstyle="miter" miterlimit="10" on="false" color="#000000" opacity="0"/>
                  <v:fill on="true" color="#333333"/>
                </v:shape>
                <w10:wrap type="square"/>
              </v:group>
            </w:pict>
          </mc:Fallback>
        </mc:AlternateContent>
      </w:r>
      <w:r>
        <w:t>Употреблять разнообразную пищу с преобладанием растительных источников:</w:t>
      </w:r>
    </w:p>
    <w:p w:rsidR="008E3F15" w:rsidRDefault="005F449A">
      <w:pPr>
        <w:ind w:left="340" w:right="15"/>
      </w:pPr>
      <w:r>
        <w:t>пять или более раз в неделю в рационе должны присутствовать различные овощи и фрукты;</w:t>
      </w:r>
    </w:p>
    <w:p w:rsidR="008E3F15" w:rsidRDefault="005F449A">
      <w:pPr>
        <w:spacing w:after="31"/>
        <w:ind w:left="340" w:right="15"/>
      </w:pPr>
      <w:r>
        <w:t>це</w:t>
      </w:r>
      <w:r>
        <w:t>льные злаки предпочитать обработанным злакам и сахарам;</w:t>
      </w:r>
    </w:p>
    <w:p w:rsidR="008E3F15" w:rsidRDefault="005F449A">
      <w:pPr>
        <w:ind w:left="340" w:right="15"/>
      </w:pPr>
      <w:r>
        <w:t>ограничить потребление красного мяса, особенно обработанного и жирного; выбирать пищу, способствующую поддержанию нормальной массы тела.</w:t>
      </w:r>
    </w:p>
    <w:p w:rsidR="008E3F15" w:rsidRDefault="005F449A">
      <w:pPr>
        <w:ind w:left="1200" w:right="460" w:hanging="600"/>
      </w:pPr>
      <w:r>
        <w:t>Физическая активность: для взрослых — умеренные физические нагрузки в течение 30 мин или более 5 или более раз в неделю;</w:t>
      </w:r>
    </w:p>
    <w:p w:rsidR="008E3F15" w:rsidRDefault="005F449A">
      <w:pPr>
        <w:ind w:left="340" w:right="15"/>
      </w:pPr>
      <w:r>
        <w:t>для детей и подростков — 60 мин в день умеренная или интенсивная физическая активность 5 раз в неделю.</w:t>
      </w:r>
    </w:p>
    <w:p w:rsidR="008E3F15" w:rsidRDefault="005F449A">
      <w:pPr>
        <w:spacing w:after="179"/>
        <w:ind w:left="340" w:right="1655"/>
      </w:pPr>
      <w:r>
        <w:rPr>
          <w:rFonts w:ascii="Calibri" w:eastAsia="Calibri" w:hAnsi="Calibri" w:cs="Calibri"/>
          <w:noProof/>
          <w:color w:val="000000"/>
          <w:sz w:val="22"/>
        </w:rPr>
        <mc:AlternateContent>
          <mc:Choice Requires="wpg">
            <w:drawing>
              <wp:anchor distT="0" distB="0" distL="114300" distR="114300" simplePos="0" relativeHeight="251954176" behindDoc="0" locked="0" layoutInCell="1" allowOverlap="1">
                <wp:simplePos x="0" y="0"/>
                <wp:positionH relativeFrom="column">
                  <wp:posOffset>209550</wp:posOffset>
                </wp:positionH>
                <wp:positionV relativeFrom="paragraph">
                  <wp:posOffset>34727</wp:posOffset>
                </wp:positionV>
                <wp:extent cx="57150" cy="209550"/>
                <wp:effectExtent l="0" t="0" r="0" b="0"/>
                <wp:wrapSquare wrapText="bothSides"/>
                <wp:docPr id="338117" name="Group 338117"/>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4385" name="Shape 24385"/>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87" name="Shape 24387"/>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117" style="width:4.5pt;height:16.5pt;position:absolute;mso-position-horizontal-relative:text;mso-position-horizontal:absolute;margin-left:16.5pt;mso-position-vertical-relative:text;margin-top:2.73438pt;" coordsize="571,2095">
                <v:shape id="Shape 24385" style="position:absolute;width:571;height:571;left:0;top:0;"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4387" style="position:absolute;width:571;height:571;left:0;top:1524;" coordsize="57150,57150" path="m28575,0c32364,0,36009,595,39510,1984c43011,3373,46101,5556,48781,8136c51460,10716,53525,13891,54975,17264c56425,20836,57150,24606,57150,28575c57150,32345,56425,35917,54975,39489c53525,42863,51460,45839,48781,48617c46101,51197,43011,53380,39510,54570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w10:wrap type="square"/>
              </v:group>
            </w:pict>
          </mc:Fallback>
        </mc:AlternateContent>
      </w:r>
      <w:r>
        <w:t>Поддержание нормальной массы те</w:t>
      </w:r>
      <w:r>
        <w:t>ла в течение всей жизни. Ограничение употребления спиртных напитков.</w:t>
      </w:r>
    </w:p>
    <w:p w:rsidR="008E3F15" w:rsidRDefault="005F449A">
      <w:pPr>
        <w:spacing w:after="179"/>
        <w:ind w:left="2" w:right="15"/>
      </w:pPr>
      <w:r>
        <w:t>В настоящее время широко изучается эффективность различных программ по профилактике и прекращению курения. Показана эффективность следующих программ.</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955200" behindDoc="0" locked="0" layoutInCell="1" allowOverlap="1">
                <wp:simplePos x="0" y="0"/>
                <wp:positionH relativeFrom="column">
                  <wp:posOffset>209550</wp:posOffset>
                </wp:positionH>
                <wp:positionV relativeFrom="paragraph">
                  <wp:posOffset>34727</wp:posOffset>
                </wp:positionV>
                <wp:extent cx="57150" cy="1123950"/>
                <wp:effectExtent l="0" t="0" r="0" b="0"/>
                <wp:wrapSquare wrapText="bothSides"/>
                <wp:docPr id="338122" name="Group 338122"/>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24391" name="Shape 24391"/>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94" name="Shape 2439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96" name="Shape 24396"/>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399" name="Shape 24399"/>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02" name="Shape 24402"/>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517"/>
                                  <a:pt x="53525" y="13692"/>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692"/>
                                  <a:pt x="5690" y="10517"/>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122" style="width:4.5pt;height:88.5pt;position:absolute;mso-position-horizontal-relative:text;mso-position-horizontal:absolute;margin-left:16.5pt;mso-position-vertical-relative:text;margin-top:2.73438pt;" coordsize="571,11239">
                <v:shape id="Shape 24391" style="position:absolute;width:571;height:571;left:0;top:0;"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10" on="false" color="#000000" opacity="0"/>
                  <v:fill on="true" color="#333333"/>
                </v:shape>
                <v:shape id="Shape 24394" style="position:absolute;width:571;height:571;left:0;top:3048;"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10" on="false" color="#000000" opacity="0"/>
                  <v:fill on="true" color="#333333"/>
                </v:shape>
                <v:shape id="Shape 24396" style="position:absolute;width:571;height:571;left:0;top:4572;" coordsize="57150,57150" path="m28575,0c32364,0,36009,595,39510,1984c43011,3373,46101,5358,48781,8136c51460,10716,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v:shape id="Shape 24399" style="position:absolute;width:571;height:571;left:0;top:7620;" coordsize="57150,57150" path="m28575,0c32364,0,36009,595,39510,1984c43011,3373,46101,5358,48781,8136c51460,10716,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v:shape id="Shape 24402" style="position:absolute;width:571;height:571;left:0;top:10668;" coordsize="57150,57150" path="m28575,0c32364,0,36009,595,39510,1984c43011,3373,46101,5358,48781,8136c51460,10517,53525,13692,54975,17463c56425,20836,57150,24606,57150,28575c57150,32345,56425,35917,54975,39291c53525,42664,51460,45641,48781,48617c46101,50998,43011,53181,39510,54570c36009,56158,32364,56952,28575,57150c24786,56952,21141,56158,17640,54570c14139,53181,11049,50998,8369,48617c5690,45641,3625,42664,2175,39092c725,35719,0,32345,0,28575c0,24606,725,20836,2175,17463c3625,13692,5690,10517,8369,8136c11049,5358,14139,3373,17640,1984c21141,595,24786,0,28575,0x">
                  <v:stroke weight="0pt" endcap="flat" joinstyle="miter" miterlimit="10" on="false" color="#000000" opacity="0"/>
                  <v:fill on="true" color="#333333"/>
                </v:shape>
                <w10:wrap type="square"/>
              </v:group>
            </w:pict>
          </mc:Fallback>
        </mc:AlternateContent>
      </w:r>
      <w:r>
        <w:t>Школьные программы: обучающие уроки по профилактике курения и других видов зависимости.</w:t>
      </w:r>
    </w:p>
    <w:p w:rsidR="008E3F15" w:rsidRDefault="005F449A">
      <w:pPr>
        <w:spacing w:after="31"/>
        <w:ind w:left="340" w:right="15"/>
      </w:pPr>
      <w:r>
        <w:t>Общественные программы: прекращение курения на рабочем месте.</w:t>
      </w:r>
    </w:p>
    <w:p w:rsidR="008E3F15" w:rsidRDefault="005F449A">
      <w:pPr>
        <w:ind w:left="340" w:right="551"/>
      </w:pPr>
      <w:r>
        <w:t>Средства массовой информации: короткие повторяющиеся публичные сообщения о вреде курения.</w:t>
      </w:r>
    </w:p>
    <w:p w:rsidR="008E3F15" w:rsidRDefault="005F449A">
      <w:pPr>
        <w:ind w:left="340" w:right="15"/>
      </w:pPr>
      <w:r>
        <w:t xml:space="preserve">Государственные </w:t>
      </w:r>
      <w:r>
        <w:t>программы: повышение налогообложения табачной продукции и цен на табачные изделия.</w:t>
      </w:r>
    </w:p>
    <w:p w:rsidR="008E3F15" w:rsidRDefault="005F449A">
      <w:pPr>
        <w:spacing w:after="359"/>
        <w:ind w:left="340" w:right="285"/>
      </w:pPr>
      <w:r>
        <w:t>Медицинские программы: беседы врача о вреде курения, особенно многократные (4 и более). Частота абстиненции повышается с длительностью проводимой врачом консультации, а такж</w:t>
      </w:r>
      <w:r>
        <w:t>е количеством врачей различных специальностей, проводящих беседы о вреде курения. Идентификация курения в медицинских документах повышает вероятность взаимодействия врача и пациента и приводит к увеличению частоты отказа от курения.</w:t>
      </w:r>
    </w:p>
    <w:p w:rsidR="008E3F15" w:rsidRDefault="005F449A">
      <w:pPr>
        <w:pStyle w:val="Heading1"/>
        <w:ind w:left="2"/>
      </w:pPr>
      <w:r>
        <w:t>Часть II. Коморбидные б</w:t>
      </w:r>
      <w:r>
        <w:t>олезни</w:t>
      </w:r>
    </w:p>
    <w:p w:rsidR="008E3F15" w:rsidRDefault="005F449A">
      <w:pPr>
        <w:ind w:left="2" w:right="392"/>
      </w:pPr>
      <w:r>
        <w:t>Продемонстрирована положительная связь всех видов психосоциальной помощи (профилактические беседы по телефону, групповое и индивидуальное консультирование) с частотой отказа от курения.</w:t>
      </w:r>
    </w:p>
    <w:p w:rsidR="008E3F15" w:rsidRDefault="005F449A">
      <w:pPr>
        <w:ind w:left="2" w:right="798"/>
      </w:pPr>
      <w:r>
        <w:t>Имеются исследования, показавшие эффективность лекарственных пр</w:t>
      </w:r>
      <w:r>
        <w:t>епаратов в прекращении курения и предотвращении рецидивов: антидепрессанты (бупропион</w:t>
      </w:r>
      <w:r>
        <w:rPr>
          <w:rFonts w:ascii="Times New Roman" w:eastAsia="Times New Roman" w:hAnsi="Times New Roman" w:cs="Times New Roman"/>
          <w:sz w:val="31"/>
          <w:vertAlign w:val="superscript"/>
        </w:rPr>
        <w:t>℘</w:t>
      </w:r>
      <w:r>
        <w:t>, нортриптилин), никотинсодержащие средства, варениклин.</w:t>
      </w:r>
    </w:p>
    <w:p w:rsidR="008E3F15" w:rsidRDefault="005F449A">
      <w:pPr>
        <w:ind w:left="2" w:right="383"/>
      </w:pPr>
      <w:r>
        <w:t>С учетом влияния окружающей среды и образа жизни на развитие рака важное значение в профилактике рака приобретает</w:t>
      </w:r>
      <w:r>
        <w:t xml:space="preserve"> просветительная работа врача с пациентами.</w:t>
      </w:r>
    </w:p>
    <w:p w:rsidR="008E3F15" w:rsidRDefault="005F449A">
      <w:pPr>
        <w:spacing w:after="359"/>
        <w:ind w:left="2" w:right="15"/>
      </w:pPr>
      <w:r>
        <w:t xml:space="preserve">Профилактические стратегии среди населения весьма эффективно влияют на смертность для ряда новообразований (Emmons K. et al., 2017). В случае прекращения курения к 50 годам смертность от рака легких снижается на </w:t>
      </w:r>
      <w:r>
        <w:t>62%, скрининг рака шейки матки уменьшает смертность на 95%, а вакцинация против вируса папилломы человека — на 100%, вакцинация против гепатита В дает снижение смертности от хронических болезней и рака печени на 90%. Также важны мероприятия у пациентов с в</w:t>
      </w:r>
      <w:r>
        <w:t>ысоким риском рака. Скрининг рака легких среди курильщиков с высоким риском уменьшает смертность от этого заболевания на 20%, удаление яичников с трубами снижает риск рака груди и яичников у женщин с BRCA1/2мутацией, селективные модуляторы эстрогеновых рец</w:t>
      </w:r>
      <w:r>
        <w:t>епторов снижают наполовину частоту рака груди у женщин высокого риска, скрининг и лечение вирусного гепатита С уменьшают в два раза смертность от инфекционного заболевания.</w:t>
      </w:r>
    </w:p>
    <w:p w:rsidR="008E3F15" w:rsidRDefault="005F449A">
      <w:pPr>
        <w:pStyle w:val="Heading1"/>
        <w:ind w:left="2"/>
      </w:pPr>
      <w:r>
        <w:t>Часть II. Коморбидные болезни</w:t>
      </w:r>
    </w:p>
    <w:p w:rsidR="008E3F15" w:rsidRDefault="005F449A">
      <w:pPr>
        <w:spacing w:after="31"/>
        <w:ind w:left="2" w:right="15"/>
      </w:pPr>
      <w:r>
        <w:t>Рак легкого</w:t>
      </w:r>
    </w:p>
    <w:p w:rsidR="008E3F15" w:rsidRDefault="005F449A">
      <w:pPr>
        <w:spacing w:after="133" w:line="259" w:lineRule="auto"/>
        <w:ind w:left="2" w:right="0"/>
      </w:pPr>
      <w:r>
        <w:rPr>
          <w:b/>
        </w:rPr>
        <w:t>Факторы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56224" behindDoc="0" locked="0" layoutInCell="1" allowOverlap="1">
                <wp:simplePos x="0" y="0"/>
                <wp:positionH relativeFrom="column">
                  <wp:posOffset>209550</wp:posOffset>
                </wp:positionH>
                <wp:positionV relativeFrom="paragraph">
                  <wp:posOffset>34727</wp:posOffset>
                </wp:positionV>
                <wp:extent cx="57150" cy="971550"/>
                <wp:effectExtent l="0" t="0" r="0" b="0"/>
                <wp:wrapSquare wrapText="bothSides"/>
                <wp:docPr id="338140" name="Group 338140"/>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24454" name="Shape 24454"/>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092"/>
                                </a:cubicBezTo>
                                <a:cubicBezTo>
                                  <a:pt x="725" y="35719"/>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56" name="Shape 24456"/>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1113"/>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1113"/>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58" name="Shape 24458"/>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092"/>
                                </a:cubicBezTo>
                                <a:cubicBezTo>
                                  <a:pt x="725" y="35719"/>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60" name="Shape 24460"/>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1113"/>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1113"/>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62" name="Shape 24462"/>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64" name="Shape 24464"/>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466" name="Shape 24466"/>
                        <wps:cNvSpPr/>
                        <wps:spPr>
                          <a:xfrm>
                            <a:off x="0" y="914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8140" style="width:4.5pt;height:76.5pt;position:absolute;mso-position-horizontal-relative:text;mso-position-horizontal:absolute;margin-left:16.5pt;mso-position-vertical-relative:text;margin-top:2.73438pt;" coordsize="571,9715">
                <v:shape id="Shape 24454" style="position:absolute;width:571;height:571;left:0;top:0;" coordsize="57150,57150" path="m28575,0c32364,0,36009,595,39510,1984c43011,3373,46101,5556,48781,8334c51460,10914,53525,14089,54975,17463c56425,20836,57150,24606,57150,28575c57150,32345,56425,35917,54975,39489c53525,42863,51460,45839,48781,48617c46101,51395,43011,53380,39510,54769c36009,56356,32364,56952,28575,57150c24786,56952,21141,56356,17640,54769c14139,53380,11049,51395,8369,48617c5690,45839,3625,42664,2175,39092c725,35719,0,32345,0,28575c0,24606,725,20836,2175,17463c3625,14089,5690,10914,8369,8334c11049,5556,14139,3373,17640,1984c21141,595,24786,0,28575,0x">
                  <v:stroke weight="0pt" endcap="flat" joinstyle="miter" miterlimit="10" on="false" color="#000000" opacity="0"/>
                  <v:fill on="true" color="#333333"/>
                </v:shape>
                <v:shape id="Shape 24456" style="position:absolute;width:571;height:571;left:0;top:1524;" coordsize="57150,57150" path="m28575,0c32364,0,36009,794,39510,2183c43011,3572,46101,5755,48781,8334c51460,11113,53525,14089,54975,17661c56425,21034,57150,24805,57150,28575c57150,32147,56425,35719,54975,39092c53525,42664,51460,45839,48781,48617c46101,51197,43011,53380,39510,54769c36009,56356,32364,56952,28575,57150c24786,56952,21141,56356,17640,54769c14139,53380,11049,51197,8369,48617c5690,45839,3625,42664,2175,39092c725,35719,0,32147,0,28575c0,24805,725,21034,2175,17661c3625,14089,5690,11113,8369,8334c11049,5755,14139,3572,17640,2183c21141,794,24786,0,28575,0x">
                  <v:stroke weight="0pt" endcap="flat" joinstyle="miter" miterlimit="10" on="false" color="#000000" opacity="0"/>
                  <v:fill on="true" color="#333333"/>
                </v:shape>
                <v:shape id="Shape 24458" style="position:absolute;width:571;height:571;left:0;top:3048;" coordsize="57150,57150" path="m28575,0c32364,0,36009,595,39510,1984c43011,3373,46101,5556,48781,8334c51460,10914,53525,14089,54975,17463c56425,20836,57150,24606,57150,28575c57150,32345,56425,35917,54975,39291c53525,42664,51460,45839,48781,48617c46101,51395,43011,53380,39510,54769c36009,56356,32364,56952,28575,57150c24786,56952,21141,56356,17640,54769c14139,53380,11049,51395,8369,48617c5690,45839,3625,42664,2175,39092c725,35719,0,32345,0,28575c0,24606,725,20836,2175,17463c3625,14089,5690,10914,8369,8334c11049,5556,14139,3373,17640,1984c21141,595,24786,0,28575,0x">
                  <v:stroke weight="0pt" endcap="flat" joinstyle="miter" miterlimit="10" on="false" color="#000000" opacity="0"/>
                  <v:fill on="true" color="#333333"/>
                </v:shape>
                <v:shape id="Shape 24460" style="position:absolute;width:571;height:571;left:0;top:4572;" coordsize="57150,57150" path="m28575,0c32364,0,36009,794,39510,2183c43011,3373,46101,5556,48781,8334c51460,11113,53525,14089,54975,17661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661c3625,14089,5690,11113,8369,8334c11049,5556,14139,3373,17640,2183c21141,794,24786,0,28575,0x">
                  <v:stroke weight="0pt" endcap="flat" joinstyle="miter" miterlimit="10" on="false" color="#000000" opacity="0"/>
                  <v:fill on="true" color="#333333"/>
                </v:shape>
                <v:shape id="Shape 24462" style="position:absolute;width:571;height:571;left:0;top:6096;" coordsize="57150,57150" path="m28575,0c32364,0,36009,595,39510,1984c43011,3373,46101,5358,48781,8136c51460,10716,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716,8369,8136c11049,5358,14139,3373,17640,1984c21141,595,24786,0,28575,0x">
                  <v:stroke weight="0pt" endcap="flat" joinstyle="miter" miterlimit="10" on="false" color="#000000" opacity="0"/>
                  <v:fill on="true" color="#333333"/>
                </v:shape>
                <v:shape id="Shape 24464" style="position:absolute;width:571;height:571;left:0;top:7620;" coordsize="57150,57150" path="m28575,0c32364,0,36009,794,39510,2183c43011,3373,46101,5358,48781,8136c51460,10716,53525,13891,54975,17463c56425,21034,57150,24805,57150,28575c57150,32345,56425,35917,54975,39291c53525,42664,51460,45839,48781,48617c46101,51197,43011,53380,39510,54570c36009,56158,32364,56952,28575,57150c24786,56952,21141,56158,17640,54570c14139,53380,11049,51197,8369,48617c5690,45839,3625,42664,2175,39291c725,35917,0,32345,0,28575c0,24805,725,21034,2175,17661c3625,13891,5690,10716,8369,8136c11049,5358,14139,3373,17640,1984c21141,595,24786,0,28575,0x">
                  <v:stroke weight="0pt" endcap="flat" joinstyle="miter" miterlimit="10" on="false" color="#000000" opacity="0"/>
                  <v:fill on="true" color="#333333"/>
                </v:shape>
                <v:shape id="Shape 24466" style="position:absolute;width:571;height:571;left:0;top:9144;"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w10:wrap type="square"/>
              </v:group>
            </w:pict>
          </mc:Fallback>
        </mc:AlternateContent>
      </w:r>
      <w:r>
        <w:t>возраст &gt;55 лет;</w:t>
      </w:r>
    </w:p>
    <w:p w:rsidR="008E3F15" w:rsidRDefault="005F449A">
      <w:pPr>
        <w:ind w:left="340" w:right="3278"/>
      </w:pPr>
      <w:r>
        <w:t>курение, вторичная экспозиция табачного дыма; облучение;</w:t>
      </w:r>
    </w:p>
    <w:p w:rsidR="008E3F15" w:rsidRDefault="005F449A">
      <w:pPr>
        <w:spacing w:after="179"/>
        <w:ind w:left="340" w:right="2479"/>
      </w:pPr>
      <w:r>
        <w:t>экспозиция канцерогенов: асбест, бериллий, кадмий, никель, хром; воздушные поллютанты; семейный анамнез; ВИЧ-инфекция.</w:t>
      </w:r>
    </w:p>
    <w:p w:rsidR="008E3F15" w:rsidRDefault="005F449A">
      <w:pPr>
        <w:ind w:left="2" w:right="178"/>
      </w:pPr>
      <w:r>
        <w:rPr>
          <w:b/>
        </w:rPr>
        <w:t xml:space="preserve">Скрининг. </w:t>
      </w:r>
      <w:r>
        <w:t>Рандомизированное исследование NLST показало, что скрининг рака легког</w:t>
      </w:r>
      <w:r>
        <w:t>о с помощью низкодозовой КТ выявляет на 13% больше случаев и снижает на 20% смертность от рака легкого, чем рентгенография грудной клетки.</w:t>
      </w:r>
    </w:p>
    <w:p w:rsidR="008E3F15" w:rsidRDefault="005F449A">
      <w:pPr>
        <w:ind w:left="2" w:right="166"/>
      </w:pPr>
      <w:r>
        <w:t>В последних рекомендациях ACS предлагается ежегодный скрининг рака легкого с помощью низкодозовой КТ у взрослых в воз</w:t>
      </w:r>
      <w:r>
        <w:t>расте 50–80 лет с анамнезом курения ≥20 пачка-лет. Скрининг прекращается, если развиваются другие заболевания, значительно уменьшающие ожидаемую продолжительность жизни или возможность оперативного лечения легких. Скрининг рака легких с помощью низкодозово</w:t>
      </w:r>
      <w:r>
        <w:t>й КТ позволяет снизить смертность от рака легких на 26%, по данным метаанализа 9 рандомизированных исследований (Field J. et al., 2021). В исследовании NELSON узлы были выявлены в 2% сканирований, из них у 43% (203 из 20 600 пациентов) подтвердился рак.</w:t>
      </w:r>
    </w:p>
    <w:p w:rsidR="008E3F15" w:rsidRDefault="005F449A">
      <w:pPr>
        <w:ind w:left="2" w:right="101"/>
      </w:pPr>
      <w:r>
        <w:t>Эп</w:t>
      </w:r>
      <w:r>
        <w:t>идемиологическое американское исследование показало, что внедрение КТ для скрининга рака легкого привело к увеличению выявления немелкоклеточного рака у пациентов 55– 80 лет на 4% ежегодно и выживаемости на 12% в год (Potter A. et al., 2022).</w:t>
      </w:r>
    </w:p>
    <w:p w:rsidR="008E3F15" w:rsidRDefault="005F449A">
      <w:pPr>
        <w:ind w:left="2" w:right="15"/>
      </w:pPr>
      <w:r>
        <w:t>В России прог</w:t>
      </w:r>
      <w:r>
        <w:t>рамма диспансеризации предусматривает флюорографию легких каждые 3 года начиная с возраста 21 года.</w:t>
      </w:r>
    </w:p>
    <w:p w:rsidR="008E3F15" w:rsidRDefault="005F449A">
      <w:pPr>
        <w:ind w:left="2" w:right="15"/>
      </w:pPr>
      <w:r>
        <w:t>Однако для рентгенографии и КТ характерна высокая частота ложноположительных результатов (4–13% и 20–50% соответственно), обусловленная доброкачественными в</w:t>
      </w:r>
      <w:r>
        <w:t>нутрилегочными лимфоузлами или некальцифированными гранулемами.</w:t>
      </w:r>
    </w:p>
    <w:p w:rsidR="008E3F15" w:rsidRDefault="005F449A">
      <w:pPr>
        <w:spacing w:after="359"/>
        <w:ind w:left="2" w:right="15"/>
      </w:pPr>
      <w:r>
        <w:rPr>
          <w:b/>
        </w:rPr>
        <w:t xml:space="preserve">Профилактика </w:t>
      </w:r>
      <w:r>
        <w:t>рака легкого включает отказ от курения, элиминацию вторичного курения, исключение контакта с канцерогенами, снижение или элиминацию экспозиции радона.</w:t>
      </w:r>
    </w:p>
    <w:p w:rsidR="008E3F15" w:rsidRDefault="005F449A">
      <w:pPr>
        <w:pStyle w:val="Heading1"/>
        <w:ind w:left="2"/>
      </w:pPr>
      <w:r>
        <w:t>Часть II. Коморбидные болезн</w:t>
      </w:r>
      <w:r>
        <w:t>и</w:t>
      </w:r>
    </w:p>
    <w:p w:rsidR="008E3F15" w:rsidRDefault="005F449A">
      <w:pPr>
        <w:spacing w:after="179"/>
        <w:ind w:left="2" w:right="7189"/>
      </w:pPr>
      <w:r>
        <w:t xml:space="preserve">Колоректальный рак </w:t>
      </w:r>
      <w:r>
        <w:rPr>
          <w:b/>
        </w:rPr>
        <w:t>Факторы риска:</w:t>
      </w:r>
    </w:p>
    <w:p w:rsidR="008E3F15" w:rsidRDefault="005F449A">
      <w:pPr>
        <w:ind w:left="340" w:right="6737"/>
      </w:pPr>
      <w:r>
        <w:rPr>
          <w:rFonts w:ascii="Calibri" w:eastAsia="Calibri" w:hAnsi="Calibri" w:cs="Calibri"/>
          <w:noProof/>
          <w:color w:val="000000"/>
          <w:sz w:val="22"/>
        </w:rPr>
        <mc:AlternateContent>
          <mc:Choice Requires="wpg">
            <w:drawing>
              <wp:anchor distT="0" distB="0" distL="114300" distR="114300" simplePos="0" relativeHeight="251957248" behindDoc="0" locked="0" layoutInCell="1" allowOverlap="1">
                <wp:simplePos x="0" y="0"/>
                <wp:positionH relativeFrom="column">
                  <wp:posOffset>209550</wp:posOffset>
                </wp:positionH>
                <wp:positionV relativeFrom="paragraph">
                  <wp:posOffset>34727</wp:posOffset>
                </wp:positionV>
                <wp:extent cx="57150" cy="971550"/>
                <wp:effectExtent l="0" t="0" r="0" b="0"/>
                <wp:wrapSquare wrapText="bothSides"/>
                <wp:docPr id="339466" name="Group 339466"/>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24522" name="Shape 24522"/>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24" name="Shape 24524"/>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26" name="Shape 24526"/>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28" name="Shape 24528"/>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863"/>
                                  <a:pt x="51460" y="46038"/>
                                  <a:pt x="48781" y="48816"/>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816"/>
                                </a:cubicBezTo>
                                <a:cubicBezTo>
                                  <a:pt x="5690" y="46038"/>
                                  <a:pt x="3625" y="42863"/>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30" name="Shape 24530"/>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33" name="Shape 24533"/>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9466" style="width:4.5pt;height:76.5pt;position:absolute;mso-position-horizontal-relative:text;mso-position-horizontal:absolute;margin-left:16.5pt;mso-position-vertical-relative:text;margin-top:2.73438pt;" coordsize="571,9715">
                <v:shape id="Shape 24522" style="position:absolute;width:571;height:571;left:0;top:0;" coordsize="57150,57150" path="m28575,0c32364,0,36009,595,39510,1984c43011,3373,46101,5556,48781,8334c51460,10914,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914,8369,8334c11049,5556,14139,3373,17640,1984c21141,595,24786,0,28575,0x">
                  <v:stroke weight="0pt" endcap="flat" joinstyle="miter" miterlimit="4" on="false" color="#000000" opacity="0"/>
                  <v:fill on="true" color="#333333"/>
                </v:shape>
                <v:shape id="Shape 24524" style="position:absolute;width:571;height:571;left:0;top:1524;" coordsize="57150,57150" path="m28575,0c32364,0,36009,794,39510,2183c43011,3373,46101,5556,48781,8334c51460,10914,53525,14089,54975,17661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4089,5690,10914,8369,8334c11049,5556,14139,3373,17640,2183c21141,794,24786,0,28575,0x">
                  <v:stroke weight="0pt" endcap="flat" joinstyle="miter" miterlimit="4" on="false" color="#000000" opacity="0"/>
                  <v:fill on="true" color="#333333"/>
                </v:shape>
                <v:shape id="Shape 24526" style="position:absolute;width:571;height:571;left:0;top:3048;" coordsize="57150,57150" path="m28575,0c32364,0,36009,595,39510,1984c43011,3373,46101,5556,48781,8334c51460,10914,53525,13891,54975,17463c56425,20836,57150,24606,57150,28575c57150,32345,56425,35917,54975,39291c53525,42863,51460,46038,48781,48816c46101,51395,43011,53380,39510,54769c36009,56356,32364,56952,28575,57150c24786,56952,21141,56356,17640,54769c14139,53380,11049,51395,8369,48816c5690,46038,3625,42863,2175,39291c725,35917,0,32345,0,28575c0,24606,725,20836,2175,17463c3625,13891,5690,10914,8369,8334c11049,5556,14139,3373,17640,1984c21141,595,24786,0,28575,0x">
                  <v:stroke weight="0pt" endcap="flat" joinstyle="miter" miterlimit="4" on="false" color="#000000" opacity="0"/>
                  <v:fill on="true" color="#333333"/>
                </v:shape>
                <v:shape id="Shape 24528" style="position:absolute;width:571;height:571;left:0;top:4572;" coordsize="57150,57150" path="m28575,0c32364,0,36009,794,39510,2183c43011,3373,46101,5556,48781,8334c51460,10914,53525,14089,54975,17661c56425,21034,57150,24805,57150,28575c57150,32345,56425,35917,54975,39291c53525,42863,51460,46038,48781,48816c46101,51395,43011,53380,39510,54769c36009,56356,32364,56952,28575,57150c24786,56952,21141,56356,17640,54769c14139,53380,11049,51395,8369,48816c5690,46038,3625,42863,2175,39291c725,35917,0,32345,0,28575c0,24805,725,21034,2175,17661c3625,14089,5690,10914,8369,8334c11049,5556,14139,3373,17640,2183c21141,794,24786,0,28575,0x">
                  <v:stroke weight="0pt" endcap="flat" joinstyle="miter" miterlimit="4" on="false" color="#000000" opacity="0"/>
                  <v:fill on="true" color="#333333"/>
                </v:shape>
                <v:shape id="Shape 24530" style="position:absolute;width:571;height:571;left:0;top:6096;" coordsize="57150,57150" path="m28575,0c32364,0,36009,794,39510,2183c43011,3373,46101,5556,48781,8334c51460,10914,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914,8369,8334c11049,5556,14139,3373,17640,2183c21141,794,24786,0,28575,0x">
                  <v:stroke weight="0pt" endcap="flat" joinstyle="miter" miterlimit="4" on="false" color="#000000" opacity="0"/>
                  <v:fill on="true" color="#333333"/>
                </v:shape>
                <v:shape id="Shape 24533" style="position:absolute;width:571;height:571;left:0;top:9144;" coordsize="57150,57150" path="m28575,0c32364,0,36009,794,39510,2183c43011,3373,46101,5556,48781,8334c51460,10914,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914,8369,8334c11049,5556,14139,3373,17640,2183c21141,794,24786,0,28575,0x">
                  <v:stroke weight="0pt" endcap="flat" joinstyle="miter" miterlimit="4" on="false" color="#000000" opacity="0"/>
                  <v:fill on="true" color="#333333"/>
                </v:shape>
                <w10:wrap type="square"/>
              </v:group>
            </w:pict>
          </mc:Fallback>
        </mc:AlternateContent>
      </w:r>
      <w:r>
        <w:t>возраст &gt;50 лет; злоупотребление алкоголем; курение; ожирение;</w:t>
      </w:r>
    </w:p>
    <w:p w:rsidR="008E3F15" w:rsidRDefault="005F449A">
      <w:pPr>
        <w:spacing w:after="31"/>
        <w:ind w:left="340" w:right="15"/>
      </w:pPr>
      <w:r>
        <w:t>индивидуальный/семейный анамнез колоректального рака и наследуемых состояний</w:t>
      </w:r>
    </w:p>
    <w:p w:rsidR="008E3F15" w:rsidRDefault="005F449A">
      <w:pPr>
        <w:spacing w:after="31"/>
        <w:ind w:left="340" w:right="15"/>
      </w:pPr>
      <w:r>
        <w:t>(аденоматозный полипоз);</w:t>
      </w:r>
    </w:p>
    <w:p w:rsidR="008E3F15" w:rsidRDefault="005F449A">
      <w:pPr>
        <w:spacing w:after="179"/>
        <w:ind w:left="340" w:right="15"/>
      </w:pPr>
      <w:r>
        <w:t>воспалительные заболевания кишечника (язвенный колит и болезнь Крона) после 8 лет болезни.</w:t>
      </w:r>
    </w:p>
    <w:p w:rsidR="008E3F15" w:rsidRDefault="005F449A">
      <w:pPr>
        <w:ind w:left="2" w:right="339"/>
      </w:pPr>
      <w:r>
        <w:t>Генетические факторы, ассоциированные с колоректальным раком, приводят к раннему (до 50 лет) появлению заболевания (Archambault A. et al., 2020).</w:t>
      </w:r>
    </w:p>
    <w:p w:rsidR="008E3F15" w:rsidRDefault="005F449A">
      <w:pPr>
        <w:ind w:left="2" w:right="177"/>
      </w:pPr>
      <w:r>
        <w:rPr>
          <w:b/>
        </w:rPr>
        <w:t xml:space="preserve">Скрининг. </w:t>
      </w:r>
      <w:r>
        <w:t>Доля коло</w:t>
      </w:r>
      <w:r>
        <w:t>ректального рака, выявляемого при скрининге, сильно варьирует (20– 60%, чаще дистальный) в разных странах (Cardoso R. et al., 2022). Скрининг колоректального рака может снизить смертность от колоректального рака, но нет надежных данных о снижении общей сме</w:t>
      </w:r>
      <w:r>
        <w:t>ртности. Также при скрининге рака чаще выявляют заболевание на I стадии (36–53% против 13–25%) по сравнению с остальным населением (Cardoso R. et al., 2022).</w:t>
      </w:r>
    </w:p>
    <w:p w:rsidR="008E3F15" w:rsidRDefault="005F449A">
      <w:pPr>
        <w:ind w:left="2" w:right="15"/>
      </w:pPr>
      <w:r>
        <w:t>Определенно рекомендуется скрининг в общей популяции с 50 и до 75 лет и может быть полезен в возра</w:t>
      </w:r>
      <w:r>
        <w:t>сте 45–49 (USPSTF, ACP). У стариков в возрасте 76–85 лет решение о скрининге принимается индивидуально, включая данные о состоянии здоровья пациента и анамнез предшествующего скрининга (USPSTF).</w:t>
      </w:r>
    </w:p>
    <w:p w:rsidR="008E3F15" w:rsidRDefault="005F449A">
      <w:pPr>
        <w:spacing w:after="165"/>
        <w:ind w:left="2" w:right="15"/>
      </w:pPr>
      <w:r>
        <w:t>В качестве скрининговых мероприятий в общей популяции могут быть использованы:</w:t>
      </w:r>
    </w:p>
    <w:p w:rsidR="008E3F15" w:rsidRDefault="005F449A">
      <w:pPr>
        <w:spacing w:after="179"/>
        <w:ind w:left="340" w:right="310"/>
      </w:pPr>
      <w:r>
        <w:rPr>
          <w:rFonts w:ascii="Calibri" w:eastAsia="Calibri" w:hAnsi="Calibri" w:cs="Calibri"/>
          <w:noProof/>
          <w:color w:val="000000"/>
          <w:sz w:val="22"/>
        </w:rPr>
        <mc:AlternateContent>
          <mc:Choice Requires="wpg">
            <w:drawing>
              <wp:anchor distT="0" distB="0" distL="114300" distR="114300" simplePos="0" relativeHeight="251958272"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39468" name="Group 339468"/>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4550" name="Shape 24550"/>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53" name="Shape 24553"/>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555" name="Shape 24555"/>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641"/>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641"/>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9468" style="width:4.5pt;height:40.5pt;position:absolute;mso-position-horizontal-relative:text;mso-position-horizontal:absolute;margin-left:16.5pt;mso-position-vertical-relative:text;margin-top:2.73438pt;" coordsize="571,5143">
                <v:shape id="Shape 24550" style="position:absolute;width:571;height:571;left:0;top:0;" coordsize="57150,57150" path="m28575,0c32364,0,36009,595,39510,1984c43011,3373,46101,5556,48781,8136c51460,10716,53525,13891,54975,17264c56425,20836,57150,24606,57150,28575c57150,32147,56425,35719,54975,39291c53525,42664,51460,45839,48781,48617c46101,51197,43011,53181,39510,54769c36009,56158,32364,56952,28575,57150c24786,56952,21141,56158,17640,54769c14139,53181,11049,51197,8369,48617c5690,45839,3625,42664,2175,39291c725,35719,0,32147,0,28575c0,24606,725,20836,2175,17463c3625,13891,5690,10716,8369,8136c11049,5556,14139,3373,17640,1984c21141,595,24786,0,28575,0x">
                  <v:stroke weight="0pt" endcap="flat" joinstyle="miter" miterlimit="4" on="false" color="#000000" opacity="0"/>
                  <v:fill on="true" color="#333333"/>
                </v:shape>
                <v:shape id="Shape 24553" style="position:absolute;width:571;height:571;left:0;top:3048;" coordsize="57150,57150" path="m28575,0c32364,0,36009,595,39510,1984c43011,3373,46101,5556,48781,8136c51460,10716,53525,13891,54975,17264c56425,20836,57150,24606,57150,28575c57150,32147,56425,35719,54975,39291c53525,42664,51460,45839,48781,48617c46101,51197,43011,53380,39510,54769c36009,56356,32364,56952,28575,57150c24786,56952,21141,56356,17640,54967c14139,53380,11049,51197,8369,48617c5690,45839,3625,42664,2175,39291c725,35719,0,32147,0,28575c0,24606,725,20836,2175,17463c3625,13891,5690,10716,8369,8136c11049,5556,14139,3373,17640,1984c21141,595,24786,0,28575,0x">
                  <v:stroke weight="0pt" endcap="flat" joinstyle="miter" miterlimit="4" on="false" color="#000000" opacity="0"/>
                  <v:fill on="true" color="#333333"/>
                </v:shape>
                <v:shape id="Shape 24555" style="position:absolute;width:571;height:571;left:0;top:4572;" coordsize="57150,57150" path="m28575,0c32364,0,36009,794,39510,2183c43011,3373,46101,5556,48781,8136c51460,10716,53525,13891,54975,17264c56425,20638,57150,24606,57150,28575c57150,32147,56425,35719,54975,39291c53525,42664,51460,45641,48781,48617c46101,51197,43011,53380,39510,54769c36009,56158,32364,56952,28575,57150c24786,56952,21141,56158,17640,54769c14139,53380,11049,51197,8369,48617c5690,45641,3625,42664,2175,39291c725,35719,0,32147,0,28575c0,24606,725,20638,2175,17264c3625,13891,5690,10716,8369,8136c11049,5556,14139,3373,17640,1984c21141,595,24786,0,28575,0x">
                  <v:stroke weight="0pt" endcap="flat" joinstyle="miter" miterlimit="4" on="false" color="#000000" opacity="0"/>
                  <v:fill on="true" color="#333333"/>
                </v:shape>
                <w10:wrap type="square"/>
              </v:group>
            </w:pict>
          </mc:Fallback>
        </mc:AlternateContent>
      </w:r>
      <w:r>
        <w:t>анализ кала на скрытую кровь (иммунохимическим методом, более специфичным для человеческого гемоглобина, чем гваяколовый тест) ежегодно; гибкая сигмоидоскопия или КТ-колонограф</w:t>
      </w:r>
      <w:r>
        <w:t>ия каждые 5 лет; колоноскопия 1 раз в 10 лет.</w:t>
      </w:r>
    </w:p>
    <w:p w:rsidR="008E3F15" w:rsidRDefault="005F449A">
      <w:pPr>
        <w:ind w:left="2" w:right="15"/>
      </w:pPr>
      <w:r>
        <w:t>Несмотря на низкую чувствительность и специфичность клинических симптомов тревоги (боль в животе, ректальное кровотечение, диарея, железодефицитная анемия), риск раннего колоректального рака повышается в 1,9, 3</w:t>
      </w:r>
      <w:r>
        <w:t>,6 и 6,5 раза при наличии 1, 2 и 3 симптомов (Fritz C. et al., 2023).</w:t>
      </w:r>
    </w:p>
    <w:p w:rsidR="008E3F15" w:rsidRDefault="005F449A">
      <w:pPr>
        <w:ind w:left="2" w:right="611"/>
      </w:pPr>
      <w:r>
        <w:t>В норвежском исследовании использование колоноскопии, сигмоидоскопии или иммунохимического определения скрытой крови в кале позволило в течение 15 лет снизить смертность от колоректально</w:t>
      </w:r>
      <w:r>
        <w:t>го рака в одинаковой степени, а заболеваемость — на 10, 8 и 4 случая на 1000 пациентов соответственно (Buskermolen M. et al., 2019).</w:t>
      </w:r>
    </w:p>
    <w:p w:rsidR="008E3F15" w:rsidRDefault="005F449A">
      <w:pPr>
        <w:ind w:left="2" w:right="15"/>
      </w:pPr>
      <w:r>
        <w:t>Внедрение скрининга на колоректальный рак с помощью фекального иммунохимического теста в Нидерландах снизило заболеваемость</w:t>
      </w:r>
      <w:r>
        <w:t xml:space="preserve"> колоректальным раком (Breekveldt E. et al., 2021).</w:t>
      </w:r>
    </w:p>
    <w:p w:rsidR="008E3F15" w:rsidRDefault="005F449A">
      <w:pPr>
        <w:ind w:left="2" w:right="15"/>
      </w:pPr>
      <w:r>
        <w:t>Рандомизированное исследование COLONPREV показало сопоставимые результаты выявления колоректального рака при однократной колоноскопии и иммунохимическом определении крови в кале каждые 2 года.</w:t>
      </w:r>
    </w:p>
    <w:p w:rsidR="008E3F15" w:rsidRDefault="005F449A">
      <w:pPr>
        <w:ind w:left="2" w:right="15"/>
      </w:pPr>
      <w:r>
        <w:t>Для скринин</w:t>
      </w:r>
      <w:r>
        <w:t xml:space="preserve">га колоректального рака в настоящее время широко используется колоноскопия, особенно у пациентов высокого риска (табл. 20.3). В рандомизированном исследовании NordICC после однократного исследования риск колоректального рака снизился на 18%, смертность от </w:t>
      </w:r>
      <w:r>
        <w:t>рака — на 10%, а общая смертность не изменилась. Чтобы предупредить случай колоректального рака, потребовалось обследовать 455 пациентов.</w:t>
      </w:r>
    </w:p>
    <w:p w:rsidR="008E3F15" w:rsidRDefault="005F449A">
      <w:pPr>
        <w:spacing w:after="31"/>
        <w:ind w:left="2" w:right="15"/>
      </w:pPr>
      <w:r>
        <w:rPr>
          <w:b/>
        </w:rPr>
        <w:t xml:space="preserve">Таблица 20.3. </w:t>
      </w:r>
      <w:r>
        <w:t>Скрининг колоректального рака в группах высокого риска (NCCN, 1.2022)</w:t>
      </w:r>
    </w:p>
    <w:tbl>
      <w:tblPr>
        <w:tblStyle w:val="TableGrid"/>
        <w:tblW w:w="10485" w:type="dxa"/>
        <w:tblInd w:w="30" w:type="dxa"/>
        <w:tblCellMar>
          <w:top w:w="58" w:type="dxa"/>
          <w:left w:w="45" w:type="dxa"/>
          <w:bottom w:w="0" w:type="dxa"/>
          <w:right w:w="60" w:type="dxa"/>
        </w:tblCellMar>
        <w:tblLook w:val="04A0" w:firstRow="1" w:lastRow="0" w:firstColumn="1" w:lastColumn="0" w:noHBand="0" w:noVBand="1"/>
      </w:tblPr>
      <w:tblGrid>
        <w:gridCol w:w="6345"/>
        <w:gridCol w:w="4140"/>
      </w:tblGrid>
      <w:tr w:rsidR="008E3F15">
        <w:trPr>
          <w:trHeight w:val="330"/>
        </w:trPr>
        <w:tc>
          <w:tcPr>
            <w:tcW w:w="6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Группа риска</w:t>
            </w:r>
          </w:p>
        </w:tc>
        <w:tc>
          <w:tcPr>
            <w:tcW w:w="4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rPr>
                <w:b/>
              </w:rPr>
              <w:t>Диагностика</w:t>
            </w:r>
          </w:p>
        </w:tc>
      </w:tr>
      <w:tr w:rsidR="008E3F15">
        <w:trPr>
          <w:trHeight w:val="1050"/>
        </w:trPr>
        <w:tc>
          <w:tcPr>
            <w:tcW w:w="6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Колоректальный рак у родственника 1-й степени родства в любом возрасте</w:t>
            </w:r>
          </w:p>
        </w:tc>
        <w:tc>
          <w:tcPr>
            <w:tcW w:w="4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Колоноскопия с 40 лет</w:t>
            </w:r>
          </w:p>
          <w:p w:rsidR="008E3F15" w:rsidRDefault="005F449A">
            <w:pPr>
              <w:spacing w:after="0" w:line="259" w:lineRule="auto"/>
              <w:ind w:left="1" w:right="0" w:firstLine="0"/>
            </w:pPr>
            <w:r>
              <w:t>или на 10 лет раньше заболевания у родственника, далее с интервалом 5 лет</w:t>
            </w:r>
          </w:p>
        </w:tc>
      </w:tr>
      <w:tr w:rsidR="008E3F15">
        <w:trPr>
          <w:trHeight w:val="1050"/>
        </w:trPr>
        <w:tc>
          <w:tcPr>
            <w:tcW w:w="6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6" w:firstLine="0"/>
            </w:pPr>
            <w:r>
              <w:t>Выраженные аденоматозные полипы (≥1 см, дисплазия высокой степени, ворсинчатая или тубуловорсинчатая гистология), выраженные зубчатые сидячие полипы (≥1 см, дисплазия) у родственника 1-й степени родства</w:t>
            </w:r>
          </w:p>
        </w:tc>
        <w:tc>
          <w:tcPr>
            <w:tcW w:w="4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Колоноскопия с 40 лет</w:t>
            </w:r>
          </w:p>
          <w:p w:rsidR="008E3F15" w:rsidRDefault="005F449A">
            <w:pPr>
              <w:spacing w:after="0" w:line="259" w:lineRule="auto"/>
              <w:ind w:left="1" w:right="0" w:firstLine="0"/>
            </w:pPr>
            <w:r>
              <w:t>или на 10 лет раньше заболевани</w:t>
            </w:r>
            <w:r>
              <w:t>я у родственника, далее с интервалом 5–10 лет</w:t>
            </w:r>
          </w:p>
        </w:tc>
      </w:tr>
      <w:tr w:rsidR="008E3F15">
        <w:trPr>
          <w:trHeight w:val="788"/>
        </w:trPr>
        <w:tc>
          <w:tcPr>
            <w:tcW w:w="6345" w:type="dxa"/>
            <w:tcBorders>
              <w:top w:val="double" w:sz="6" w:space="0" w:color="000000"/>
              <w:left w:val="double" w:sz="6" w:space="0" w:color="000000"/>
              <w:bottom w:val="single" w:sz="6" w:space="0" w:color="000000"/>
              <w:right w:val="double" w:sz="6" w:space="0" w:color="000000"/>
            </w:tcBorders>
            <w:vAlign w:val="center"/>
          </w:tcPr>
          <w:p w:rsidR="008E3F15" w:rsidRDefault="005F449A">
            <w:pPr>
              <w:spacing w:after="0" w:line="259" w:lineRule="auto"/>
              <w:ind w:left="0" w:right="0" w:firstLine="0"/>
            </w:pPr>
            <w:r>
              <w:t>Воспалительное заболевание кишечника, язвенный колит или болезнь Крона</w:t>
            </w:r>
          </w:p>
        </w:tc>
        <w:tc>
          <w:tcPr>
            <w:tcW w:w="414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1" w:right="238" w:firstLine="0"/>
            </w:pPr>
            <w:r>
              <w:t>Колоноскопия с биопсией через 8 лет после появления симптомов и далее каждые 1–2 года</w:t>
            </w:r>
          </w:p>
        </w:tc>
      </w:tr>
      <w:tr w:rsidR="008E3F15">
        <w:trPr>
          <w:trHeight w:val="218"/>
        </w:trPr>
        <w:tc>
          <w:tcPr>
            <w:tcW w:w="1048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1028"/>
        </w:trPr>
        <w:tc>
          <w:tcPr>
            <w:tcW w:w="6345" w:type="dxa"/>
            <w:tcBorders>
              <w:top w:val="sing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Носитель гена и пациенты с высоким риском наследственного неполипозного колоректального рака</w:t>
            </w:r>
          </w:p>
        </w:tc>
        <w:tc>
          <w:tcPr>
            <w:tcW w:w="414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199" w:firstLine="0"/>
            </w:pPr>
            <w:r>
              <w:t>Колоноскопия каждые 1–2 года начиная с 20–25 лет или на 10 лет раньше, чем случай заболевания у самого молодого родственника</w:t>
            </w:r>
          </w:p>
        </w:tc>
      </w:tr>
      <w:tr w:rsidR="008E3F15">
        <w:trPr>
          <w:trHeight w:val="810"/>
        </w:trPr>
        <w:tc>
          <w:tcPr>
            <w:tcW w:w="6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&gt;10 аденоматозных и/или сидячих зубчатых полипов при одном исследовании, пациенты с незавершенной колоноскопией</w:t>
            </w:r>
          </w:p>
        </w:tc>
        <w:tc>
          <w:tcPr>
            <w:tcW w:w="41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Индивидуальное ведение</w:t>
            </w:r>
          </w:p>
        </w:tc>
      </w:tr>
      <w:tr w:rsidR="008E3F15">
        <w:trPr>
          <w:trHeight w:val="1050"/>
        </w:trPr>
        <w:tc>
          <w:tcPr>
            <w:tcW w:w="63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122" w:firstLine="0"/>
            </w:pPr>
            <w:r>
              <w:t>3–10 аденоматозных и/или сидячих зубчатых полипов, большой (&gt;1 см) гиперпластический полип, дисплазия высокой степени, зубчатый сидячий полип с дисплазией</w:t>
            </w:r>
          </w:p>
        </w:tc>
        <w:tc>
          <w:tcPr>
            <w:tcW w:w="414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1" w:right="0" w:firstLine="0"/>
            </w:pPr>
            <w:r>
              <w:t>Колоноскопия через 3 года после первой полипэктомии, далее через 5 лет</w:t>
            </w:r>
          </w:p>
        </w:tc>
      </w:tr>
      <w:tr w:rsidR="008E3F15">
        <w:trPr>
          <w:trHeight w:val="810"/>
        </w:trPr>
        <w:tc>
          <w:tcPr>
            <w:tcW w:w="6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1–2 небольшие (&lt;1 см) тубулярные аденомы низкого риска</w:t>
            </w:r>
          </w:p>
        </w:tc>
        <w:tc>
          <w:tcPr>
            <w:tcW w:w="4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0" w:firstLine="0"/>
            </w:pPr>
            <w:r>
              <w:t>Колоноскопия через 5–10 лет после первой полипэктомии, далее через 10 лет</w:t>
            </w:r>
          </w:p>
        </w:tc>
      </w:tr>
      <w:tr w:rsidR="008E3F15">
        <w:trPr>
          <w:trHeight w:val="1050"/>
        </w:trPr>
        <w:tc>
          <w:tcPr>
            <w:tcW w:w="6345"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1–2 небольших (&lt;1 см) зубчатых сидячих полипа низкого риска без дисплазии</w:t>
            </w:r>
          </w:p>
        </w:tc>
        <w:tc>
          <w:tcPr>
            <w:tcW w:w="414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1" w:right="379" w:firstLine="0"/>
            </w:pPr>
            <w:r>
              <w:t xml:space="preserve">Колоноскопия через 5 лет после первой полипэктомии, </w:t>
            </w:r>
            <w:r>
              <w:t>далее в зависимости от клинической ситуации</w:t>
            </w:r>
          </w:p>
        </w:tc>
      </w:tr>
    </w:tbl>
    <w:p w:rsidR="008E3F15" w:rsidRDefault="005F449A">
      <w:pPr>
        <w:spacing w:after="359"/>
        <w:ind w:left="2" w:right="15"/>
      </w:pPr>
      <w:r>
        <w:t>Важно отметить, что снижение частоты и смертности колоректального рака в течение 10– 17 лет после колоноскопии показано только для исследования высокого качества (Pilonis N. et al., 2020).</w:t>
      </w:r>
    </w:p>
    <w:p w:rsidR="008E3F15" w:rsidRDefault="005F449A">
      <w:pPr>
        <w:pStyle w:val="Heading1"/>
        <w:ind w:left="2"/>
      </w:pPr>
      <w:r>
        <w:t>Часть II. Коморбидные болезни</w:t>
      </w:r>
    </w:p>
    <w:p w:rsidR="008E3F15" w:rsidRDefault="005F449A">
      <w:pPr>
        <w:ind w:left="2" w:right="15"/>
      </w:pPr>
      <w:r>
        <w:t>При отрицательном результате колоноскопии заболеваемость колоректальным раком низкая. В английском исследовании колоректальный рак был выявлен у 5% пациентов в течение 3 лет после отрицательной колоноскопии, причем в 42% случа</w:t>
      </w:r>
      <w:r>
        <w:t>ев при адекватной подготовке пациента и интубации до слепой кишки (Anderson R. et al., 2020).</w:t>
      </w:r>
    </w:p>
    <w:p w:rsidR="008E3F15" w:rsidRDefault="005F449A">
      <w:pPr>
        <w:ind w:left="2" w:right="15"/>
      </w:pPr>
      <w:r>
        <w:t>После отрицательной колоноскопии может быть полезным продолжение скрининга с помощью иммунохимического теста на скрытую кровь (Peng S. et al., 2021). В то же врем</w:t>
      </w:r>
      <w:r>
        <w:t>я последний хуже выявляет проксимальный рак кишечника (Chiu H. et al., 2021).</w:t>
      </w:r>
    </w:p>
    <w:p w:rsidR="008E3F15" w:rsidRDefault="005F449A">
      <w:pPr>
        <w:ind w:left="2" w:right="15"/>
      </w:pPr>
      <w:r>
        <w:t>Гибкая сигмоидоскопия не позволяет обнаруживать правосторонние опухоли и выявляет колоректальный рак на 45% реже, чем колоноскопия.</w:t>
      </w:r>
    </w:p>
    <w:p w:rsidR="008E3F15" w:rsidRDefault="005F449A">
      <w:pPr>
        <w:ind w:left="2" w:right="15"/>
      </w:pPr>
      <w:r>
        <w:t>Мультитаргетные тесты нуклеиновых кислот в кал</w:t>
      </w:r>
      <w:r>
        <w:t>е (mt-sDNA, mt-sRNA) показали хорошую чувствительность и приемлемую специфичность выявления колоректального рака (BLUE-C; CRC-PREVENT).</w:t>
      </w:r>
    </w:p>
    <w:p w:rsidR="008E3F15" w:rsidRDefault="005F449A">
      <w:pPr>
        <w:ind w:left="2" w:right="137"/>
      </w:pPr>
      <w:r>
        <w:t>Рентгенография толстого кишечника выявляет лишь 30–50% новообразований, обнаруживаемых с помощью колоноскопии, и не реко</w:t>
      </w:r>
      <w:r>
        <w:t>мендована для скрининга. В России программа диспансеризации на первом этапе предусматривает анализ кала на скрытую кровь иммунохимическим методом каждые 2 года в возрасте 40–64 года, а далее ежегодно.</w:t>
      </w:r>
    </w:p>
    <w:p w:rsidR="008E3F15" w:rsidRDefault="005F449A">
      <w:pPr>
        <w:ind w:left="2" w:right="149"/>
      </w:pPr>
      <w:r>
        <w:t>Отказ от колоноскопии после положительного фекального и</w:t>
      </w:r>
      <w:r>
        <w:t>ммунохимического теста увеличил риск смерти от колоректального рака в течение 10 лет (Zorzi M. et al., 2021). Имеются противоречивые оценки влияния приема оральных антикоагулянтов и НПВП на точность фекального иммунохимического теста (Nieuwenburg S. et al.</w:t>
      </w:r>
      <w:r>
        <w:t>, 2019; Randel K. et al., 2019).</w:t>
      </w:r>
    </w:p>
    <w:p w:rsidR="008E3F15" w:rsidRDefault="005F449A">
      <w:pPr>
        <w:spacing w:after="133" w:line="259" w:lineRule="auto"/>
        <w:ind w:left="2" w:right="0"/>
      </w:pPr>
      <w:r>
        <w:rPr>
          <w:b/>
        </w:rPr>
        <w:t>Профилактика: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59296"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39761" name="Group 339761"/>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4692" name="Shape 24692"/>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694" name="Shape 24694"/>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696" name="Shape 24696"/>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698" name="Shape 24698"/>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s:wsp>
                        <wps:cNvPr id="24700" name="Shape 24700"/>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00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39761" style="width:4.5pt;height:52.5pt;position:absolute;mso-position-horizontal-relative:text;mso-position-horizontal:absolute;margin-left:16.5pt;mso-position-vertical-relative:text;margin-top:2.73438pt;" coordsize="571,6667">
                <v:shape id="Shape 24692" style="position:absolute;width:571;height:571;left:0;top:0;"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358,14139,3373,17640,1984c21141,595,24786,0,28575,0x">
                  <v:stroke weight="0pt" endcap="flat" joinstyle="miter" miterlimit="4" on="false" color="#000000" opacity="0"/>
                  <v:fill on="true" color="#333333"/>
                </v:shape>
                <v:shape id="Shape 24694" style="position:absolute;width:571;height:571;left:0;top:1524;"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4696" style="position:absolute;width:571;height:571;left:0;top:3048;"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4" on="false" color="#000000" opacity="0"/>
                  <v:fill on="true" color="#333333"/>
                </v:shape>
                <v:shape id="Shape 24698" style="position:absolute;width:571;height:571;left:0;top:4572;"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4" on="false" color="#000000" opacity="0"/>
                  <v:fill on="true" color="#333333"/>
                </v:shape>
                <v:shape id="Shape 24700" style="position:absolute;width:571;height:571;left:0;top:6096;" coordsize="57150,57150" path="m28575,0c32364,0,36009,794,39510,2183c43011,3373,46101,5358,48781,8136c51460,10716,53525,13692,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692,5690,10716,8369,8136c11049,5358,14139,3373,17640,1984c21141,595,24786,0,28575,0x">
                  <v:stroke weight="0pt" endcap="flat" joinstyle="miter" miterlimit="4" on="false" color="#000000" opacity="0"/>
                  <v:fill on="true" color="#333333"/>
                </v:shape>
                <w10:wrap type="square"/>
              </v:group>
            </w:pict>
          </mc:Fallback>
        </mc:AlternateContent>
      </w:r>
      <w:r>
        <w:t>регулярные физические нагрузки;</w:t>
      </w:r>
    </w:p>
    <w:p w:rsidR="008E3F15" w:rsidRDefault="005F449A">
      <w:pPr>
        <w:ind w:left="340" w:right="3587"/>
      </w:pPr>
      <w:r>
        <w:t>отказ от курения и злоупотребления алкоголем; удаление полипов &gt;1 см;</w:t>
      </w:r>
    </w:p>
    <w:p w:rsidR="008E3F15" w:rsidRDefault="005F449A">
      <w:pPr>
        <w:spacing w:after="179"/>
        <w:ind w:left="340" w:right="683"/>
      </w:pPr>
      <w:r>
        <w:t>заместительная гормонотерапия (эстрогены + прогестины) в постменопаузе; прием АСК в малых дозах (75–300 мг/сут).</w:t>
      </w:r>
    </w:p>
    <w:p w:rsidR="008E3F15" w:rsidRDefault="005F449A">
      <w:pPr>
        <w:ind w:left="2" w:right="106"/>
      </w:pPr>
      <w:r>
        <w:t>В многолетнем проспективном исследовании NPS удаление аденоматозных полипов снизило смертность от колоректального рака на 53%. Однако даже посл</w:t>
      </w:r>
      <w:r>
        <w:t>е полипэктомии риск колоректального рака остается повышенным, особенно при ворсинчатых (в 2 раза) и трубчато-ворсинчатых аденомах (в 3,5 раза), по данным шведского регистра ESPRESSO. Исследования показали, что длительный (5–20 лет) прием малых доз АСК спос</w:t>
      </w:r>
      <w:r>
        <w:t>обен снизить заболеваемость и смертность от колоректального рака (Rothwell P. et al., 2010, 2012; Chubak J. et al., 2016). Возможно, эффективны и другие НПВП.</w:t>
      </w:r>
    </w:p>
    <w:p w:rsidR="008E3F15" w:rsidRDefault="005F449A">
      <w:pPr>
        <w:spacing w:after="359"/>
        <w:ind w:left="2" w:right="15"/>
      </w:pPr>
      <w:r>
        <w:t>В рандомизированном исследовании CAPP2 ежедневный прием 500 мг АСК снизил на 37% риск врожденного</w:t>
      </w:r>
      <w:r>
        <w:t xml:space="preserve"> неполипозного колоректального рака.</w:t>
      </w:r>
    </w:p>
    <w:p w:rsidR="008E3F15" w:rsidRDefault="005F449A">
      <w:pPr>
        <w:pStyle w:val="Heading1"/>
        <w:ind w:left="2"/>
      </w:pPr>
      <w:r>
        <w:t>Часть II. Коморбидные болезни</w:t>
      </w:r>
    </w:p>
    <w:p w:rsidR="008E3F15" w:rsidRDefault="005F449A">
      <w:pPr>
        <w:spacing w:after="31"/>
        <w:ind w:left="2" w:right="15"/>
      </w:pPr>
      <w:r>
        <w:t>Рак пищевода</w:t>
      </w:r>
    </w:p>
    <w:p w:rsidR="008E3F15" w:rsidRDefault="005F449A">
      <w:pPr>
        <w:spacing w:after="133" w:line="259" w:lineRule="auto"/>
        <w:ind w:left="2" w:right="0"/>
      </w:pPr>
      <w:r>
        <w:rPr>
          <w:b/>
        </w:rPr>
        <w:t>Факторы риска:</w:t>
      </w:r>
    </w:p>
    <w:p w:rsidR="008E3F15" w:rsidRDefault="005F449A">
      <w:pPr>
        <w:spacing w:after="179"/>
        <w:ind w:left="340" w:right="5181"/>
      </w:pPr>
      <w:r>
        <w:rPr>
          <w:rFonts w:ascii="Calibri" w:eastAsia="Calibri" w:hAnsi="Calibri" w:cs="Calibri"/>
          <w:noProof/>
          <w:color w:val="000000"/>
          <w:sz w:val="22"/>
        </w:rPr>
        <mc:AlternateContent>
          <mc:Choice Requires="wpg">
            <w:drawing>
              <wp:anchor distT="0" distB="0" distL="114300" distR="114300" simplePos="0" relativeHeight="251960320"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47919" name="Group 347919"/>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4736" name="Shape 2473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641"/>
                                  <a:pt x="48781" y="48617"/>
                                </a:cubicBezTo>
                                <a:cubicBezTo>
                                  <a:pt x="46101" y="50998"/>
                                  <a:pt x="43011" y="52983"/>
                                  <a:pt x="39510" y="54570"/>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38" name="Shape 24738"/>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40" name="Shape 24740"/>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641"/>
                                  <a:pt x="48781" y="48617"/>
                                </a:cubicBezTo>
                                <a:cubicBezTo>
                                  <a:pt x="46101" y="50998"/>
                                  <a:pt x="43011" y="53181"/>
                                  <a:pt x="39510" y="54769"/>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42" name="Shape 24742"/>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919" style="width:4.5pt;height:40.5pt;position:absolute;mso-position-horizontal-relative:text;mso-position-horizontal:absolute;margin-left:16.5pt;mso-position-vertical-relative:text;margin-top:2.73438pt;" coordsize="571,5143">
                <v:shape id="Shape 24736" style="position:absolute;width:571;height:571;left:0;top:0;" coordsize="57150,57150" path="m28575,0c32364,0,36009,794,39510,2183c43011,3373,46101,5358,48781,8136c51460,10716,53525,13891,54975,17264c56425,20638,57150,24606,57150,28575c57150,32147,56425,35719,54975,39291c53525,42664,51460,45641,48781,48617c46101,50998,43011,52983,39510,54570c36009,56158,32364,56952,28575,57150c24786,56952,21141,56158,17640,54769c14139,53181,11049,50998,8369,48617c5690,45641,3625,42664,2175,39291c725,35719,0,32147,0,28575c0,24606,725,20638,2175,17264c3625,13891,5690,10716,8369,8136c11049,5358,14139,3373,17640,1984c21141,595,24786,0,28575,0x">
                  <v:stroke weight="0pt" endcap="flat" joinstyle="miter" miterlimit="10" on="false" color="#000000" opacity="0"/>
                  <v:fill on="true" color="#333333"/>
                </v:shape>
                <v:shape id="Shape 24738" style="position:absolute;width:571;height:571;left:0;top:1524;" coordsize="57150,57150" path="m28575,0c32364,0,36009,595,39510,1984c43011,3373,46101,5556,48781,8136c51460,10914,53525,14089,54975,17463c56425,20836,57150,24606,57150,28575c57150,32147,56425,35719,54975,39092c53525,42664,51460,45641,48781,48617c46101,50998,43011,53181,39510,54570c36009,56158,32364,56952,28575,57150c24786,56952,21141,56158,17640,54570c14139,53181,11049,50998,8369,48617c5690,45641,3625,42664,2175,39092c725,35719,0,32147,0,28575c0,24606,725,20836,2175,17463c3625,14089,5690,10914,8369,8136c11049,5556,14139,3373,17640,1984c21141,595,24786,0,28575,0x">
                  <v:stroke weight="0pt" endcap="flat" joinstyle="miter" miterlimit="10" on="false" color="#000000" opacity="0"/>
                  <v:fill on="true" color="#333333"/>
                </v:shape>
                <v:shape id="Shape 24740" style="position:absolute;width:571;height:571;left:0;top:3048;" coordsize="57150,57150" path="m28575,0c32364,0,36009,794,39510,2183c43011,3373,46101,5556,48781,8136c51460,10716,53525,13891,54975,17463c56425,20836,57150,24606,57150,28575c57150,32147,56425,35719,54975,39291c53525,42664,51460,45641,48781,48617c46101,50998,43011,53181,39510,54769c36009,56158,32364,56952,28575,57150c24786,56952,21141,56158,17640,54769c14139,53181,11049,50998,8369,48617c5690,45641,3625,42664,2175,39291c725,35719,0,32147,0,28575c0,24606,725,20836,2175,17463c3625,13891,5690,10716,8369,8136c11049,5556,14139,3373,17640,1984c21141,595,24786,0,28575,0x">
                  <v:stroke weight="0pt" endcap="flat" joinstyle="miter" miterlimit="10" on="false" color="#000000" opacity="0"/>
                  <v:fill on="true" color="#333333"/>
                </v:shape>
                <v:shape id="Shape 24742" style="position:absolute;width:571;height:571;left:0;top:4572;" coordsize="57150,57150" path="m28575,0c32364,0,36009,595,39510,1984c43011,3373,46101,5556,48781,8136c51460,10914,53525,14089,54975,17463c56425,20836,57150,24606,57150,28575c57150,32147,56425,35719,54975,39092c53525,42664,51460,45641,48781,48617c46101,50998,43011,53181,39510,54570c36009,56158,32364,56952,28575,57150c24786,56952,21141,56158,17640,54570c14139,53181,11049,50998,8369,48617c5690,45641,3625,42664,2175,39092c725,35719,0,32147,0,28575c0,24606,725,20836,2175,17463c3625,14089,5690,10914,8369,8136c11049,5556,14139,3373,17640,1984c21141,595,24786,0,28575,0x">
                  <v:stroke weight="0pt" endcap="flat" joinstyle="miter" miterlimit="10" on="false" color="#000000" opacity="0"/>
                  <v:fill on="true" color="#333333"/>
                </v:shape>
                <w10:wrap type="square"/>
              </v:group>
            </w:pict>
          </mc:Fallback>
        </mc:AlternateContent>
      </w:r>
      <w:r>
        <w:t>гастроэзофагеальная рефлюксная болезнь; злоупотребление алкоголем; курение; горячий чай.</w:t>
      </w:r>
    </w:p>
    <w:p w:rsidR="008E3F15" w:rsidRDefault="005F449A">
      <w:pPr>
        <w:ind w:left="2" w:right="15"/>
      </w:pPr>
      <w:r>
        <w:t>Установлено, что длительная гастроэзофагеальная рефлюксная болезнь способствует развитию пищевода Барретта, который в случаях появления дисплазии может трансформироваться в рак. Следует отметить, что повысить риск пищеводной</w:t>
      </w:r>
    </w:p>
    <w:p w:rsidR="008E3F15" w:rsidRDefault="005F449A">
      <w:pPr>
        <w:spacing w:after="31"/>
        <w:ind w:left="2" w:right="15"/>
      </w:pPr>
      <w:r>
        <w:t>аденокарциномы может прием преп</w:t>
      </w:r>
      <w:r>
        <w:t>аратов, расслабляющих нижний пищеводный сфинктер</w:t>
      </w:r>
    </w:p>
    <w:p w:rsidR="008E3F15" w:rsidRDefault="005F449A">
      <w:pPr>
        <w:spacing w:after="31"/>
        <w:ind w:left="2" w:right="15"/>
      </w:pPr>
      <w:r>
        <w:t>(Lagergren J. et al., 2000).</w:t>
      </w:r>
    </w:p>
    <w:p w:rsidR="008E3F15" w:rsidRDefault="005F449A">
      <w:pPr>
        <w:spacing w:after="179"/>
        <w:ind w:left="2" w:right="149"/>
      </w:pPr>
      <w:r>
        <w:rPr>
          <w:b/>
        </w:rPr>
        <w:t xml:space="preserve">Скрининг. </w:t>
      </w:r>
      <w:r>
        <w:t>В настоящее время нет данных, что скрининг рака пищевода снижает смертность от этого заболевания. Эндоскопическое наблюдение в случаях пищевода Барретта без дисплазии р</w:t>
      </w:r>
      <w:r>
        <w:t xml:space="preserve">екомендуют проводить через 3–5 лет, при дисплазии низкой степени — через 6– 12 мес, а при высокой степени — через каждые 3 мес. </w:t>
      </w:r>
      <w:r>
        <w:rPr>
          <w:b/>
        </w:rPr>
        <w:t>Профилактика: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61344"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47924" name="Group 347924"/>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4755" name="Shape 24755"/>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57" name="Shape 24757"/>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59" name="Shape 24759"/>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61" name="Shape 24761"/>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924" style="width:4.5pt;height:40.5pt;position:absolute;mso-position-horizontal-relative:text;mso-position-horizontal:absolute;margin-left:16.5pt;mso-position-vertical-relative:text;margin-top:2.73438pt;" coordsize="571,5143">
                <v:shape id="Shape 24755" style="position:absolute;width:571;height:571;left:0;top:0;" coordsize="57150,57150" path="m28575,0c32364,0,36009,794,39510,2183c43011,3373,46101,5556,48781,8334c51460,10914,53525,14089,54975,17661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4089,5690,10914,8369,8334c11049,5556,14139,3373,17640,2183c21141,794,24786,0,28575,0x">
                  <v:stroke weight="0pt" endcap="flat" joinstyle="miter" miterlimit="10" on="false" color="#000000" opacity="0"/>
                  <v:fill on="true" color="#333333"/>
                </v:shape>
                <v:shape id="Shape 24757" style="position:absolute;width:571;height:571;left:0;top:1524;" coordsize="57150,57150" path="m28575,0c32364,0,36009,595,39510,1984c43011,3373,46101,5556,48781,8334c51460,10914,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914,8369,8334c11049,5556,14139,3373,17640,1984c21141,595,24786,0,28575,0x">
                  <v:stroke weight="0pt" endcap="flat" joinstyle="miter" miterlimit="10" on="false" color="#000000" opacity="0"/>
                  <v:fill on="true" color="#333333"/>
                </v:shape>
                <v:shape id="Shape 24759" style="position:absolute;width:571;height:571;left:0;top:3048;" coordsize="57150,57150" path="m28575,0c32364,0,36009,794,39510,2183c43011,3373,46101,5556,48781,8334c51460,10914,53525,14089,54975,17661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4089,5690,10914,8369,8334c11049,5556,14139,3373,17640,2183c21141,794,24786,0,28575,0x">
                  <v:stroke weight="0pt" endcap="flat" joinstyle="miter" miterlimit="10" on="false" color="#000000" opacity="0"/>
                  <v:fill on="true" color="#333333"/>
                </v:shape>
                <v:shape id="Shape 24761" style="position:absolute;width:571;height:571;left:0;top:4572;" coordsize="57150,57150" path="m28575,0c32364,0,36009,794,39510,2183c43011,3373,46101,5556,48781,8334c51460,10914,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914,8369,8334c11049,5556,14139,3373,17640,2183c21141,794,24786,0,28575,0x">
                  <v:stroke weight="0pt" endcap="flat" joinstyle="miter" miterlimit="10" on="false" color="#000000" opacity="0"/>
                  <v:fill on="true" color="#333333"/>
                </v:shape>
                <w10:wrap type="square"/>
              </v:group>
            </w:pict>
          </mc:Fallback>
        </mc:AlternateContent>
      </w:r>
      <w:r>
        <w:t>ингибиторы протонной помпы;</w:t>
      </w:r>
    </w:p>
    <w:p w:rsidR="008E3F15" w:rsidRDefault="005F449A">
      <w:pPr>
        <w:spacing w:after="179"/>
        <w:ind w:left="340" w:right="4612"/>
      </w:pPr>
      <w:r>
        <w:t>отказ от курения и злоупотребления алкоголем; АСК, НПВП; абляция пищевода Барретта.</w:t>
      </w:r>
    </w:p>
    <w:p w:rsidR="008E3F15" w:rsidRDefault="005F449A">
      <w:pPr>
        <w:ind w:left="2" w:right="240"/>
      </w:pPr>
      <w:r>
        <w:t>Эффективное лечение гастроэзофагеальной рефлюксной болезни с помощью ингибиторов протонной помпы может снизить риск пищевода Барретта с метаплазией высокой степени и аденокарциномы пищевода (Singh S. et al., 2014).</w:t>
      </w:r>
    </w:p>
    <w:p w:rsidR="008E3F15" w:rsidRDefault="005F449A">
      <w:pPr>
        <w:spacing w:after="31"/>
        <w:ind w:left="2" w:right="15"/>
      </w:pPr>
      <w:r>
        <w:t>Существуют противоречивые оценки профилак</w:t>
      </w:r>
      <w:r>
        <w:t>тического эффекта АСК и НПВП.</w:t>
      </w:r>
    </w:p>
    <w:p w:rsidR="008E3F15" w:rsidRDefault="005F449A">
      <w:pPr>
        <w:spacing w:after="359"/>
        <w:ind w:left="2" w:right="239"/>
      </w:pPr>
      <w:r>
        <w:t>В рандомизированном исследовании AspECT высокие дозы эзомепразола (40 мг дважды) и АСК (300–325 мг/сут), особенно в комбинации, улучшили прогноз пациентов с пищеводом Барретта.</w:t>
      </w:r>
    </w:p>
    <w:p w:rsidR="008E3F15" w:rsidRDefault="005F449A">
      <w:pPr>
        <w:pStyle w:val="Heading1"/>
        <w:ind w:left="2"/>
      </w:pPr>
      <w:r>
        <w:t>Часть II. Коморбидные болезни</w:t>
      </w:r>
    </w:p>
    <w:p w:rsidR="008E3F15" w:rsidRDefault="005F449A">
      <w:pPr>
        <w:spacing w:after="31"/>
        <w:ind w:left="2" w:right="15"/>
      </w:pPr>
      <w:r>
        <w:t>Рак желудка</w:t>
      </w:r>
    </w:p>
    <w:p w:rsidR="008E3F15" w:rsidRDefault="005F449A">
      <w:pPr>
        <w:spacing w:after="133" w:line="259" w:lineRule="auto"/>
        <w:ind w:left="2" w:right="0"/>
      </w:pPr>
      <w:r>
        <w:rPr>
          <w:b/>
        </w:rPr>
        <w:t>Факторы</w:t>
      </w:r>
      <w:r>
        <w:rPr>
          <w:b/>
        </w:rPr>
        <w:t xml:space="preserve">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62368" behindDoc="0" locked="0" layoutInCell="1" allowOverlap="1">
                <wp:simplePos x="0" y="0"/>
                <wp:positionH relativeFrom="column">
                  <wp:posOffset>209550</wp:posOffset>
                </wp:positionH>
                <wp:positionV relativeFrom="paragraph">
                  <wp:posOffset>34727</wp:posOffset>
                </wp:positionV>
                <wp:extent cx="57150" cy="971550"/>
                <wp:effectExtent l="0" t="0" r="0" b="0"/>
                <wp:wrapSquare wrapText="bothSides"/>
                <wp:docPr id="347925" name="Group 347925"/>
                <wp:cNvGraphicFramePr/>
                <a:graphic xmlns:a="http://schemas.openxmlformats.org/drawingml/2006/main">
                  <a:graphicData uri="http://schemas.microsoft.com/office/word/2010/wordprocessingGroup">
                    <wpg:wgp>
                      <wpg:cNvGrpSpPr/>
                      <wpg:grpSpPr>
                        <a:xfrm>
                          <a:off x="0" y="0"/>
                          <a:ext cx="57150" cy="971550"/>
                          <a:chOff x="0" y="0"/>
                          <a:chExt cx="57150" cy="971550"/>
                        </a:xfrm>
                      </wpg:grpSpPr>
                      <wps:wsp>
                        <wps:cNvPr id="24773" name="Shape 24773"/>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75" name="Shape 24775"/>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77" name="Shape 24777"/>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79" name="Shape 24779"/>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81" name="Shape 24781"/>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83" name="Shape 24783"/>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785" name="Shape 24785"/>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925" style="width:4.5pt;height:76.5pt;position:absolute;mso-position-horizontal-relative:text;mso-position-horizontal:absolute;margin-left:16.5pt;mso-position-vertical-relative:text;margin-top:2.73438pt;" coordsize="571,9715">
                <v:shape id="Shape 24773" style="position:absolute;width:571;height:571;left:0;top:0;" coordsize="57150,57150" path="m28575,0c32364,0,36009,595,39510,1984c43011,3373,46101,5358,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358,14139,3373,17640,1984c21141,595,24786,0,28575,0x">
                  <v:stroke weight="0pt" endcap="flat" joinstyle="miter" miterlimit="10" on="false" color="#000000" opacity="0"/>
                  <v:fill on="true" color="#333333"/>
                </v:shape>
                <v:shape id="Shape 24775" style="position:absolute;width:571;height:571;left:0;top:1524;" coordsize="57150,57150" path="m28575,0c32364,0,36009,595,39510,1984c43011,3373,46101,5556,48781,8136c51460,10716,53525,13891,54975,17264c56425,21034,57150,24805,57150,28575c57150,32345,56425,35917,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4777" style="position:absolute;width:571;height:571;left:0;top:3048;"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4779" style="position:absolute;width:571;height:571;left:0;top:4572;" coordsize="57150,57150" path="m28575,0c32364,0,36009,595,39510,1984c43011,3373,46101,5556,48781,8136c51460,10716,53525,13891,54975,17264c56425,20836,57150,24606,57150,28575c57150,32147,56425,35719,54975,39291c53525,42664,51460,45839,48781,48617c46101,51197,43011,53181,39510,54769c36009,56158,32364,56952,28575,57150c24786,56952,21141,56158,17640,54769c14139,53181,11049,51197,8369,48617c5690,45839,3625,42664,2175,39291c725,35719,0,32147,0,28575c0,24606,725,20836,2175,17463c3625,13891,5690,10716,8369,8136c11049,5556,14139,3373,17640,1984c21141,595,24786,0,28575,0x">
                  <v:stroke weight="0pt" endcap="flat" joinstyle="miter" miterlimit="10" on="false" color="#000000" opacity="0"/>
                  <v:fill on="true" color="#333333"/>
                </v:shape>
                <v:shape id="Shape 24781" style="position:absolute;width:571;height:571;left:0;top:6096;"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4783" style="position:absolute;width:571;height:571;left:0;top:7620;" coordsize="57150,57150" path="m28575,0c32364,0,36009,595,39510,1984c43011,3373,46101,5556,48781,8136c51460,10716,53525,13891,54975,17264c56425,20836,57150,24606,57150,28575c57150,32147,56425,35719,54975,39291c53525,42664,51460,45839,48781,48617c46101,51197,43011,53380,39510,54769c36009,56356,32364,56952,28575,57150c24786,56952,21141,56356,17640,54967c14139,53380,11049,51197,8369,48617c5690,45839,3625,42664,2175,39291c725,35719,0,32147,0,28575c0,24606,725,20836,2175,17463c3625,13891,5690,10716,8369,8136c11049,5556,14139,3373,17640,1984c21141,595,24786,0,28575,0x">
                  <v:stroke weight="0pt" endcap="flat" joinstyle="miter" miterlimit="10" on="false" color="#000000" opacity="0"/>
                  <v:fill on="true" color="#333333"/>
                </v:shape>
                <v:shape id="Shape 24785" style="position:absolute;width:571;height:571;left:0;top:9144;"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w10:wrap type="square"/>
              </v:group>
            </w:pict>
          </mc:Fallback>
        </mc:AlternateContent>
      </w:r>
      <w:r>
        <w:t>возраст &gt;50 лет;</w:t>
      </w:r>
    </w:p>
    <w:p w:rsidR="008E3F15" w:rsidRDefault="005F449A">
      <w:pPr>
        <w:spacing w:after="179"/>
        <w:ind w:left="340" w:right="3091"/>
      </w:pPr>
      <w:r>
        <w:t xml:space="preserve">хронический атрофический гастрит с кишечной метаплазией; пернициозная анемия; аденоматозные полипы; семейный анамнез рака желудка; курение; инфекция </w:t>
      </w:r>
      <w:r>
        <w:rPr>
          <w:i/>
        </w:rPr>
        <w:t>Helicobacter pylori</w:t>
      </w:r>
      <w:r>
        <w:t>.</w:t>
      </w:r>
    </w:p>
    <w:p w:rsidR="008E3F15" w:rsidRDefault="005F449A">
      <w:pPr>
        <w:ind w:left="2" w:right="206"/>
      </w:pPr>
      <w:r>
        <w:rPr>
          <w:b/>
        </w:rPr>
        <w:t xml:space="preserve">Скрининг. </w:t>
      </w:r>
      <w:r>
        <w:t>Рекомендации по скринингу рака желудка в большинст</w:t>
      </w:r>
      <w:r>
        <w:t xml:space="preserve">ве стран не разработаны в связи с отсутствием надежных доказательств пользы тестов (эндоскопия, рентгенография, пепсиноген плазмы, тест на </w:t>
      </w:r>
      <w:r>
        <w:rPr>
          <w:i/>
        </w:rPr>
        <w:t>Helicobacter pylori</w:t>
      </w:r>
      <w:r>
        <w:t>) для снижения смертности от рака желудка. Тем не менее скрининг может быть целесообразен в группа</w:t>
      </w:r>
      <w:r>
        <w:t>х повышенного риска развития рака желудка, например в странах Азии или с распространенной атрофией/кишечной метаплазией желудка.</w:t>
      </w:r>
    </w:p>
    <w:p w:rsidR="008E3F15" w:rsidRDefault="005F449A">
      <w:pPr>
        <w:ind w:left="2" w:right="15"/>
      </w:pPr>
      <w:r>
        <w:t>Скрининг рака желудка с помощью эндоскопии в азиатских наблюдательных исследованиях позволил снизить смертность от рака желудка</w:t>
      </w:r>
      <w:r>
        <w:t xml:space="preserve"> на 40–57% (Jun J. et al., 2017; Chen R. et al., 2021). Рекомендуют скрининг рака желудка у пациентов после 50 лет с повышенным риском с помощью эндоскопии с интервалом в 3 года (BGS; Hamashima C. et al., 2018).</w:t>
      </w:r>
    </w:p>
    <w:p w:rsidR="008E3F15" w:rsidRDefault="005F449A">
      <w:pPr>
        <w:ind w:left="2" w:right="15"/>
      </w:pPr>
      <w:r>
        <w:t>Повторная эндоскопия высокого разрешения с б</w:t>
      </w:r>
      <w:r>
        <w:t>елым светом и узким спектром выявила рак желудка у 2,6% японцев старше 70 лет в течение года после первого отрицательного исследования (Yamamoto Y. et al., 2022).</w:t>
      </w:r>
    </w:p>
    <w:p w:rsidR="008E3F15" w:rsidRDefault="005F449A">
      <w:pPr>
        <w:spacing w:after="200"/>
        <w:ind w:left="2" w:right="15"/>
      </w:pPr>
      <w:r>
        <w:rPr>
          <w:b/>
        </w:rPr>
        <w:t xml:space="preserve">Профилактика </w:t>
      </w:r>
      <w:r>
        <w:t xml:space="preserve">рака желудка включает отказ от курения и эрадикацию </w:t>
      </w:r>
      <w:r>
        <w:rPr>
          <w:i/>
        </w:rPr>
        <w:t xml:space="preserve">Helicobacter pylori. </w:t>
      </w:r>
      <w:r>
        <w:t>Рандоми</w:t>
      </w:r>
      <w:r>
        <w:t xml:space="preserve">зированные и наблюдательные исследования, особенно проведенные в странах Азии с высокой распространенностью рака желудка, показали снижение риска рака желудка на 35– 73% после излечения от </w:t>
      </w:r>
      <w:r>
        <w:rPr>
          <w:i/>
        </w:rPr>
        <w:t>Helicobacter pylori</w:t>
      </w:r>
      <w:r>
        <w:t xml:space="preserve"> (Cochrane Reviews; Chiang T. et al., 2021; Li D</w:t>
      </w:r>
      <w:r>
        <w:t xml:space="preserve">. et al., 2023). Более эффективна ранняя эрадикация, еще до развития предраковых состояний. В европейский консенсус включены следующие положения по эрадикации </w:t>
      </w:r>
      <w:r>
        <w:rPr>
          <w:i/>
        </w:rPr>
        <w:t xml:space="preserve">Helicobacter pylori </w:t>
      </w:r>
      <w:r>
        <w:t>(Maastricht VI).</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50852" name="Group 35085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4832" name="Shape 24832"/>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50852" style="width:4.5pt;height:4.5pt;mso-position-horizontal-relative:char;mso-position-vertical-relative:line" coordsize="571,571">
                <v:shape id="Shape 24832" style="position:absolute;width:571;height:571;left:0;top:0;" coordsize="57150,57150" path="m28575,0c32364,0,36009,794,39510,2183c43011,3373,46101,5358,48781,8136c51460,10716,53525,13891,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3891,5690,10716,8369,8136c11049,5358,14139,3373,17640,1984c21141,595,24786,0,28575,0x">
                  <v:stroke weight="0pt" endcap="flat" joinstyle="miter" miterlimit="10" on="false" color="#000000" opacity="0"/>
                  <v:fill on="true" color="#333333"/>
                </v:shape>
              </v:group>
            </w:pict>
          </mc:Fallback>
        </mc:AlternateContent>
      </w:r>
      <w:r>
        <w:t xml:space="preserve"> Эрадикация </w:t>
      </w:r>
      <w:r>
        <w:rPr>
          <w:i/>
        </w:rPr>
        <w:t>H. pylori</w:t>
      </w:r>
      <w:r>
        <w:t xml:space="preserve"> способствует регрессу атрофии желудка, в некоторой степени кишечной метаплазии и может остановить прогрессирование от хронического атрофического гастрита к опухолевым повреждениям.</w:t>
      </w:r>
    </w:p>
    <w:p w:rsidR="008E3F15" w:rsidRDefault="005F449A">
      <w:pPr>
        <w:ind w:left="340" w:right="15"/>
      </w:pPr>
      <w:r>
        <w:rPr>
          <w:rFonts w:ascii="Calibri" w:eastAsia="Calibri" w:hAnsi="Calibri" w:cs="Calibri"/>
          <w:noProof/>
          <w:color w:val="000000"/>
          <w:sz w:val="22"/>
        </w:rPr>
        <mc:AlternateContent>
          <mc:Choice Requires="wpg">
            <w:drawing>
              <wp:anchor distT="0" distB="0" distL="114300" distR="114300" simplePos="0" relativeHeight="251963392"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50854" name="Group 350854"/>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4838" name="Shape 24838"/>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43" name="Shape 24843"/>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48" name="Shape 24848"/>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0854" style="width:4.5pt;height:52.5pt;position:absolute;mso-position-horizontal-relative:text;mso-position-horizontal:absolute;margin-left:16.5pt;mso-position-vertical-relative:text;margin-top:2.73438pt;" coordsize="571,6667">
                <v:shape id="Shape 24838" style="position:absolute;width:571;height:571;left:0;top:0;"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10" on="false" color="#000000" opacity="0"/>
                  <v:fill on="true" color="#333333"/>
                </v:shape>
                <v:shape id="Shape 24843" style="position:absolute;width:571;height:571;left:0;top:3048;" coordsize="57150,57150" path="m28575,0c32364,0,36009,595,39510,1984c43011,3373,46101,5358,48781,8136c51460,10716,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v:shape id="Shape 24848" style="position:absolute;width:571;height:571;left:0;top:6096;" coordsize="57150,57150" path="m28575,0c32364,0,36009,595,39510,1984c43011,3373,46101,5358,48781,8136c51460,10716,53525,13891,54975,17463c56425,20836,57150,24606,57150,28575c57150,32345,56425,35917,54975,39291c53525,42664,51460,45641,48781,48617c46101,50998,43011,53181,39510,54570c36009,56356,32364,56952,28575,57150c24786,56952,21141,56356,17640,54769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w10:wrap type="square"/>
              </v:group>
            </w:pict>
          </mc:Fallback>
        </mc:AlternateContent>
      </w:r>
      <w:r>
        <w:t xml:space="preserve">Эрадикация </w:t>
      </w:r>
      <w:r>
        <w:rPr>
          <w:i/>
        </w:rPr>
        <w:t>H. pylori</w:t>
      </w:r>
      <w:r>
        <w:t xml:space="preserve"> наиболее эффективна для профилактики рака желудка до</w:t>
      </w:r>
      <w:r>
        <w:t xml:space="preserve"> развития тяжелого хронического атрофического гастрита.</w:t>
      </w:r>
    </w:p>
    <w:p w:rsidR="008E3F15" w:rsidRDefault="005F449A">
      <w:pPr>
        <w:ind w:left="340" w:right="15"/>
      </w:pPr>
      <w:r>
        <w:t xml:space="preserve">Эрадикация </w:t>
      </w:r>
      <w:r>
        <w:rPr>
          <w:i/>
        </w:rPr>
        <w:t>H. pylori</w:t>
      </w:r>
      <w:r>
        <w:t xml:space="preserve"> дает возможность предотвратить рак желудка у взрослых в любом возрасте, но эффект уменьшается с возрастом.</w:t>
      </w:r>
    </w:p>
    <w:p w:rsidR="008E3F15" w:rsidRDefault="005F449A">
      <w:pPr>
        <w:spacing w:after="179"/>
        <w:ind w:left="340" w:right="15"/>
      </w:pPr>
      <w:r>
        <w:t xml:space="preserve">Популяционная стратегия «выявляй и лечи» является оправданной с позиции </w:t>
      </w:r>
      <w:r>
        <w:t>стоимость/эффект в областях с умеренным и высоким риском рака желудка.</w:t>
      </w:r>
    </w:p>
    <w:p w:rsidR="008E3F15" w:rsidRDefault="005F449A">
      <w:pPr>
        <w:spacing w:after="359"/>
        <w:ind w:left="2" w:right="15"/>
      </w:pPr>
      <w:r>
        <w:t>Длительный (&gt;5 лет) прием АСК в дозе ≥75 мг позволяет снизить риск развития рака желудка, даже после эрадикации H. pylori, но при этом увеличивается риск кровотечений (Cuzick J. et al.,</w:t>
      </w:r>
      <w:r>
        <w:t xml:space="preserve"> 2014; Cheung K. et al., 2018). Возможная польза АСК, включая снижение смертности от рака, может перевешивать риски неблагоприятных событий (Mills E. et al., 2012).</w:t>
      </w:r>
    </w:p>
    <w:p w:rsidR="008E3F15" w:rsidRDefault="005F449A">
      <w:pPr>
        <w:pStyle w:val="Heading1"/>
        <w:ind w:left="2"/>
      </w:pPr>
      <w:r>
        <w:t>Часть II. Коморбидные болезни</w:t>
      </w:r>
    </w:p>
    <w:p w:rsidR="008E3F15" w:rsidRDefault="005F449A">
      <w:pPr>
        <w:spacing w:after="31"/>
        <w:ind w:left="2" w:right="15"/>
      </w:pPr>
      <w:r>
        <w:t>Рак печени</w:t>
      </w:r>
    </w:p>
    <w:p w:rsidR="008E3F15" w:rsidRDefault="005F449A">
      <w:pPr>
        <w:spacing w:after="133" w:line="259" w:lineRule="auto"/>
        <w:ind w:left="2" w:right="0"/>
      </w:pPr>
      <w:r>
        <w:rPr>
          <w:b/>
        </w:rPr>
        <w:t>Факторы риска:</w:t>
      </w:r>
    </w:p>
    <w:p w:rsidR="008E3F15" w:rsidRDefault="005F449A">
      <w:pPr>
        <w:spacing w:after="179"/>
        <w:ind w:left="340" w:right="7304"/>
      </w:pPr>
      <w:r>
        <w:rPr>
          <w:rFonts w:ascii="Calibri" w:eastAsia="Calibri" w:hAnsi="Calibri" w:cs="Calibri"/>
          <w:noProof/>
          <w:color w:val="000000"/>
          <w:sz w:val="22"/>
        </w:rPr>
        <mc:AlternateContent>
          <mc:Choice Requires="wpg">
            <w:drawing>
              <wp:anchor distT="0" distB="0" distL="114300" distR="114300" simplePos="0" relativeHeight="251964416"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50855" name="Group 350855"/>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4858" name="Shape 24858"/>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60" name="Shape 24860"/>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62" name="Shape 24862"/>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64" name="Shape 24864"/>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6116"/>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66" name="Shape 24866"/>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0855" style="width:4.5pt;height:52.5pt;position:absolute;mso-position-horizontal-relative:text;mso-position-horizontal:absolute;margin-left:16.5pt;mso-position-vertical-relative:text;margin-top:2.73438pt;" coordsize="571,6667">
                <v:shape id="Shape 24858" style="position:absolute;width:571;height:571;left:0;top:0;"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4860" style="position:absolute;width:571;height:571;left:0;top:1524;" coordsize="57150,57150" path="m28575,0c32364,0,36009,595,39510,1984c43011,3373,46101,5556,48781,8136c51460,10716,53525,13891,54975,17264c56425,21034,57150,24805,57150,28575c57150,32345,56425,35917,54975,39291c53525,42664,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4862" style="position:absolute;width:571;height:571;left:0;top:3048;"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4864" style="position:absolute;width:571;height:571;left:0;top:4572;" coordsize="57150,57150" path="m28575,0c32364,0,36009,595,39510,1984c43011,3373,46101,5556,48781,8136c51460,10716,53525,13891,54975,17264c56425,21034,57150,24805,57150,28575c57150,32345,56425,36116,54975,39489c53525,42863,51460,45839,48781,48617c46101,51197,43011,53181,39510,54769c36009,56158,32364,56952,28575,57150c24786,56952,21141,56158,17640,54769c14139,53181,11049,51197,8369,48617c5690,45839,3625,42664,2175,39291c725,35917,0,32345,0,28575c0,24805,725,21034,2175,17463c3625,13891,5690,10716,8369,8136c11049,5556,14139,3373,17640,1984c21141,595,24786,0,28575,0x">
                  <v:stroke weight="0pt" endcap="flat" joinstyle="miter" miterlimit="10" on="false" color="#000000" opacity="0"/>
                  <v:fill on="true" color="#333333"/>
                </v:shape>
                <v:shape id="Shape 24866" style="position:absolute;width:571;height:571;left:0;top:6096;" coordsize="57150,57150" path="m28575,0c32364,0,36009,595,39510,1984c43011,3373,46101,5358,48781,8136c51460,10716,53525,13891,54975,17264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264c3625,13891,5690,10716,8369,8136c11049,5358,14139,3373,17640,1984c21141,595,24786,0,28575,0x">
                  <v:stroke weight="0pt" endcap="flat" joinstyle="miter" miterlimit="10" on="false" color="#000000" opacity="0"/>
                  <v:fill on="true" color="#333333"/>
                </v:shape>
                <w10:wrap type="square"/>
              </v:group>
            </w:pict>
          </mc:Fallback>
        </mc:AlternateContent>
      </w:r>
      <w:r>
        <w:t>вирусные гепатиты В, С; цирроз печени; алкоголь; курение; ожирение.</w:t>
      </w:r>
    </w:p>
    <w:p w:rsidR="008E3F15" w:rsidRDefault="005F449A">
      <w:pPr>
        <w:ind w:left="2" w:right="15"/>
      </w:pPr>
      <w:r>
        <w:rPr>
          <w:b/>
        </w:rPr>
        <w:t xml:space="preserve">Скрининг. </w:t>
      </w:r>
      <w:r>
        <w:t>α-Фетопротеин с пороговым уровнем 20 нг/мл не выявляет 40% гепатоцеллюлярной карциномы, а сонография — почти четверть (Cochrane Reviews). Сочетание обоих тестов увеличивает чувст</w:t>
      </w:r>
      <w:r>
        <w:t>вительность и пропускает менее 5% рака при 15% ложноположительных результатов.</w:t>
      </w:r>
    </w:p>
    <w:p w:rsidR="008E3F15" w:rsidRDefault="005F449A">
      <w:pPr>
        <w:ind w:left="2" w:right="15"/>
      </w:pPr>
      <w:r>
        <w:t>КТ обладает большей чувствительностью, чем сонография. Вместе с тем при использовании КТ у 22,5% пациентов гепатоцеллюлярная карцинома не будет обнаружена, а 9% пациентов без ра</w:t>
      </w:r>
      <w:r>
        <w:t>ка получат ненужное лечение (Cochrane Reviews).</w:t>
      </w:r>
    </w:p>
    <w:p w:rsidR="008E3F15" w:rsidRDefault="005F449A">
      <w:pPr>
        <w:spacing w:after="179"/>
        <w:ind w:left="2" w:right="547"/>
      </w:pPr>
      <w:r>
        <w:t>Результаты исследований по эффективности скрининга противоречивы, но не исключают снижения смертности от гепатоцеллюлярной карциномы при скрининге пациентов с циррозом и хроническим вирусным гепатитом В (Sing</w:t>
      </w:r>
      <w:r>
        <w:t xml:space="preserve">al A. et al., 2014; Kansagara D. et al., 2014; Cochrane Reviews). </w:t>
      </w:r>
      <w:r>
        <w:rPr>
          <w:b/>
        </w:rPr>
        <w:t>Профилактика:</w:t>
      </w:r>
    </w:p>
    <w:p w:rsidR="008E3F15" w:rsidRDefault="005F449A">
      <w:pPr>
        <w:ind w:left="340" w:right="5697"/>
      </w:pPr>
      <w:r>
        <w:rPr>
          <w:rFonts w:ascii="Calibri" w:eastAsia="Calibri" w:hAnsi="Calibri" w:cs="Calibri"/>
          <w:noProof/>
          <w:color w:val="000000"/>
          <w:sz w:val="22"/>
        </w:rPr>
        <mc:AlternateContent>
          <mc:Choice Requires="wpg">
            <w:drawing>
              <wp:anchor distT="0" distB="0" distL="114300" distR="114300" simplePos="0" relativeHeight="251965440" behindDoc="0" locked="0" layoutInCell="1" allowOverlap="1">
                <wp:simplePos x="0" y="0"/>
                <wp:positionH relativeFrom="column">
                  <wp:posOffset>209550</wp:posOffset>
                </wp:positionH>
                <wp:positionV relativeFrom="paragraph">
                  <wp:posOffset>34727</wp:posOffset>
                </wp:positionV>
                <wp:extent cx="57150" cy="819150"/>
                <wp:effectExtent l="0" t="0" r="0" b="0"/>
                <wp:wrapSquare wrapText="bothSides"/>
                <wp:docPr id="350856" name="Group 350856"/>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4881" name="Shape 24881"/>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83" name="Shape 2488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85" name="Shape 24885"/>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87" name="Shape 24887"/>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89" name="Shape 24889"/>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891" name="Shape 24891"/>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0856" style="width:4.5pt;height:64.5pt;position:absolute;mso-position-horizontal-relative:text;mso-position-horizontal:absolute;margin-left:16.5pt;mso-position-vertical-relative:text;margin-top:2.73438pt;" coordsize="571,8191">
                <v:shape id="Shape 24881" style="position:absolute;width:571;height:571;left:0;top:0;" coordsize="57150,57150" path="m28575,0c32364,0,36009,595,39510,1984c43011,3373,46101,5358,48781,8136c51460,10716,53525,13891,54975,17463c56425,20836,57150,24606,57150,28575c57150,32345,56425,35917,54975,39291c53525,42664,51460,45839,48781,48617c46101,51197,43011,53380,39510,54570c36009,56356,32364,56952,28575,57150c24786,56952,21141,56356,17640,54769c14139,53380,11049,51197,8369,48617c5690,45839,3625,42664,2175,39092c725,35719,0,32345,0,28575c0,24606,725,20836,2175,17463c3625,13891,5690,10716,8369,8136c11049,5358,14139,3373,17640,1984c21141,595,24786,0,28575,0x">
                  <v:stroke weight="0pt" endcap="flat" joinstyle="miter" miterlimit="10" on="false" color="#000000" opacity="0"/>
                  <v:fill on="true" color="#333333"/>
                </v:shape>
                <v:shape id="Shape 24883" style="position:absolute;width:571;height:571;left:0;top:1524;" coordsize="57150,57150" path="m28575,0c32364,0,36009,794,39510,2183c43011,3373,46101,5358,48781,8136c51460,10716,53525,13891,54975,17463c56425,21034,57150,24805,57150,28575c57150,32147,56425,35719,54975,39092c53525,42664,51460,45839,48781,48617c46101,51197,43011,53380,39510,54570c36009,56158,32364,56952,28575,57150c24786,56952,21141,56158,17640,54570c14139,53380,11049,51197,8369,48617c5690,45839,3625,42664,2175,39092c725,35719,0,32147,0,28575c0,24805,725,21034,2175,17661c3625,13891,5690,10716,8369,8136c11049,5358,14139,3373,17640,1984c21141,595,24786,0,28575,0x">
                  <v:stroke weight="0pt" endcap="flat" joinstyle="miter" miterlimit="10" on="false" color="#000000" opacity="0"/>
                  <v:fill on="true" color="#333333"/>
                </v:shape>
                <v:shape id="Shape 24885" style="position:absolute;width:571;height:571;left:0;top:3048;"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v:shape id="Shape 24887" style="position:absolute;width:571;height:571;left:0;top:4572;" coordsize="57150,57150" path="m28575,0c32364,0,36009,794,39510,2183c43011,3373,46101,5358,48781,8136c51460,10716,53525,13891,54975,17463c56425,21034,57150,24805,57150,28575c57150,32345,56425,35917,54975,39291c53525,42664,51460,45839,48781,48617c46101,51197,43011,53380,39510,54570c36009,56158,32364,56952,28575,57150c24786,56952,21141,56158,17640,54570c14139,53380,11049,51197,8369,48617c5690,45839,3625,42664,2175,39291c725,35917,0,32345,0,28575c0,24805,725,21034,2175,17661c3625,13891,5690,10716,8369,8136c11049,5358,14139,3373,17640,1984c21141,595,24786,0,28575,0x">
                  <v:stroke weight="0pt" endcap="flat" joinstyle="miter" miterlimit="10" on="false" color="#000000" opacity="0"/>
                  <v:fill on="true" color="#333333"/>
                </v:shape>
                <v:shape id="Shape 24889" style="position:absolute;width:571;height:571;left:0;top:6096;"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v:shape id="Shape 24891" style="position:absolute;width:571;height:571;left:0;top:7620;"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358,14139,3373,17640,1984c21141,595,24786,0,28575,0x">
                  <v:stroke weight="0pt" endcap="flat" joinstyle="miter" miterlimit="10" on="false" color="#000000" opacity="0"/>
                  <v:fill on="true" color="#333333"/>
                </v:shape>
                <w10:wrap type="square"/>
              </v:group>
            </w:pict>
          </mc:Fallback>
        </mc:AlternateContent>
      </w:r>
      <w:r>
        <w:t>вакцинация против вируса гепатита В; лечение вирусного гепатита С; отказ от злоупотребления алкоголем; отказ от курения;</w:t>
      </w:r>
    </w:p>
    <w:p w:rsidR="008E3F15" w:rsidRDefault="005F449A">
      <w:pPr>
        <w:spacing w:after="179"/>
        <w:ind w:left="340" w:right="5366"/>
      </w:pPr>
      <w:r>
        <w:t>бариатрическая хирургия ожирения; АСК, статины.</w:t>
      </w:r>
    </w:p>
    <w:p w:rsidR="008E3F15" w:rsidRDefault="005F449A">
      <w:pPr>
        <w:ind w:left="2" w:right="15"/>
      </w:pPr>
      <w:r>
        <w:t xml:space="preserve">Профилактика гепатоцеллюлярной карциномы включает снижение заболеваемости вирусными гепатитами (вакцинация против гепатита В, профилактика распространения вирусов, терапия прямыми противовирусными препаратами) и злоупотребления алкоголем, которые приводят </w:t>
      </w:r>
      <w:r>
        <w:t>к циррозу печени.</w:t>
      </w:r>
    </w:p>
    <w:p w:rsidR="008E3F15" w:rsidRDefault="005F449A">
      <w:pPr>
        <w:ind w:left="2" w:right="15"/>
      </w:pPr>
      <w:r>
        <w:t>В наблюдательных исследованиях показана способность АСК и статинов снижать риск гепатоцеллюлярной карциномы и смертность от заболеваний печени у пациентов с вирусными гепатитами, алкогольной и жировой болезнью печени (Tan R. et al., 2021;</w:t>
      </w:r>
      <w:r>
        <w:t xml:space="preserve"> Lee T. et al., 2023).</w:t>
      </w:r>
    </w:p>
    <w:p w:rsidR="008E3F15" w:rsidRDefault="005F449A">
      <w:pPr>
        <w:pStyle w:val="Heading1"/>
        <w:ind w:left="2"/>
      </w:pPr>
      <w:r>
        <w:t>Часть II. Коморбидные болезни</w:t>
      </w:r>
    </w:p>
    <w:p w:rsidR="008E3F15" w:rsidRDefault="005F449A">
      <w:pPr>
        <w:spacing w:after="31"/>
        <w:ind w:left="2" w:right="15"/>
      </w:pPr>
      <w:r>
        <w:t>Рак кожи</w:t>
      </w:r>
    </w:p>
    <w:p w:rsidR="008E3F15" w:rsidRDefault="005F449A">
      <w:pPr>
        <w:spacing w:after="133" w:line="259" w:lineRule="auto"/>
        <w:ind w:left="2" w:right="0"/>
      </w:pPr>
      <w:r>
        <w:rPr>
          <w:b/>
        </w:rPr>
        <w:t>Факторы риска:</w:t>
      </w:r>
    </w:p>
    <w:p w:rsidR="008E3F15" w:rsidRDefault="005F449A">
      <w:pPr>
        <w:ind w:left="340" w:right="3921"/>
      </w:pPr>
      <w:r>
        <w:rPr>
          <w:rFonts w:ascii="Calibri" w:eastAsia="Calibri" w:hAnsi="Calibri" w:cs="Calibri"/>
          <w:noProof/>
          <w:color w:val="000000"/>
          <w:sz w:val="22"/>
        </w:rPr>
        <mc:AlternateContent>
          <mc:Choice Requires="wpg">
            <w:drawing>
              <wp:anchor distT="0" distB="0" distL="114300" distR="114300" simplePos="0" relativeHeight="251966464" behindDoc="0" locked="0" layoutInCell="1" allowOverlap="1">
                <wp:simplePos x="0" y="0"/>
                <wp:positionH relativeFrom="column">
                  <wp:posOffset>209550</wp:posOffset>
                </wp:positionH>
                <wp:positionV relativeFrom="paragraph">
                  <wp:posOffset>34727</wp:posOffset>
                </wp:positionV>
                <wp:extent cx="57150" cy="666750"/>
                <wp:effectExtent l="0" t="0" r="0" b="0"/>
                <wp:wrapSquare wrapText="bothSides"/>
                <wp:docPr id="349960" name="Group 349960"/>
                <wp:cNvGraphicFramePr/>
                <a:graphic xmlns:a="http://schemas.openxmlformats.org/drawingml/2006/main">
                  <a:graphicData uri="http://schemas.microsoft.com/office/word/2010/wordprocessingGroup">
                    <wpg:wgp>
                      <wpg:cNvGrpSpPr/>
                      <wpg:grpSpPr>
                        <a:xfrm>
                          <a:off x="0" y="0"/>
                          <a:ext cx="57150" cy="666750"/>
                          <a:chOff x="0" y="0"/>
                          <a:chExt cx="57150" cy="666750"/>
                        </a:xfrm>
                      </wpg:grpSpPr>
                      <wps:wsp>
                        <wps:cNvPr id="24924" name="Shape 24924"/>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26" name="Shape 24926"/>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28" name="Shape 24928"/>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30" name="Shape 24930"/>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32" name="Shape 24932"/>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9960" style="width:4.5pt;height:52.5pt;position:absolute;mso-position-horizontal-relative:text;mso-position-horizontal:absolute;margin-left:16.5pt;mso-position-vertical-relative:text;margin-top:2.73438pt;" coordsize="571,6667">
                <v:shape id="Shape 24924" style="position:absolute;width:571;height:571;left:0;top:0;" coordsize="57150,57150" path="m28575,0c32364,0,36009,595,39510,1984c43011,3373,46101,5556,48781,8136c51460,10716,53525,13891,54975,17264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v:shape id="Shape 24926" style="position:absolute;width:571;height:571;left:0;top:1524;" coordsize="57150,57150" path="m28575,0c32364,0,36009,794,39510,2183c43011,3373,46101,5556,48781,8136c51460,10716,53525,13891,54975,17264c56425,20638,57150,24606,57150,28575c57150,32147,56425,35719,54975,39291c53525,42664,51460,45839,48781,48617c46101,51197,43011,53380,39510,54570c36009,56158,32364,56952,28575,57150c24786,56952,21141,56158,17640,54570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4928" style="position:absolute;width:571;height:571;left:0;top:3048;" coordsize="57150,57150" path="m28575,0c32364,0,36009,595,39510,1984c43011,3373,46101,5556,48781,8334c51460,10914,53525,14089,54975,17463c56425,20836,57150,24606,57150,28575c57150,32147,56425,35719,54975,39291c53525,42664,51460,45839,48781,48617c46101,51197,43011,53380,39510,54570c36009,56356,32364,56952,28575,57150c24786,56952,21141,56356,17640,54967c14139,53380,11049,51197,8369,48617c5690,45839,3625,42664,2175,39291c725,35719,0,32147,0,28575c0,24606,725,20836,2175,17463c3625,14089,5690,10914,8369,8334c11049,5556,14139,3373,17640,1984c21141,595,24786,0,28575,0x">
                  <v:stroke weight="0pt" endcap="flat" joinstyle="miter" miterlimit="10" on="false" color="#000000" opacity="0"/>
                  <v:fill on="true" color="#333333"/>
                </v:shape>
                <v:shape id="Shape 24930" style="position:absolute;width:571;height:571;left:0;top:4572;" coordsize="57150,57150" path="m28575,0c32364,0,36009,794,39510,2183c43011,3572,46101,5755,48781,8334c51460,10914,53525,14089,54975,17463c56425,20836,57150,24606,57150,28575c57150,32147,56425,35719,54975,39092c53525,42664,51460,45839,48781,48617c46101,51197,43011,53380,39510,54570c36009,56158,32364,56952,28575,57150c24786,56952,21141,56158,17640,54570c14139,53380,11049,51197,8369,48617c5690,45839,3625,42664,2175,39092c725,35719,0,32147,0,28575c0,24606,725,20836,2175,17463c3625,14089,5690,10914,8369,8334c11049,5755,14139,3572,17640,2183c21141,794,24786,0,28575,0x">
                  <v:stroke weight="0pt" endcap="flat" joinstyle="miter" miterlimit="10" on="false" color="#000000" opacity="0"/>
                  <v:fill on="true" color="#333333"/>
                </v:shape>
                <v:shape id="Shape 24932" style="position:absolute;width:571;height:571;left:0;top:6096;" coordsize="57150,57150" path="m28575,0c32364,0,36009,595,39510,1984c43011,3373,46101,5556,48781,8334c51460,10914,53525,14089,54975,17463c56425,20836,57150,24606,57150,28575c57150,32147,56425,35719,54975,39092c53525,42664,51460,45839,48781,48617c46101,51197,43011,53380,39510,54570c36009,56356,32364,56952,28575,57150c24786,56952,21141,56356,17640,54769c14139,53380,11049,51197,8369,48617c5690,45839,3625,42664,2175,39092c725,35719,0,32147,0,28575c0,24606,725,20836,2175,17463c3625,14089,5690,10914,8369,8334c11049,5556,14139,3373,17640,1984c21141,595,24786,0,28575,0x">
                  <v:stroke weight="0pt" endcap="flat" joinstyle="miter" miterlimit="10" on="false" color="#000000" opacity="0"/>
                  <v:fill on="true" color="#333333"/>
                </v:shape>
                <w10:wrap type="square"/>
              </v:group>
            </w:pict>
          </mc:Fallback>
        </mc:AlternateContent>
      </w:r>
      <w:r>
        <w:t>солнечное и ультрафиолетовое облучение; солнечные ожоги;</w:t>
      </w:r>
    </w:p>
    <w:p w:rsidR="008E3F15" w:rsidRDefault="005F449A">
      <w:pPr>
        <w:spacing w:after="179"/>
        <w:ind w:left="340" w:right="2484"/>
      </w:pPr>
      <w:r>
        <w:t>светлая кожа, белокурые, с веснушками; семейный анамнез рака/меланомы кожи; диспластический/атипичный невус, множественны</w:t>
      </w:r>
      <w:r>
        <w:t>е (≥100) невусы.</w:t>
      </w:r>
    </w:p>
    <w:p w:rsidR="008E3F15" w:rsidRDefault="005F449A">
      <w:pPr>
        <w:ind w:left="2" w:right="15"/>
      </w:pPr>
      <w:r>
        <w:t>Следует отметить, что ультрафиолетовое облучение с эритемой повышает риск не только меланомы, но и некожного рака (Chang M. et al., 2022).</w:t>
      </w:r>
    </w:p>
    <w:p w:rsidR="008E3F15" w:rsidRDefault="005F449A">
      <w:pPr>
        <w:spacing w:after="179"/>
        <w:ind w:left="2" w:right="15"/>
      </w:pPr>
      <w:r>
        <w:rPr>
          <w:b/>
        </w:rPr>
        <w:t xml:space="preserve">Скрининг. </w:t>
      </w:r>
      <w:r>
        <w:t>Большинство экспертных групп отмечают недостаток данных для оценки эффективности скрининга</w:t>
      </w:r>
      <w:r>
        <w:t xml:space="preserve"> меланомного или немеланомного рака кожи с целью снижения общей смертности (USPSTF; NCI). Квалифицированный осмотр кожных покровов может быть рекомендован в следующих случаях (ACS):</w:t>
      </w:r>
    </w:p>
    <w:p w:rsidR="008E3F15" w:rsidRDefault="005F449A">
      <w:pPr>
        <w:spacing w:after="179"/>
        <w:ind w:left="340" w:right="4964"/>
      </w:pPr>
      <w:r>
        <w:rPr>
          <w:rFonts w:ascii="Calibri" w:eastAsia="Calibri" w:hAnsi="Calibri" w:cs="Calibri"/>
          <w:noProof/>
          <w:color w:val="000000"/>
          <w:sz w:val="22"/>
        </w:rPr>
        <mc:AlternateContent>
          <mc:Choice Requires="wpg">
            <w:drawing>
              <wp:anchor distT="0" distB="0" distL="114300" distR="114300" simplePos="0" relativeHeight="251967488" behindDoc="0" locked="0" layoutInCell="1" allowOverlap="1">
                <wp:simplePos x="0" y="0"/>
                <wp:positionH relativeFrom="column">
                  <wp:posOffset>209550</wp:posOffset>
                </wp:positionH>
                <wp:positionV relativeFrom="paragraph">
                  <wp:posOffset>34775</wp:posOffset>
                </wp:positionV>
                <wp:extent cx="57150" cy="209550"/>
                <wp:effectExtent l="0" t="0" r="0" b="0"/>
                <wp:wrapSquare wrapText="bothSides"/>
                <wp:docPr id="349962" name="Group 349962"/>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4941" name="Shape 24941"/>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334"/>
                                </a:cubicBezTo>
                                <a:cubicBezTo>
                                  <a:pt x="51460" y="10914"/>
                                  <a:pt x="53525" y="14089"/>
                                  <a:pt x="54975" y="17661"/>
                                </a:cubicBezTo>
                                <a:cubicBezTo>
                                  <a:pt x="56425" y="21034"/>
                                  <a:pt x="57150" y="24805"/>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805"/>
                                  <a:pt x="725" y="21034"/>
                                  <a:pt x="2175" y="17661"/>
                                </a:cubicBezTo>
                                <a:cubicBezTo>
                                  <a:pt x="3625" y="14089"/>
                                  <a:pt x="5690" y="10914"/>
                                  <a:pt x="8369" y="8334"/>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43" name="Shape 24943"/>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9962" style="width:4.5pt;height:16.5pt;position:absolute;mso-position-horizontal-relative:text;mso-position-horizontal:absolute;margin-left:16.5pt;mso-position-vertical-relative:text;margin-top:2.7382pt;" coordsize="571,2095">
                <v:shape id="Shape 24941" style="position:absolute;width:571;height:571;left:0;top:0;" coordsize="57150,57150" path="m28575,0c32364,0,36009,794,39510,2183c43011,3373,46101,5556,48781,8334c51460,10914,53525,14089,54975,17661c56425,21034,57150,24805,57150,28575c57150,32345,56425,35917,54975,39291c53525,42664,51460,45839,48781,48617c46101,51197,43011,53380,39510,54769c36009,56356,32364,56952,28575,57150c24786,56952,21141,56356,17640,54769c14139,53380,11049,51197,8369,48617c5690,45839,3625,42664,2175,39291c725,35917,0,32345,0,28575c0,24805,725,21034,2175,17661c3625,14089,5690,10914,8369,8334c11049,5556,14139,3373,17640,2183c21141,794,24786,0,28575,0x">
                  <v:stroke weight="0pt" endcap="flat" joinstyle="miter" miterlimit="10" on="false" color="#000000" opacity="0"/>
                  <v:fill on="true" color="#333333"/>
                </v:shape>
                <v:shape id="Shape 24943" style="position:absolute;width:571;height:571;left:0;top:1524;" coordsize="57150,57150" path="m28575,0c32364,0,36009,794,39510,2183c43011,3373,46101,5358,48781,8136c51460,10716,53525,13891,54975,17463c56425,20836,57150,24606,57150,28575c57150,32345,56425,35917,54975,39291c53525,42863,51460,46038,48781,48617c46101,51395,43011,53380,39510,54769c36009,56356,32364,56952,28575,57150c24786,56952,21141,56356,17640,54769c14139,53380,11049,51395,8369,48617c5690,46038,3625,42863,2175,39291c725,35917,0,32345,0,28575c0,24606,725,20836,2175,17463c3625,13891,5690,10716,8369,8136c11049,5358,14139,3373,17640,2183c21141,794,24786,0,28575,0x">
                  <v:stroke weight="0pt" endcap="flat" joinstyle="miter" miterlimit="10" on="false" color="#000000" opacity="0"/>
                  <v:fill on="true" color="#333333"/>
                </v:shape>
                <w10:wrap type="square"/>
              </v:group>
            </w:pict>
          </mc:Fallback>
        </mc:AlternateContent>
      </w:r>
      <w:r>
        <w:t>1 раз в 3 года в возрасте 20–40 лет; ежегодно в возрасте старше 40 лет.</w:t>
      </w:r>
    </w:p>
    <w:p w:rsidR="008E3F15" w:rsidRDefault="005F449A">
      <w:pPr>
        <w:spacing w:after="179"/>
        <w:ind w:left="2" w:right="15"/>
      </w:pPr>
      <w:r>
        <w:t>М</w:t>
      </w:r>
      <w:r>
        <w:t xml:space="preserve">еланомы часто вначале имеют горизонтальный рост с низким метастатическим потенциалом, и в этот период резекция меланомы может быть весьма эффективной. </w:t>
      </w:r>
      <w:r>
        <w:rPr>
          <w:b/>
        </w:rPr>
        <w:t xml:space="preserve">Профилактика. </w:t>
      </w:r>
      <w:r>
        <w:t>Ведущие медицинские организации в качестве первичной профилактики рака кожи рекомендуют:</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68512" behindDoc="0" locked="0" layoutInCell="1" allowOverlap="1">
                <wp:simplePos x="0" y="0"/>
                <wp:positionH relativeFrom="column">
                  <wp:posOffset>209550</wp:posOffset>
                </wp:positionH>
                <wp:positionV relativeFrom="paragraph">
                  <wp:posOffset>34727</wp:posOffset>
                </wp:positionV>
                <wp:extent cx="57150" cy="514350"/>
                <wp:effectExtent l="0" t="0" r="0" b="0"/>
                <wp:wrapSquare wrapText="bothSides"/>
                <wp:docPr id="349963" name="Group 349963"/>
                <wp:cNvGraphicFramePr/>
                <a:graphic xmlns:a="http://schemas.openxmlformats.org/drawingml/2006/main">
                  <a:graphicData uri="http://schemas.microsoft.com/office/word/2010/wordprocessingGroup">
                    <wpg:wgp>
                      <wpg:cNvGrpSpPr/>
                      <wpg:grpSpPr>
                        <a:xfrm>
                          <a:off x="0" y="0"/>
                          <a:ext cx="57150" cy="514350"/>
                          <a:chOff x="0" y="0"/>
                          <a:chExt cx="57150" cy="514350"/>
                        </a:xfrm>
                      </wpg:grpSpPr>
                      <wps:wsp>
                        <wps:cNvPr id="24950" name="Shape 24950"/>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692"/>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692"/>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52" name="Shape 24952"/>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55" name="Shape 24955"/>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9963" style="width:4.5pt;height:40.5pt;position:absolute;mso-position-horizontal-relative:text;mso-position-horizontal:absolute;margin-left:16.5pt;mso-position-vertical-relative:text;margin-top:2.73438pt;" coordsize="571,5143">
                <v:shape id="Shape 24950" style="position:absolute;width:571;height:571;left:0;top:0;" coordsize="57150,57150" path="m28575,0c32364,0,36009,595,39510,1984c43011,3373,46101,5556,48781,8136c51460,10716,53525,13692,54975,17264c56425,20836,57150,24606,57150,28575c57150,32345,56425,35917,54975,39291c53525,42664,51460,45839,48781,48617c46101,51197,43011,53181,39510,54769c36009,56356,32364,56952,28575,57150c24786,56952,21141,56356,17640,54769c14139,53181,11049,51197,8369,48617c5690,45839,3625,42664,2175,39291c725,35917,0,32345,0,28575c0,24606,725,20836,2175,17264c3625,13692,5690,10716,8369,8136c11049,5556,14139,3373,17640,1984c21141,595,24786,0,28575,0x">
                  <v:stroke weight="0pt" endcap="flat" joinstyle="miter" miterlimit="10" on="false" color="#000000" opacity="0"/>
                  <v:fill on="true" color="#333333"/>
                </v:shape>
                <v:shape id="Shape 24952" style="position:absolute;width:571;height:571;left:0;top:1524;" coordsize="57150,57150" path="m28575,0c32364,0,36009,595,39510,1984c43011,3373,46101,5358,48781,8136c51460,10716,53525,13891,54975,17264c56425,20836,57150,24606,57150,28575c57150,32345,56425,35917,54975,39291c53525,42664,51460,45839,48781,48617c46101,51197,43011,53380,39510,54769c36009,56356,32364,56952,28575,57150c24786,56952,21141,56356,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v:shape id="Shape 24955" style="position:absolute;width:571;height:571;left:0;top:4572;" coordsize="57150,57150" path="m28575,0c32364,0,36009,595,39510,1984c43011,3373,46101,5358,48781,8136c51460,10716,53525,13891,54975,17264c56425,20836,57150,24606,57150,28575c57150,32345,56425,35917,54975,39291c53525,42664,51460,45839,48781,48617c46101,51197,43011,53380,39510,54769c36009,56158,32364,56952,28575,57150c24786,56952,21141,56158,17640,54769c14139,53380,11049,51197,8369,48617c5690,45839,3625,42664,2175,39291c725,35917,0,32345,0,28575c0,24606,725,20836,2175,17264c3625,13891,5690,10716,8369,8136c11049,5358,14139,3373,17640,1984c21141,595,24786,0,28575,0x">
                  <v:stroke weight="0pt" endcap="flat" joinstyle="miter" miterlimit="10" on="false" color="#000000" opacity="0"/>
                  <v:fill on="true" color="#333333"/>
                </v:shape>
                <w10:wrap type="square"/>
              </v:group>
            </w:pict>
          </mc:Fallback>
        </mc:AlternateContent>
      </w:r>
      <w:r>
        <w:t>и</w:t>
      </w:r>
      <w:r>
        <w:t>збегать пребывания на солнце в период с 10 до 16 ч;</w:t>
      </w:r>
    </w:p>
    <w:p w:rsidR="008E3F15" w:rsidRDefault="005F449A">
      <w:pPr>
        <w:spacing w:after="179"/>
        <w:ind w:left="340" w:right="234"/>
      </w:pPr>
      <w:r>
        <w:t>носить защищающую одежду (широкополые шляпы, длинные брюки, солнцезащитные очки); отказаться от использования аппаратуры для загара.</w:t>
      </w:r>
    </w:p>
    <w:p w:rsidR="008E3F15" w:rsidRDefault="005F449A">
      <w:pPr>
        <w:ind w:left="2" w:right="163"/>
      </w:pPr>
      <w:r>
        <w:t>Использование солнцезащитных кремов, блокирующих ультрафиолетовые лучи типа А и В (с фактором защиты 15 и выше), не выявило существенного снижения частоты меланомного и немеланомного рака кожи (Silva E. et al., 2018; Lergenmuller S. et al., 2022). Более то</w:t>
      </w:r>
      <w:r>
        <w:t>го, у людей, использующих солнцезащитные средства, риск меланомы может быть выше за счет увеличения времени пребывания на солнце.</w:t>
      </w:r>
    </w:p>
    <w:p w:rsidR="008E3F15" w:rsidRDefault="005F449A">
      <w:pPr>
        <w:spacing w:after="359"/>
        <w:ind w:left="2" w:right="15"/>
      </w:pPr>
      <w:r>
        <w:t>В качестве меры вторичной профилактики может быть полезен регулярный самоосмотр, особенно в группе высокого риска.</w:t>
      </w:r>
    </w:p>
    <w:p w:rsidR="008E3F15" w:rsidRDefault="005F449A">
      <w:pPr>
        <w:pStyle w:val="Heading1"/>
        <w:ind w:left="2"/>
      </w:pPr>
      <w:r>
        <w:t>Часть II. К</w:t>
      </w:r>
      <w:r>
        <w:t>оморбидные болезни</w:t>
      </w:r>
    </w:p>
    <w:p w:rsidR="008E3F15" w:rsidRDefault="005F449A">
      <w:pPr>
        <w:spacing w:after="179"/>
        <w:ind w:left="2" w:right="7014"/>
      </w:pPr>
      <w:r>
        <w:t xml:space="preserve">Рак молочной железы </w:t>
      </w:r>
      <w:r>
        <w:rPr>
          <w:b/>
        </w:rPr>
        <w:t>Факторы риска:</w:t>
      </w:r>
    </w:p>
    <w:p w:rsidR="008E3F15" w:rsidRDefault="005F449A">
      <w:pPr>
        <w:ind w:left="340" w:right="7189"/>
      </w:pPr>
      <w:r>
        <w:rPr>
          <w:rFonts w:ascii="Calibri" w:eastAsia="Calibri" w:hAnsi="Calibri" w:cs="Calibri"/>
          <w:noProof/>
          <w:color w:val="000000"/>
          <w:sz w:val="22"/>
        </w:rPr>
        <mc:AlternateContent>
          <mc:Choice Requires="wpg">
            <w:drawing>
              <wp:anchor distT="0" distB="0" distL="114300" distR="114300" simplePos="0" relativeHeight="251969536" behindDoc="0" locked="0" layoutInCell="1" allowOverlap="1">
                <wp:simplePos x="0" y="0"/>
                <wp:positionH relativeFrom="column">
                  <wp:posOffset>209550</wp:posOffset>
                </wp:positionH>
                <wp:positionV relativeFrom="paragraph">
                  <wp:posOffset>34727</wp:posOffset>
                </wp:positionV>
                <wp:extent cx="57150" cy="1276350"/>
                <wp:effectExtent l="0" t="0" r="0" b="0"/>
                <wp:wrapSquare wrapText="bothSides"/>
                <wp:docPr id="349964" name="Group 349964"/>
                <wp:cNvGraphicFramePr/>
                <a:graphic xmlns:a="http://schemas.openxmlformats.org/drawingml/2006/main">
                  <a:graphicData uri="http://schemas.microsoft.com/office/word/2010/wordprocessingGroup">
                    <wpg:wgp>
                      <wpg:cNvGrpSpPr/>
                      <wpg:grpSpPr>
                        <a:xfrm>
                          <a:off x="0" y="0"/>
                          <a:ext cx="57150" cy="1276350"/>
                          <a:chOff x="0" y="0"/>
                          <a:chExt cx="57150" cy="1276350"/>
                        </a:xfrm>
                      </wpg:grpSpPr>
                      <wps:wsp>
                        <wps:cNvPr id="24967" name="Shape 24967"/>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159"/>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159"/>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69" name="Shape 24969"/>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914"/>
                                  <a:pt x="53525" y="14089"/>
                                  <a:pt x="54975" y="17463"/>
                                </a:cubicBezTo>
                                <a:cubicBezTo>
                                  <a:pt x="56425" y="20836"/>
                                  <a:pt x="57150" y="24606"/>
                                  <a:pt x="57150" y="28575"/>
                                </a:cubicBezTo>
                                <a:cubicBezTo>
                                  <a:pt x="57150" y="32147"/>
                                  <a:pt x="56425" y="35520"/>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520"/>
                                  <a:pt x="0" y="32147"/>
                                  <a:pt x="0" y="28575"/>
                                </a:cubicBezTo>
                                <a:cubicBezTo>
                                  <a:pt x="0" y="24606"/>
                                  <a:pt x="725" y="20836"/>
                                  <a:pt x="2175" y="17463"/>
                                </a:cubicBezTo>
                                <a:cubicBezTo>
                                  <a:pt x="3625" y="14089"/>
                                  <a:pt x="5690" y="10914"/>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71" name="Shape 24971"/>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73" name="Shape 24973"/>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75" name="Shape 24975"/>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77" name="Shape 24977"/>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79" name="Shape 24979"/>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839"/>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81" name="Shape 24981"/>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4983" name="Shape 24983"/>
                        <wps:cNvSpPr/>
                        <wps:spPr>
                          <a:xfrm>
                            <a:off x="0" y="1219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9964" style="width:4.5pt;height:100.5pt;position:absolute;mso-position-horizontal-relative:text;mso-position-horizontal:absolute;margin-left:16.5pt;mso-position-vertical-relative:text;margin-top:2.73438pt;" coordsize="571,12763">
                <v:shape id="Shape 24967" style="position:absolute;width:571;height:571;left:0;top:0;" coordsize="57150,57150" path="m28575,0c32364,0,36009,794,39510,2183c43011,3373,46101,5159,48781,8136c51460,10716,53525,13891,54975,17264c56425,20638,57150,24606,57150,28575c57150,32147,56425,35719,54975,39291c53525,42664,51460,45641,48781,48617c46101,50998,43011,53181,39510,54570c36009,56158,32364,56952,28575,57150c24786,56952,21141,56158,17640,54570c14139,53181,11049,50998,8369,48617c5690,45641,3625,42664,2175,39291c725,35719,0,32147,0,28575c0,24606,725,20638,2175,17264c3625,13891,5690,10716,8369,8136c11049,5159,14139,3373,17640,1984c21141,595,24786,0,28575,0x">
                  <v:stroke weight="0pt" endcap="flat" joinstyle="miter" miterlimit="10" on="false" color="#000000" opacity="0"/>
                  <v:fill on="true" color="#333333"/>
                </v:shape>
                <v:shape id="Shape 24969" style="position:absolute;width:571;height:571;left:0;top:1524;" coordsize="57150,57150" path="m28575,0c32364,0,36009,595,39510,1984c43011,3373,46101,5358,48781,8136c51460,10914,53525,14089,54975,17463c56425,20836,57150,24606,57150,28575c57150,32147,56425,35520,54975,39092c53525,42664,51460,45641,48781,48617c46101,50998,43011,53181,39510,54570c36009,56158,32364,56952,28575,57150c24786,56952,21141,56158,17640,54570c14139,53181,11049,50998,8369,48617c5690,45641,3625,42664,2175,39092c725,35520,0,32147,0,28575c0,24606,725,20836,2175,17463c3625,14089,5690,10914,8369,8136c11049,5358,14139,3373,17640,1984c21141,595,24786,0,28575,0x">
                  <v:stroke weight="0pt" endcap="flat" joinstyle="miter" miterlimit="10" on="false" color="#000000" opacity="0"/>
                  <v:fill on="true" color="#333333"/>
                </v:shape>
                <v:shape id="Shape 24971" style="position:absolute;width:571;height:571;left:0;top:3048;" coordsize="57150,57150" path="m28575,0c32364,0,36009,794,39510,2183c43011,3373,46101,5358,48781,8136c51460,10716,53525,13692,54975,17463c56425,20836,57150,24606,57150,28575c57150,32147,56425,35719,54975,39092c53525,42664,51460,45641,48781,48617c46101,50998,43011,53181,39510,54570c36009,56158,32364,56952,28575,57150c24786,56952,21141,56158,17640,54570c14139,53181,11049,50998,8369,48617c5690,45641,3625,42664,2175,39092c725,35719,0,32147,0,28575c0,24606,725,20836,2175,17463c3625,13692,5690,10716,8369,8136c11049,5358,14139,3373,17640,1984c21141,595,24786,0,28575,0x">
                  <v:stroke weight="0pt" endcap="flat" joinstyle="miter" miterlimit="10" on="false" color="#000000" opacity="0"/>
                  <v:fill on="true" color="#333333"/>
                </v:shape>
                <v:shape id="Shape 24973" style="position:absolute;width:571;height:571;left:0;top:4572;" coordsize="57150,57150" path="m28575,0c32364,0,36009,595,39510,1984c43011,3373,46101,5358,48781,8136c51460,10716,53525,13891,54975,17463c56425,20836,57150,24606,57150,28575c57150,32345,56425,35917,54975,39291c53525,42664,51460,45641,48781,48617c46101,50998,43011,53181,39510,54570c36009,56158,32364,56952,28575,57150c24786,56952,21141,56158,17640,54570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v:shape id="Shape 24975" style="position:absolute;width:571;height:571;left:0;top:6096;" coordsize="57150,57150" path="m28575,0c32364,0,36009,794,39510,2183c43011,3373,46101,5358,48781,8136c51460,10716,53525,13891,54975,17463c56425,21034,57150,24805,57150,28575c57150,32147,56425,35719,54975,39092c53525,42664,51460,45839,48781,48617c46101,50998,43011,53181,39510,54570c36009,56158,32364,56952,28575,57150c24786,56952,21141,56158,17640,54570c14139,53181,11049,50998,8369,48617c5690,45839,3625,42664,2175,39092c725,35719,0,32147,0,28575c0,24805,725,21034,2175,17661c3625,13891,5690,10716,8369,8136c11049,5358,14139,3373,17640,1984c21141,595,24786,0,28575,0x">
                  <v:stroke weight="0pt" endcap="flat" joinstyle="miter" miterlimit="10" on="false" color="#000000" opacity="0"/>
                  <v:fill on="true" color="#333333"/>
                </v:shape>
                <v:shape id="Shape 24977" style="position:absolute;width:571;height:571;left:0;top:7620;" coordsize="57150,57150" path="m28575,0c32364,0,36009,595,39510,1984c43011,3373,46101,5358,48781,8136c51460,10716,53525,13891,54975,17463c56425,20836,57150,24606,57150,28575c57150,32345,56425,35917,54975,39291c53525,42664,51460,45641,48781,48617c46101,50998,43011,53181,39510,54570c36009,56158,32364,56952,28575,57150c24786,56952,21141,56158,17640,54570c14139,53181,11049,50998,8369,48617c5690,45641,3625,42664,2175,39092c725,35719,0,32345,0,28575c0,24606,725,20836,2175,17463c3625,13891,5690,10716,8369,8136c11049,5358,14139,3373,17640,1984c21141,595,24786,0,28575,0x">
                  <v:stroke weight="0pt" endcap="flat" joinstyle="miter" miterlimit="10" on="false" color="#000000" opacity="0"/>
                  <v:fill on="true" color="#333333"/>
                </v:shape>
                <v:shape id="Shape 24979" style="position:absolute;width:571;height:571;left:0;top:9144;" coordsize="57150,57150" path="m28575,0c32364,0,36009,794,39510,2183c43011,3373,46101,5358,48781,8136c51460,10716,53525,13692,54975,17463c56425,20836,57150,24606,57150,28575c57150,32147,56425,35719,54975,39092c53525,42664,51460,45839,48781,48617c46101,50998,43011,53181,39510,54570c36009,56158,32364,56952,28575,57150c24786,56952,21141,56158,17640,54570c14139,53181,11049,50998,8369,48617c5690,45839,3625,42664,2175,39092c725,35719,0,32147,0,28575c0,24606,725,20836,2175,17463c3625,13692,5690,10716,8369,8136c11049,5358,14139,3373,17640,1984c21141,595,24786,0,28575,0x">
                  <v:stroke weight="0pt" endcap="flat" joinstyle="miter" miterlimit="10" on="false" color="#000000" opacity="0"/>
                  <v:fill on="true" color="#333333"/>
                </v:shape>
                <v:shape id="Shape 24981" style="position:absolute;width:571;height:571;left:0;top:10668;"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v:shape id="Shape 24983" style="position:absolute;width:571;height:571;left:0;top:12192;" coordsize="57150,57150" path="m28575,0c32364,0,36009,794,39510,2183c43011,3373,46101,5358,48781,8136c51460,10716,53525,13692,54975,17463c56425,20836,57150,24606,57150,28575c57150,32345,56425,35917,54975,39291c53525,42664,51460,45839,48781,48617c46101,51197,43011,53380,39510,54570c36009,56158,32364,56952,28575,57150c24786,56952,21141,56158,17640,54570c14139,53380,11049,51197,8369,48617c5690,45839,3625,42664,2175,39291c725,35917,0,32345,0,28575c0,24606,725,20836,2175,17463c3625,13692,5690,10716,8369,8136c11049,5358,14139,3373,17640,1984c21141,595,24786,0,28575,0x">
                  <v:stroke weight="0pt" endcap="flat" joinstyle="miter" miterlimit="10" on="false" color="#000000" opacity="0"/>
                  <v:fill on="true" color="#333333"/>
                </v:shape>
                <w10:wrap type="square"/>
              </v:group>
            </w:pict>
          </mc:Fallback>
        </mc:AlternateContent>
      </w:r>
      <w:r>
        <w:t>возраст &gt;50 лет; женский пол;</w:t>
      </w:r>
    </w:p>
    <w:p w:rsidR="008E3F15" w:rsidRDefault="005F449A">
      <w:pPr>
        <w:ind w:left="340" w:right="15"/>
      </w:pPr>
      <w:r>
        <w:t>семейный анамнез рака молочной железы, особенно ближайших родственников; плотные грудные железы;</w:t>
      </w:r>
    </w:p>
    <w:p w:rsidR="008E3F15" w:rsidRDefault="005F449A">
      <w:pPr>
        <w:ind w:left="340" w:right="1492"/>
      </w:pPr>
      <w:r>
        <w:t>комбинированная (эстроген + прогестин) гормональная терапия; облучение гру</w:t>
      </w:r>
      <w:r>
        <w:t>дной клетки;</w:t>
      </w:r>
    </w:p>
    <w:p w:rsidR="008E3F15" w:rsidRDefault="005F449A">
      <w:pPr>
        <w:spacing w:after="31"/>
        <w:ind w:left="340" w:right="15"/>
      </w:pPr>
      <w:r>
        <w:t>ожирение;</w:t>
      </w:r>
    </w:p>
    <w:p w:rsidR="008E3F15" w:rsidRDefault="005F449A">
      <w:pPr>
        <w:spacing w:after="31"/>
        <w:ind w:left="340" w:right="15"/>
      </w:pPr>
      <w:r>
        <w:t>злоупотребление алкоголем;</w:t>
      </w:r>
    </w:p>
    <w:p w:rsidR="008E3F15" w:rsidRDefault="005F449A">
      <w:pPr>
        <w:spacing w:after="179"/>
        <w:ind w:left="340" w:right="15"/>
      </w:pPr>
      <w:r>
        <w:t>генетические мутации, ассоциированные с раком молочной железы (гены BRCA1, BRCA2, а также ARD1, ATM, CHEK2, PALB2, RAD51C, RAD51D).</w:t>
      </w:r>
    </w:p>
    <w:p w:rsidR="008E3F15" w:rsidRDefault="005F449A">
      <w:pPr>
        <w:ind w:left="2" w:right="15"/>
      </w:pPr>
      <w:r>
        <w:rPr>
          <w:b/>
        </w:rPr>
        <w:t xml:space="preserve">Скрининг. </w:t>
      </w:r>
      <w:r>
        <w:t>Исследования не подтвердили очевидной пользы физического обследо</w:t>
      </w:r>
      <w:r>
        <w:t>вания молочной железы, проводимого самой женщиной или врачом. Такой метод скрининга</w:t>
      </w:r>
    </w:p>
    <w:p w:rsidR="008E3F15" w:rsidRDefault="005F449A">
      <w:pPr>
        <w:ind w:left="2" w:right="142"/>
      </w:pPr>
      <w:r>
        <w:t>не снижает смертность от рака, но повышает частоту биопсий и диагностику доброкачественных опухолей, поэтому не рекомендован (ASC; Mittra I. et al., 2021). Основным методом</w:t>
      </w:r>
      <w:r>
        <w:t xml:space="preserve"> раннего выявления рака молочной железы является маммография, которая может снизить смертность от рака на 15–28%, но не уменьшает общую смертность (Weedon-Fekjær H. et al., 2014; Nelson H. et al., 2016). Вместе с тем скрининговая маммография пропускает око</w:t>
      </w:r>
      <w:r>
        <w:t>ло 20–30% рака молочной железы (Hoff S. et al., 2012).</w:t>
      </w:r>
    </w:p>
    <w:p w:rsidR="008E3F15" w:rsidRDefault="005F449A">
      <w:pPr>
        <w:ind w:left="2" w:right="15"/>
      </w:pPr>
      <w:r>
        <w:t>Обычно рекомендуют проводить женщинам два раза в год, начиная с возраста 50 лет и до 74 лет (USPSTF; ACP). Также предлагают начинать скрининг с 40 лет у женщин невысокого риска рака молочной железы (NC</w:t>
      </w:r>
      <w:r>
        <w:t>CN, ACR).</w:t>
      </w:r>
    </w:p>
    <w:p w:rsidR="008E3F15" w:rsidRDefault="005F449A">
      <w:pPr>
        <w:ind w:left="2" w:right="15"/>
      </w:pPr>
      <w:r>
        <w:t>В России программа диспансеризации на первом этапе предусматривает маммографию каждые 3 года начиная с 39 лет, а после 49 лет — каждые 2 года вплоть до 70 лет. В то же время при широком охвате женщин скринингом в 11–52% регистрируются ложноположи</w:t>
      </w:r>
      <w:r>
        <w:t>тельные результаты маммографии (Ong M., Mandl K. 2015; Autier P. et al., 2017). Последние связаны с возрастом, увеличиваясь с 31% в возрасте 70–74 года до 54% в возрасте 84 лет и старше (Mueller K. et al., 2023). Особенно часто встречается гипердиагностика</w:t>
      </w:r>
      <w:r>
        <w:t xml:space="preserve"> протоковой карциномы in situ.</w:t>
      </w:r>
    </w:p>
    <w:p w:rsidR="008E3F15" w:rsidRDefault="005F449A">
      <w:pPr>
        <w:ind w:left="2" w:right="15"/>
      </w:pPr>
      <w:r>
        <w:t>Цифровой томосинтез, рентгеновская томографическая маммография с высоким разрешением, не улучшил существенно возможности обычной маммографии (To-Be; Houssami N. et al., 2021).</w:t>
      </w:r>
    </w:p>
    <w:p w:rsidR="008E3F15" w:rsidRDefault="005F449A">
      <w:pPr>
        <w:ind w:left="2" w:right="974"/>
      </w:pPr>
      <w:r>
        <w:t>Дополнительное с маммографией использование для скрининга ультразвукового исследования молочной железы может увеличить число выявленных случаев рака, но возрастает частота ложноположительных результатов (Cochrane Reviews).</w:t>
      </w:r>
    </w:p>
    <w:p w:rsidR="008E3F15" w:rsidRDefault="005F449A">
      <w:pPr>
        <w:spacing w:after="179"/>
        <w:ind w:left="2" w:right="543"/>
      </w:pPr>
      <w:r>
        <w:t xml:space="preserve">Для женщин с высоким риском (семейный анамнез рака молочной железы, мутации гена BRCA1 или BRCA2, лучевая терапия в возрасте 10–30 лет) маммография и магнитнорезонансная томография проводятся каждый год. </w:t>
      </w:r>
      <w:r>
        <w:rPr>
          <w:b/>
        </w:rPr>
        <w:t>Профилактика:</w:t>
      </w:r>
    </w:p>
    <w:p w:rsidR="008E3F15" w:rsidRDefault="005F449A">
      <w:pPr>
        <w:ind w:left="340" w:right="6499"/>
      </w:pPr>
      <w:r>
        <w:rPr>
          <w:rFonts w:ascii="Calibri" w:eastAsia="Calibri" w:hAnsi="Calibri" w:cs="Calibri"/>
          <w:noProof/>
          <w:color w:val="000000"/>
          <w:sz w:val="22"/>
        </w:rPr>
        <mc:AlternateContent>
          <mc:Choice Requires="wpg">
            <w:drawing>
              <wp:anchor distT="0" distB="0" distL="114300" distR="114300" simplePos="0" relativeHeight="251970560" behindDoc="0" locked="0" layoutInCell="1" allowOverlap="1">
                <wp:simplePos x="0" y="0"/>
                <wp:positionH relativeFrom="column">
                  <wp:posOffset>209550</wp:posOffset>
                </wp:positionH>
                <wp:positionV relativeFrom="paragraph">
                  <wp:posOffset>34727</wp:posOffset>
                </wp:positionV>
                <wp:extent cx="57150" cy="1123950"/>
                <wp:effectExtent l="0" t="0" r="0" b="0"/>
                <wp:wrapSquare wrapText="bothSides"/>
                <wp:docPr id="347686" name="Group 347686"/>
                <wp:cNvGraphicFramePr/>
                <a:graphic xmlns:a="http://schemas.openxmlformats.org/drawingml/2006/main">
                  <a:graphicData uri="http://schemas.microsoft.com/office/word/2010/wordprocessingGroup">
                    <wpg:wgp>
                      <wpg:cNvGrpSpPr/>
                      <wpg:grpSpPr>
                        <a:xfrm>
                          <a:off x="0" y="0"/>
                          <a:ext cx="57150" cy="1123950"/>
                          <a:chOff x="0" y="0"/>
                          <a:chExt cx="57150" cy="1123950"/>
                        </a:xfrm>
                      </wpg:grpSpPr>
                      <wps:wsp>
                        <wps:cNvPr id="25029" name="Shape 25029"/>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31" name="Shape 25031"/>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181"/>
                                  <a:pt x="39510" y="54769"/>
                                </a:cubicBezTo>
                                <a:cubicBezTo>
                                  <a:pt x="36009" y="56158"/>
                                  <a:pt x="32364" y="56952"/>
                                  <a:pt x="28575" y="57150"/>
                                </a:cubicBezTo>
                                <a:cubicBezTo>
                                  <a:pt x="24786" y="56952"/>
                                  <a:pt x="21141" y="56158"/>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4089"/>
                                  <a:pt x="5690" y="10914"/>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33" name="Shape 25033"/>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463"/>
                                </a:cubicBezTo>
                                <a:cubicBezTo>
                                  <a:pt x="56425" y="20836"/>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35" name="Shape 25035"/>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38" name="Shape 25038"/>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40" name="Shape 25040"/>
                        <wps:cNvSpPr/>
                        <wps:spPr>
                          <a:xfrm>
                            <a:off x="0" y="9144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42" name="Shape 25042"/>
                        <wps:cNvSpPr/>
                        <wps:spPr>
                          <a:xfrm>
                            <a:off x="0" y="10668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686" style="width:4.5pt;height:88.5pt;position:absolute;mso-position-horizontal-relative:text;mso-position-horizontal:absolute;margin-left:16.5pt;mso-position-vertical-relative:text;margin-top:2.73438pt;" coordsize="571,11239">
                <v:shape id="Shape 25029" style="position:absolute;width:571;height:571;left:0;top:0;" coordsize="57150,57150" path="m28575,0c32364,0,36009,794,39510,2183c43011,3373,46101,5556,48781,8136c51460,10716,53525,13891,54975,17463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463c3625,13891,5690,10716,8369,8136c11049,5556,14139,3373,17640,1984c21141,595,24786,0,28575,0x">
                  <v:stroke weight="0pt" endcap="flat" joinstyle="miter" miterlimit="10" on="false" color="#000000" opacity="0"/>
                  <v:fill on="true" color="#333333"/>
                </v:shape>
                <v:shape id="Shape 25031" style="position:absolute;width:571;height:571;left:0;top:1524;" coordsize="57150,57150" path="m28575,0c32364,0,36009,595,39510,1984c43011,3373,46101,5556,48781,8136c51460,10914,53525,14089,54975,17463c56425,20836,57150,24606,57150,28575c57150,32345,56425,35917,54975,39489c53525,42863,51460,45839,48781,48617c46101,51197,43011,53181,39510,54769c36009,56158,32364,56952,28575,57150c24786,56952,21141,56158,17640,54769c14139,53181,11049,51197,8369,48617c5690,45839,3625,42664,2175,39291c725,35917,0,32345,0,28575c0,24606,725,20836,2175,17463c3625,14089,5690,10914,8369,8136c11049,5556,14139,3373,17640,1984c21141,595,24786,0,28575,0x">
                  <v:stroke weight="0pt" endcap="flat" joinstyle="miter" miterlimit="10" on="false" color="#000000" opacity="0"/>
                  <v:fill on="true" color="#333333"/>
                </v:shape>
                <v:shape id="Shape 25033" style="position:absolute;width:571;height:571;left:0;top:3048;" coordsize="57150,57150" path="m28575,0c32364,0,36009,794,39510,2183c43011,3373,46101,5556,48781,8136c51460,10716,53525,13891,54975,17463c56425,20836,57150,24606,57150,28575c57150,32147,56425,35719,54975,39291c53525,42664,51460,45839,48781,48617c46101,51197,43011,53380,39510,54769c36009,56158,32364,56952,28575,57150c24786,56952,21141,56158,17640,54769c14139,53380,11049,51197,8369,48617c5690,45839,3625,42664,2175,39291c725,35719,0,32147,0,28575c0,24606,725,20836,2175,17463c3625,13891,5690,10716,8369,8136c11049,5556,14139,3373,17640,1984c21141,595,24786,0,28575,0x">
                  <v:stroke weight="0pt" endcap="flat" joinstyle="miter" miterlimit="10" on="false" color="#000000" opacity="0"/>
                  <v:fill on="true" color="#333333"/>
                </v:shape>
                <v:shape id="Shape 25035" style="position:absolute;width:571;height:571;left:0;top:4572;" coordsize="57150,57150" path="m28575,0c32364,0,36009,595,39510,1984c43011,3373,46101,5556,48781,8136c51460,10716,53525,13891,54975,17264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v:shape id="Shape 25038" style="position:absolute;width:571;height:571;left:0;top:7620;" coordsize="57150,57150" path="m28575,0c32364,0,36009,595,39510,1984c43011,3373,46101,5556,48781,8136c51460,10716,53525,13891,54975,17264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v:shape id="Shape 25040" style="position:absolute;width:571;height:571;left:0;top:9144;" coordsize="57150,57150" path="m28575,0c32364,0,36009,794,39510,2183c43011,3373,46101,5556,48781,8136c51460,10716,53525,13891,54975,17264c56425,20638,57150,24606,57150,28575c57150,32147,56425,35719,54975,39291c53525,42664,51460,45839,48781,48617c46101,51197,43011,53380,39510,54570c36009,56158,32364,56952,28575,57150c24786,56952,21141,56158,17640,54570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5042" style="position:absolute;width:571;height:571;left:0;top:10668;" coordsize="57150,57150" path="m28575,0c32364,0,36009,595,39510,1984c43011,3373,46101,5556,48781,8136c51460,10716,53525,13891,54975,17264c56425,20836,57150,24606,57150,28575c57150,32345,56425,35917,54975,39489c53525,42863,51460,45839,48781,48617c46101,51197,43011,53380,39510,54570c36009,56356,32364,56952,28575,57150c24786,56952,21141,56356,17640,54769c14139,53380,11049,51197,8369,48617c5690,45839,3625,42664,2175,39092c725,35719,0,32345,0,28575c0,24606,725,20836,2175,17463c3625,13891,5690,10716,8369,8136c11049,5556,14139,3373,17640,1984c21141,595,24786,0,28575,0x">
                  <v:stroke weight="0pt" endcap="flat" joinstyle="miter" miterlimit="10" on="false" color="#000000" opacity="0"/>
                  <v:fill on="true" color="#333333"/>
                </v:shape>
                <w10:wrap type="square"/>
              </v:group>
            </w:pict>
          </mc:Fallback>
        </mc:AlternateContent>
      </w:r>
      <w:r>
        <w:t>рождение ребенка до 20 лет; кормление</w:t>
      </w:r>
      <w:r>
        <w:t xml:space="preserve"> грудью; физические нагрузки;</w:t>
      </w:r>
    </w:p>
    <w:p w:rsidR="008E3F15" w:rsidRDefault="005F449A">
      <w:pPr>
        <w:spacing w:after="31"/>
        <w:ind w:left="340" w:right="15"/>
      </w:pPr>
      <w:r>
        <w:t>лекарственные препараты: селективные модуляторы эстрогеновых рецепторов</w:t>
      </w:r>
    </w:p>
    <w:p w:rsidR="008E3F15" w:rsidRDefault="005F449A">
      <w:pPr>
        <w:spacing w:after="179"/>
        <w:ind w:left="340" w:right="2802"/>
      </w:pPr>
      <w:r>
        <w:t>(тамоксифен, ралоксифен), ингибиторы ароматазы (анастрозол); эстрогены после гистерэктомии; мастэктомия; удаление или абляция яичников.</w:t>
      </w:r>
    </w:p>
    <w:p w:rsidR="008E3F15" w:rsidRDefault="005F449A">
      <w:pPr>
        <w:ind w:left="2" w:right="15"/>
      </w:pPr>
      <w:r>
        <w:t>Женщины с повышенн</w:t>
      </w:r>
      <w:r>
        <w:t>ым риском рака молочной железы могут использовать антиэстрогены (тамоксифен, ралоксифен), ингибиторы ароматазы (анастрозол, эксеместан).</w:t>
      </w:r>
    </w:p>
    <w:p w:rsidR="008E3F15" w:rsidRDefault="005F449A">
      <w:pPr>
        <w:ind w:left="2" w:right="85"/>
      </w:pPr>
      <w:r>
        <w:t>В рандомизированном исследовании IBIS-II применение ингибитора ароматазы анастрозола у женщин высокого риска (40–70 лет</w:t>
      </w:r>
      <w:r>
        <w:t>, после менопаузы, с семейным анамнезом рака молочной железы или аномальным доброкачественным заболеванием молочной железы) снизило частоту рака молочной железы на 61% за 5 лет наблюдения.</w:t>
      </w:r>
    </w:p>
    <w:p w:rsidR="008E3F15" w:rsidRDefault="005F449A">
      <w:pPr>
        <w:spacing w:after="359"/>
        <w:ind w:left="2" w:right="15"/>
      </w:pPr>
      <w:r>
        <w:t xml:space="preserve">Наблюдательные исследования показали снижение частоты и смертности </w:t>
      </w:r>
      <w:r>
        <w:t>от рака молочной железы при мастэктомии у женщин с очень высоким риском, например носителей мутированных генов BRCA1/2 (Cochrane Reviews).</w:t>
      </w:r>
    </w:p>
    <w:p w:rsidR="008E3F15" w:rsidRDefault="005F449A">
      <w:pPr>
        <w:pStyle w:val="Heading1"/>
        <w:ind w:left="2"/>
      </w:pPr>
      <w:r>
        <w:t>Часть II. Коморбидные болезни</w:t>
      </w:r>
    </w:p>
    <w:p w:rsidR="008E3F15" w:rsidRDefault="005F449A">
      <w:pPr>
        <w:spacing w:after="179"/>
        <w:ind w:left="2" w:right="7615"/>
      </w:pPr>
      <w:r>
        <w:t xml:space="preserve">Рак шейки матки </w:t>
      </w:r>
      <w:r>
        <w:rPr>
          <w:b/>
        </w:rPr>
        <w:t>Факторы риска:</w:t>
      </w:r>
    </w:p>
    <w:p w:rsidR="008E3F15" w:rsidRDefault="005F449A">
      <w:pPr>
        <w:ind w:left="340" w:right="1243"/>
      </w:pPr>
      <w:r>
        <w:rPr>
          <w:rFonts w:ascii="Calibri" w:eastAsia="Calibri" w:hAnsi="Calibri" w:cs="Calibri"/>
          <w:noProof/>
          <w:color w:val="000000"/>
          <w:sz w:val="22"/>
        </w:rPr>
        <mc:AlternateContent>
          <mc:Choice Requires="wpg">
            <w:drawing>
              <wp:anchor distT="0" distB="0" distL="114300" distR="114300" simplePos="0" relativeHeight="251971584" behindDoc="0" locked="0" layoutInCell="1" allowOverlap="1">
                <wp:simplePos x="0" y="0"/>
                <wp:positionH relativeFrom="column">
                  <wp:posOffset>209550</wp:posOffset>
                </wp:positionH>
                <wp:positionV relativeFrom="paragraph">
                  <wp:posOffset>34727</wp:posOffset>
                </wp:positionV>
                <wp:extent cx="57150" cy="819150"/>
                <wp:effectExtent l="0" t="0" r="0" b="0"/>
                <wp:wrapSquare wrapText="bothSides"/>
                <wp:docPr id="347688" name="Group 347688"/>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5056" name="Shape 25056"/>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264"/>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58" name="Shape 25058"/>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5959"/>
                                  <a:pt x="32364" y="56952"/>
                                  <a:pt x="28575" y="57150"/>
                                </a:cubicBezTo>
                                <a:cubicBezTo>
                                  <a:pt x="24786" y="56952"/>
                                  <a:pt x="21141" y="55959"/>
                                  <a:pt x="17640" y="54570"/>
                                </a:cubicBezTo>
                                <a:cubicBezTo>
                                  <a:pt x="14139" y="53181"/>
                                  <a:pt x="11049" y="50998"/>
                                  <a:pt x="8369" y="48617"/>
                                </a:cubicBezTo>
                                <a:cubicBezTo>
                                  <a:pt x="5690" y="45641"/>
                                  <a:pt x="3625" y="42664"/>
                                  <a:pt x="2175" y="39092"/>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60" name="Shape 25060"/>
                        <wps:cNvSpPr/>
                        <wps:spPr>
                          <a:xfrm>
                            <a:off x="0" y="3048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62" name="Shape 25062"/>
                        <wps:cNvSpPr/>
                        <wps:spPr>
                          <a:xfrm>
                            <a:off x="0" y="4572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5959"/>
                                  <a:pt x="32364" y="56952"/>
                                  <a:pt x="28575" y="57150"/>
                                </a:cubicBezTo>
                                <a:cubicBezTo>
                                  <a:pt x="24786" y="56952"/>
                                  <a:pt x="21141" y="55959"/>
                                  <a:pt x="17640" y="54570"/>
                                </a:cubicBezTo>
                                <a:cubicBezTo>
                                  <a:pt x="14139" y="53181"/>
                                  <a:pt x="11049" y="50998"/>
                                  <a:pt x="8369" y="48617"/>
                                </a:cubicBezTo>
                                <a:cubicBezTo>
                                  <a:pt x="5690" y="45641"/>
                                  <a:pt x="3625" y="42664"/>
                                  <a:pt x="2175" y="39092"/>
                                </a:cubicBezTo>
                                <a:cubicBezTo>
                                  <a:pt x="725" y="35719"/>
                                  <a:pt x="0" y="32147"/>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64" name="Shape 25064"/>
                        <wps:cNvSpPr/>
                        <wps:spPr>
                          <a:xfrm>
                            <a:off x="0" y="60960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2983"/>
                                  <a:pt x="39510" y="54570"/>
                                </a:cubicBezTo>
                                <a:cubicBezTo>
                                  <a:pt x="36009" y="56158"/>
                                  <a:pt x="32364" y="56952"/>
                                  <a:pt x="28575" y="57150"/>
                                </a:cubicBezTo>
                                <a:cubicBezTo>
                                  <a:pt x="24786" y="56952"/>
                                  <a:pt x="21141" y="56158"/>
                                  <a:pt x="17640" y="54769"/>
                                </a:cubicBezTo>
                                <a:cubicBezTo>
                                  <a:pt x="14139" y="53181"/>
                                  <a:pt x="11049" y="50998"/>
                                  <a:pt x="8369" y="48617"/>
                                </a:cubicBezTo>
                                <a:cubicBezTo>
                                  <a:pt x="5690" y="45641"/>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66" name="Shape 25066"/>
                        <wps:cNvSpPr/>
                        <wps:spPr>
                          <a:xfrm>
                            <a:off x="0" y="7620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1034"/>
                                  <a:pt x="57150" y="24805"/>
                                  <a:pt x="57150" y="28575"/>
                                </a:cubicBezTo>
                                <a:cubicBezTo>
                                  <a:pt x="57150" y="32345"/>
                                  <a:pt x="56425" y="35719"/>
                                  <a:pt x="54975" y="39092"/>
                                </a:cubicBezTo>
                                <a:cubicBezTo>
                                  <a:pt x="53525" y="42664"/>
                                  <a:pt x="51460" y="45641"/>
                                  <a:pt x="48781" y="48617"/>
                                </a:cubicBezTo>
                                <a:cubicBezTo>
                                  <a:pt x="46101" y="50998"/>
                                  <a:pt x="43011" y="53181"/>
                                  <a:pt x="39510" y="54570"/>
                                </a:cubicBezTo>
                                <a:cubicBezTo>
                                  <a:pt x="36009" y="55959"/>
                                  <a:pt x="32364" y="56952"/>
                                  <a:pt x="28575" y="57150"/>
                                </a:cubicBezTo>
                                <a:cubicBezTo>
                                  <a:pt x="24786" y="56952"/>
                                  <a:pt x="21141" y="55959"/>
                                  <a:pt x="17640" y="54570"/>
                                </a:cubicBezTo>
                                <a:cubicBezTo>
                                  <a:pt x="14139" y="53181"/>
                                  <a:pt x="11049" y="50998"/>
                                  <a:pt x="8369" y="48617"/>
                                </a:cubicBezTo>
                                <a:cubicBezTo>
                                  <a:pt x="5690" y="45641"/>
                                  <a:pt x="3625" y="42664"/>
                                  <a:pt x="2175" y="39092"/>
                                </a:cubicBezTo>
                                <a:cubicBezTo>
                                  <a:pt x="725" y="35719"/>
                                  <a:pt x="0" y="32345"/>
                                  <a:pt x="0" y="28575"/>
                                </a:cubicBezTo>
                                <a:cubicBezTo>
                                  <a:pt x="0" y="24805"/>
                                  <a:pt x="725" y="21034"/>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688" style="width:4.5pt;height:64.5pt;position:absolute;mso-position-horizontal-relative:text;mso-position-horizontal:absolute;margin-left:16.5pt;mso-position-vertical-relative:text;margin-top:2.73438pt;" coordsize="571,8191">
                <v:shape id="Shape 25056" style="position:absolute;width:571;height:571;left:0;top:0;" coordsize="57150,57150" path="m28575,0c32364,0,36009,794,39510,2183c43011,3373,46101,5358,48781,8136c51460,10716,53525,13891,54975,17264c56425,20836,57150,24606,57150,28575c57150,32345,56425,35917,54975,39291c53525,42664,51460,45641,48781,48617c46101,50998,43011,52983,39510,54570c36009,56356,32364,56952,28575,57150c24786,56952,21141,56356,17640,54769c14139,53181,11049,50998,8369,48617c5690,45641,3625,42664,2175,39092c725,35719,0,32345,0,28575c0,24606,725,20836,2175,17264c3625,13891,5690,10716,8369,8136c11049,5358,14139,3373,17640,2183c21141,794,24786,0,28575,0x">
                  <v:stroke weight="0pt" endcap="flat" joinstyle="miter" miterlimit="10" on="false" color="#000000" opacity="0"/>
                  <v:fill on="true" color="#333333"/>
                </v:shape>
                <v:shape id="Shape 25058" style="position:absolute;width:571;height:571;left:0;top:1524;" coordsize="57150,57150" path="m28575,0c32364,0,36009,595,39510,1984c43011,3373,46101,5556,48781,8136c51460,10716,53525,13891,54975,17264c56425,21034,57150,24805,57150,28575c57150,32147,56425,35719,54975,39092c53525,42664,51460,45641,48781,48617c46101,50998,43011,53181,39510,54570c36009,55959,32364,56952,28575,57150c24786,56952,21141,55959,17640,54570c14139,53181,11049,50998,8369,48617c5690,45641,3625,42664,2175,39092c725,35719,0,32147,0,28575c0,24805,725,21034,2175,17463c3625,13891,5690,10716,8369,8136c11049,5556,14139,3373,17640,1984c21141,595,24786,0,28575,0x">
                  <v:stroke weight="0pt" endcap="flat" joinstyle="miter" miterlimit="10" on="false" color="#000000" opacity="0"/>
                  <v:fill on="true" color="#333333"/>
                </v:shape>
                <v:shape id="Shape 25060" style="position:absolute;width:571;height:571;left:0;top:3048;" coordsize="57150,57150" path="m28575,0c32364,0,36009,595,39510,1984c43011,3373,46101,5358,48781,8136c51460,10716,53525,13891,54975,17264c56425,20836,57150,24606,57150,28575c57150,32345,56425,35917,54975,39291c53525,42664,51460,45641,48781,48617c46101,50998,43011,52983,39510,54570c36009,56158,32364,56952,28575,57150c24786,56952,21141,56158,17640,54769c14139,53181,11049,50998,8369,48617c5690,45641,3625,42664,2175,39092c725,35719,0,32345,0,28575c0,24606,725,20836,2175,17264c3625,13891,5690,10716,8369,8136c11049,5358,14139,3373,17640,1984c21141,595,24786,0,28575,0x">
                  <v:stroke weight="0pt" endcap="flat" joinstyle="miter" miterlimit="10" on="false" color="#000000" opacity="0"/>
                  <v:fill on="true" color="#333333"/>
                </v:shape>
                <v:shape id="Shape 25062" style="position:absolute;width:571;height:571;left:0;top:4572;" coordsize="57150,57150" path="m28575,0c32364,0,36009,595,39510,1984c43011,3373,46101,5556,48781,8136c51460,10716,53525,13891,54975,17264c56425,21034,57150,24805,57150,28575c57150,32147,56425,35719,54975,39092c53525,42664,51460,45641,48781,48617c46101,50998,43011,53181,39510,54570c36009,55959,32364,56952,28575,57150c24786,56952,21141,55959,17640,54570c14139,53181,11049,50998,8369,48617c5690,45641,3625,42664,2175,39092c725,35719,0,32147,0,28575c0,24805,725,21034,2175,17463c3625,13891,5690,10716,8369,8136c11049,5556,14139,3373,17640,1984c21141,595,24786,0,28575,0x">
                  <v:stroke weight="0pt" endcap="flat" joinstyle="miter" miterlimit="10" on="false" color="#000000" opacity="0"/>
                  <v:fill on="true" color="#333333"/>
                </v:shape>
                <v:shape id="Shape 25064" style="position:absolute;width:571;height:571;left:0;top:6096;" coordsize="57150,57150" path="m28575,0c32364,0,36009,595,39510,1984c43011,3373,46101,5358,48781,8136c51460,10716,53525,13891,54975,17264c56425,20836,57150,24606,57150,28575c57150,32345,56425,35917,54975,39291c53525,42664,51460,45641,48781,48617c46101,50998,43011,52983,39510,54570c36009,56158,32364,56952,28575,57150c24786,56952,21141,56158,17640,54769c14139,53181,11049,50998,8369,48617c5690,45641,3625,42664,2175,39291c725,35917,0,32345,0,28575c0,24606,725,20836,2175,17264c3625,13891,5690,10716,8369,8136c11049,5358,14139,3373,17640,1984c21141,595,24786,0,28575,0x">
                  <v:stroke weight="0pt" endcap="flat" joinstyle="miter" miterlimit="10" on="false" color="#000000" opacity="0"/>
                  <v:fill on="true" color="#333333"/>
                </v:shape>
                <v:shape id="Shape 25066" style="position:absolute;width:571;height:571;left:0;top:7620;" coordsize="57150,57150" path="m28575,0c32364,0,36009,595,39510,1984c43011,3373,46101,5556,48781,8136c51460,10716,53525,13891,54975,17264c56425,21034,57150,24805,57150,28575c57150,32345,56425,35719,54975,39092c53525,42664,51460,45641,48781,48617c46101,50998,43011,53181,39510,54570c36009,55959,32364,56952,28575,57150c24786,56952,21141,55959,17640,54570c14139,53181,11049,50998,8369,48617c5690,45641,3625,42664,2175,39092c725,35719,0,32345,0,28575c0,24805,725,21034,2175,17463c3625,13891,5690,10716,8369,8136c11049,5556,14139,3373,17640,1984c21141,595,24786,0,28575,0x">
                  <v:stroke weight="0pt" endcap="flat" joinstyle="miter" miterlimit="10" on="false" color="#000000" opacity="0"/>
                  <v:fill on="true" color="#333333"/>
                </v:shape>
                <w10:wrap type="square"/>
              </v:group>
            </w:pict>
          </mc:Fallback>
        </mc:AlternateContent>
      </w:r>
      <w:r>
        <w:t>вирус папилломы, особенно высокого риска (16-го и 18-го</w:t>
      </w:r>
      <w:r>
        <w:t xml:space="preserve"> типов); подавление иммунитета;</w:t>
      </w:r>
    </w:p>
    <w:p w:rsidR="008E3F15" w:rsidRDefault="005F449A">
      <w:pPr>
        <w:ind w:left="340" w:right="1537"/>
      </w:pPr>
      <w:r>
        <w:t>сексуальная активность до 17 лет с большим (≥6) числом партнеров; частые беременности и роды;</w:t>
      </w:r>
    </w:p>
    <w:p w:rsidR="008E3F15" w:rsidRDefault="005F449A">
      <w:pPr>
        <w:spacing w:after="179"/>
        <w:ind w:left="340" w:right="3837"/>
      </w:pPr>
      <w:r>
        <w:t>длительный прием оральных контрацептивов; курение.</w:t>
      </w:r>
    </w:p>
    <w:p w:rsidR="008E3F15" w:rsidRDefault="005F449A">
      <w:pPr>
        <w:ind w:left="2" w:right="15"/>
      </w:pPr>
      <w:r>
        <w:rPr>
          <w:b/>
        </w:rPr>
        <w:t xml:space="preserve">Скрининг. </w:t>
      </w:r>
      <w:r>
        <w:t>Тест на вирус папилломы высокого риска с оценкой дезоксирибонуклеиновой кислоты позволил выявить рак шейки матки на 30% чаще по сравнению с цитологическим тестом (Rebolj M. et al., 2019).</w:t>
      </w:r>
    </w:p>
    <w:p w:rsidR="008E3F15" w:rsidRDefault="005F449A">
      <w:pPr>
        <w:ind w:left="2" w:right="15"/>
      </w:pPr>
      <w:r>
        <w:t>ВОЗ рекомендует в возрасте 30–49 лет проводить тест на дезоксирибону</w:t>
      </w:r>
      <w:r>
        <w:t>клеиновую кислоту вируса папилломы с интервалом 5–10 лет, а после 50 лет прекратить тестирование при двух последовательных отрицательных тестах.</w:t>
      </w:r>
    </w:p>
    <w:p w:rsidR="008E3F15" w:rsidRDefault="005F449A">
      <w:pPr>
        <w:spacing w:after="179"/>
        <w:ind w:left="2" w:right="114"/>
      </w:pPr>
      <w:r>
        <w:t>В России программа диспансеризации на первом этапе предусматривает взятие мазка шейки матки с цитологическим ис</w:t>
      </w:r>
      <w:r>
        <w:t xml:space="preserve">следованием каждые 3 года в возрасте 30–60 лет. </w:t>
      </w:r>
      <w:r>
        <w:rPr>
          <w:b/>
        </w:rPr>
        <w:t>Профилактика:</w:t>
      </w:r>
    </w:p>
    <w:p w:rsidR="008E3F15" w:rsidRDefault="005F449A">
      <w:pPr>
        <w:ind w:left="340" w:right="5018"/>
      </w:pPr>
      <w:r>
        <w:rPr>
          <w:rFonts w:ascii="Calibri" w:eastAsia="Calibri" w:hAnsi="Calibri" w:cs="Calibri"/>
          <w:noProof/>
          <w:color w:val="000000"/>
          <w:sz w:val="22"/>
        </w:rPr>
        <mc:AlternateContent>
          <mc:Choice Requires="wpg">
            <w:drawing>
              <wp:anchor distT="0" distB="0" distL="114300" distR="114300" simplePos="0" relativeHeight="251972608" behindDoc="0" locked="0" layoutInCell="1" allowOverlap="1">
                <wp:simplePos x="0" y="0"/>
                <wp:positionH relativeFrom="column">
                  <wp:posOffset>209550</wp:posOffset>
                </wp:positionH>
                <wp:positionV relativeFrom="paragraph">
                  <wp:posOffset>34727</wp:posOffset>
                </wp:positionV>
                <wp:extent cx="57150" cy="209550"/>
                <wp:effectExtent l="0" t="0" r="0" b="0"/>
                <wp:wrapSquare wrapText="bothSides"/>
                <wp:docPr id="347689" name="Group 347689"/>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5078" name="Shape 25078"/>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769"/>
                                </a:cubicBezTo>
                                <a:cubicBezTo>
                                  <a:pt x="36009" y="56356"/>
                                  <a:pt x="32364" y="56952"/>
                                  <a:pt x="28575" y="57150"/>
                                </a:cubicBezTo>
                                <a:cubicBezTo>
                                  <a:pt x="24786" y="56952"/>
                                  <a:pt x="21141" y="56356"/>
                                  <a:pt x="17640" y="54967"/>
                                </a:cubicBezTo>
                                <a:cubicBezTo>
                                  <a:pt x="14139" y="53380"/>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080" name="Shape 25080"/>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291"/>
                                </a:cubicBezTo>
                                <a:cubicBezTo>
                                  <a:pt x="53525" y="42664"/>
                                  <a:pt x="51460" y="45641"/>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641"/>
                                  <a:pt x="3625" y="42664"/>
                                  <a:pt x="2175" y="39291"/>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689" style="width:4.5pt;height:16.5pt;position:absolute;mso-position-horizontal-relative:text;mso-position-horizontal:absolute;margin-left:16.5pt;mso-position-vertical-relative:text;margin-top:2.73438pt;" coordsize="571,2095">
                <v:shape id="Shape 25078" style="position:absolute;width:571;height:571;left:0;top:0;" coordsize="57150,57150" path="m28575,0c32364,0,36009,595,39510,1984c43011,3373,46101,5556,48781,8334c51460,10914,53525,14089,54975,17463c56425,20836,57150,24606,57150,28575c57150,32147,56425,35719,54975,39092c53525,42664,51460,45641,48781,48617c46101,50998,43011,53181,39510,54769c36009,56356,32364,56952,28575,57150c24786,56952,21141,56356,17640,54967c14139,53380,11049,50998,8369,48617c5690,45641,3625,42664,2175,39092c725,35719,0,32147,0,28575c0,24606,725,20836,2175,17463c3625,14089,5690,10914,8369,8334c11049,5556,14139,3373,17640,1984c21141,595,24786,0,28575,0x">
                  <v:stroke weight="0pt" endcap="flat" joinstyle="miter" miterlimit="10" on="false" color="#000000" opacity="0"/>
                  <v:fill on="true" color="#333333"/>
                </v:shape>
                <v:shape id="Shape 25080" style="position:absolute;width:571;height:571;left:0;top:1524;" coordsize="57150,57150" path="m28575,0c32364,0,36009,794,39510,2183c43011,3572,46101,5755,48781,8334c51460,10914,53525,14089,54975,17463c56425,20836,57150,24606,57150,28575c57150,32147,56425,35719,54975,39291c53525,42664,51460,45641,48781,48617c46101,51197,43011,53380,39510,54769c36009,56158,32364,56952,28575,57150c24786,56952,21141,56158,17640,54769c14139,53380,11049,51197,8369,48617c5690,45641,3625,42664,2175,39291c725,35719,0,32147,0,28575c0,24606,725,20836,2175,17463c3625,14089,5690,10914,8369,8334c11049,5755,14139,3572,17640,2183c21141,794,24786,0,28575,0x">
                  <v:stroke weight="0pt" endcap="flat" joinstyle="miter" miterlimit="10" on="false" color="#000000" opacity="0"/>
                  <v:fill on="true" color="#333333"/>
                </v:shape>
                <w10:wrap type="square"/>
              </v:group>
            </w:pict>
          </mc:Fallback>
        </mc:AlternateContent>
      </w:r>
      <w:r>
        <w:t xml:space="preserve">снижение сексуальных контактов; барьерная контрацепция; </w:t>
      </w:r>
      <w:r>
        <w:rPr>
          <w:rFonts w:ascii="Calibri" w:eastAsia="Calibri" w:hAnsi="Calibri" w:cs="Calibri"/>
          <w:noProof/>
          <w:color w:val="000000"/>
          <w:sz w:val="22"/>
        </w:rPr>
        <mc:AlternateContent>
          <mc:Choice Requires="wpg">
            <w:drawing>
              <wp:inline distT="0" distB="0" distL="0" distR="0">
                <wp:extent cx="57150" cy="57150"/>
                <wp:effectExtent l="0" t="0" r="0" b="0"/>
                <wp:docPr id="347536" name="Group 34753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5097" name="Shape 25097"/>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641"/>
                                  <a:pt x="48781" y="48617"/>
                                </a:cubicBezTo>
                                <a:cubicBezTo>
                                  <a:pt x="46101" y="50998"/>
                                  <a:pt x="43011" y="53181"/>
                                  <a:pt x="39510" y="54769"/>
                                </a:cubicBezTo>
                                <a:cubicBezTo>
                                  <a:pt x="36009" y="56356"/>
                                  <a:pt x="32364" y="56952"/>
                                  <a:pt x="28575" y="57150"/>
                                </a:cubicBezTo>
                                <a:cubicBezTo>
                                  <a:pt x="24786" y="56952"/>
                                  <a:pt x="21141" y="56356"/>
                                  <a:pt x="17640" y="54769"/>
                                </a:cubicBezTo>
                                <a:cubicBezTo>
                                  <a:pt x="14139" y="53181"/>
                                  <a:pt x="11049" y="50998"/>
                                  <a:pt x="8369" y="48617"/>
                                </a:cubicBezTo>
                                <a:cubicBezTo>
                                  <a:pt x="5690" y="45641"/>
                                  <a:pt x="3625" y="42664"/>
                                  <a:pt x="2175" y="39092"/>
                                </a:cubicBezTo>
                                <a:cubicBezTo>
                                  <a:pt x="725" y="35719"/>
                                  <a:pt x="0" y="32345"/>
                                  <a:pt x="0" y="28575"/>
                                </a:cubicBezTo>
                                <a:cubicBezTo>
                                  <a:pt x="0" y="24606"/>
                                  <a:pt x="725" y="20836"/>
                                  <a:pt x="2175" y="17264"/>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47536" style="width:4.5pt;height:4.5pt;mso-position-horizontal-relative:char;mso-position-vertical-relative:line" coordsize="571,571">
                <v:shape id="Shape 25097" style="position:absolute;width:571;height:571;left:0;top:0;" coordsize="57150,57150" path="m28575,0c32364,0,36009,595,39510,1984c43011,3373,46101,5358,48781,8136c51460,10716,53525,13891,54975,17264c56425,20836,57150,24606,57150,28575c57150,32345,56425,35917,54975,39291c53525,42664,51460,45641,48781,48617c46101,50998,43011,53181,39510,54769c36009,56356,32364,56952,28575,57150c24786,56952,21141,56356,17640,54769c14139,53181,11049,50998,8369,48617c5690,45641,3625,42664,2175,39092c725,35719,0,32345,0,28575c0,24606,725,20836,2175,17264c3625,13891,5690,10716,8369,8136c11049,5358,14139,3373,17640,1984c21141,595,24786,0,28575,0x">
                  <v:stroke weight="0pt" endcap="flat" joinstyle="miter" miterlimit="10" on="false" color="#000000" opacity="0"/>
                  <v:fill on="true" color="#333333"/>
                </v:shape>
              </v:group>
            </w:pict>
          </mc:Fallback>
        </mc:AlternateContent>
      </w:r>
      <w:r>
        <w:t xml:space="preserve"> вакцинация против вируса папилломы высокого риска.</w:t>
      </w:r>
    </w:p>
    <w:p w:rsidR="008E3F15" w:rsidRDefault="005F449A">
      <w:pPr>
        <w:spacing w:after="31"/>
        <w:ind w:left="2" w:right="15"/>
      </w:pPr>
      <w:r>
        <w:t>Вакцинация против вируса папилломы человека (против 4–9 штаммов) обычно</w:t>
      </w:r>
    </w:p>
    <w:p w:rsidR="008E3F15" w:rsidRDefault="005F449A">
      <w:pPr>
        <w:ind w:left="2" w:right="15"/>
      </w:pPr>
      <w:r>
        <w:t>рекомендуетс</w:t>
      </w:r>
      <w:r>
        <w:t>я детям в возрасте 11–13 лет и может быть целесообразной до 26 лет у женщин и 21 года у мужчин (Laprise J. et al., 2020).</w:t>
      </w:r>
    </w:p>
    <w:p w:rsidR="008E3F15" w:rsidRDefault="005F449A">
      <w:pPr>
        <w:ind w:left="2" w:right="92"/>
      </w:pPr>
      <w:r>
        <w:t>После внедрения национальной программы вакцинации против вируса папилломы человека в Англии значительно снизилась частота рака шейки м</w:t>
      </w:r>
      <w:r>
        <w:t>атки и рака in situ — у девочек 12– 13 лет на 87 и 97% соответственно (Falcaro M. et al., 2021).</w:t>
      </w:r>
    </w:p>
    <w:p w:rsidR="008E3F15" w:rsidRDefault="005F449A">
      <w:pPr>
        <w:spacing w:after="359"/>
        <w:ind w:left="2" w:right="1312"/>
      </w:pPr>
      <w:r>
        <w:t>В России планируется включить вакцинацию против вируса папилломы человека в Национальный календарь профилактических прививок в 2024 г.</w:t>
      </w:r>
    </w:p>
    <w:p w:rsidR="008E3F15" w:rsidRDefault="005F449A">
      <w:pPr>
        <w:pStyle w:val="Heading1"/>
        <w:ind w:left="2"/>
      </w:pPr>
      <w:r>
        <w:t>Часть II. Коморбидные бо</w:t>
      </w:r>
      <w:r>
        <w:t>лезни</w:t>
      </w:r>
    </w:p>
    <w:p w:rsidR="008E3F15" w:rsidRDefault="005F449A">
      <w:pPr>
        <w:spacing w:after="179"/>
        <w:ind w:left="2" w:right="6387"/>
      </w:pPr>
      <w:r>
        <w:t xml:space="preserve">Рак предстательной железы </w:t>
      </w:r>
      <w:r>
        <w:rPr>
          <w:b/>
        </w:rPr>
        <w:t>Факторы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73632" behindDoc="0" locked="0" layoutInCell="1" allowOverlap="1">
                <wp:simplePos x="0" y="0"/>
                <wp:positionH relativeFrom="column">
                  <wp:posOffset>209550</wp:posOffset>
                </wp:positionH>
                <wp:positionV relativeFrom="paragraph">
                  <wp:posOffset>34727</wp:posOffset>
                </wp:positionV>
                <wp:extent cx="57150" cy="361950"/>
                <wp:effectExtent l="0" t="0" r="0" b="0"/>
                <wp:wrapSquare wrapText="bothSides"/>
                <wp:docPr id="347538" name="Group 347538"/>
                <wp:cNvGraphicFramePr/>
                <a:graphic xmlns:a="http://schemas.openxmlformats.org/drawingml/2006/main">
                  <a:graphicData uri="http://schemas.microsoft.com/office/word/2010/wordprocessingGroup">
                    <wpg:wgp>
                      <wpg:cNvGrpSpPr/>
                      <wpg:grpSpPr>
                        <a:xfrm>
                          <a:off x="0" y="0"/>
                          <a:ext cx="57150" cy="361950"/>
                          <a:chOff x="0" y="0"/>
                          <a:chExt cx="57150" cy="361950"/>
                        </a:xfrm>
                      </wpg:grpSpPr>
                      <wps:wsp>
                        <wps:cNvPr id="25110" name="Shape 25110"/>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769"/>
                                </a:cubicBezTo>
                                <a:cubicBezTo>
                                  <a:pt x="36009" y="56158"/>
                                  <a:pt x="32364" y="56952"/>
                                  <a:pt x="28575" y="57150"/>
                                </a:cubicBezTo>
                                <a:cubicBezTo>
                                  <a:pt x="24786" y="56952"/>
                                  <a:pt x="21141" y="56158"/>
                                  <a:pt x="17640" y="54769"/>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12" name="Shape 25112"/>
                        <wps:cNvSpPr/>
                        <wps:spPr>
                          <a:xfrm>
                            <a:off x="0" y="152400"/>
                            <a:ext cx="57150" cy="57150"/>
                          </a:xfrm>
                          <a:custGeom>
                            <a:avLst/>
                            <a:gdLst/>
                            <a:ahLst/>
                            <a:cxnLst/>
                            <a:rect l="0" t="0" r="0" b="0"/>
                            <a:pathLst>
                              <a:path w="57150" h="57150">
                                <a:moveTo>
                                  <a:pt x="28575" y="0"/>
                                </a:moveTo>
                                <a:cubicBezTo>
                                  <a:pt x="32364" y="0"/>
                                  <a:pt x="36009" y="595"/>
                                  <a:pt x="39510" y="1984"/>
                                </a:cubicBezTo>
                                <a:cubicBezTo>
                                  <a:pt x="43011" y="3373"/>
                                  <a:pt x="46101" y="5556"/>
                                  <a:pt x="48781" y="8136"/>
                                </a:cubicBezTo>
                                <a:cubicBezTo>
                                  <a:pt x="51460" y="10716"/>
                                  <a:pt x="53525" y="13891"/>
                                  <a:pt x="54975" y="17264"/>
                                </a:cubicBezTo>
                                <a:cubicBezTo>
                                  <a:pt x="56425" y="20836"/>
                                  <a:pt x="57150" y="24606"/>
                                  <a:pt x="57150" y="28575"/>
                                </a:cubicBezTo>
                                <a:cubicBezTo>
                                  <a:pt x="57150" y="32345"/>
                                  <a:pt x="56425" y="35917"/>
                                  <a:pt x="54975" y="39489"/>
                                </a:cubicBezTo>
                                <a:cubicBezTo>
                                  <a:pt x="53525" y="42863"/>
                                  <a:pt x="51460" y="45839"/>
                                  <a:pt x="48781" y="48617"/>
                                </a:cubicBezTo>
                                <a:cubicBezTo>
                                  <a:pt x="46101" y="51197"/>
                                  <a:pt x="43011" y="53380"/>
                                  <a:pt x="39510" y="54769"/>
                                </a:cubicBezTo>
                                <a:cubicBezTo>
                                  <a:pt x="36009" y="56356"/>
                                  <a:pt x="32364" y="56952"/>
                                  <a:pt x="28575" y="57150"/>
                                </a:cubicBezTo>
                                <a:cubicBezTo>
                                  <a:pt x="24786" y="56952"/>
                                  <a:pt x="21141" y="56356"/>
                                  <a:pt x="17640" y="54967"/>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14" name="Shape 25114"/>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891"/>
                                  <a:pt x="54975" y="17264"/>
                                </a:cubicBezTo>
                                <a:cubicBezTo>
                                  <a:pt x="56425" y="20638"/>
                                  <a:pt x="57150" y="24606"/>
                                  <a:pt x="57150" y="28575"/>
                                </a:cubicBezTo>
                                <a:cubicBezTo>
                                  <a:pt x="57150" y="32147"/>
                                  <a:pt x="56425" y="35719"/>
                                  <a:pt x="54975" y="39291"/>
                                </a:cubicBezTo>
                                <a:cubicBezTo>
                                  <a:pt x="53525" y="42664"/>
                                  <a:pt x="51460" y="45839"/>
                                  <a:pt x="48781" y="48617"/>
                                </a:cubicBezTo>
                                <a:cubicBezTo>
                                  <a:pt x="46101" y="51197"/>
                                  <a:pt x="43011" y="53380"/>
                                  <a:pt x="39510" y="54570"/>
                                </a:cubicBezTo>
                                <a:cubicBezTo>
                                  <a:pt x="36009" y="56158"/>
                                  <a:pt x="32364" y="56952"/>
                                  <a:pt x="28575" y="57150"/>
                                </a:cubicBezTo>
                                <a:cubicBezTo>
                                  <a:pt x="24786" y="56952"/>
                                  <a:pt x="21141" y="56158"/>
                                  <a:pt x="17640" y="54570"/>
                                </a:cubicBezTo>
                                <a:cubicBezTo>
                                  <a:pt x="14139" y="53380"/>
                                  <a:pt x="11049" y="51197"/>
                                  <a:pt x="8369" y="48617"/>
                                </a:cubicBezTo>
                                <a:cubicBezTo>
                                  <a:pt x="5690" y="45839"/>
                                  <a:pt x="3625" y="42664"/>
                                  <a:pt x="2175" y="39291"/>
                                </a:cubicBezTo>
                                <a:cubicBezTo>
                                  <a:pt x="725" y="35719"/>
                                  <a:pt x="0" y="32147"/>
                                  <a:pt x="0" y="28575"/>
                                </a:cubicBezTo>
                                <a:cubicBezTo>
                                  <a:pt x="0" y="24606"/>
                                  <a:pt x="725" y="20638"/>
                                  <a:pt x="2175" y="17264"/>
                                </a:cubicBezTo>
                                <a:cubicBezTo>
                                  <a:pt x="3625" y="13891"/>
                                  <a:pt x="5690" y="10716"/>
                                  <a:pt x="8369" y="8136"/>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538" style="width:4.5pt;height:28.5pt;position:absolute;mso-position-horizontal-relative:text;mso-position-horizontal:absolute;margin-left:16.5pt;mso-position-vertical-relative:text;margin-top:2.73438pt;" coordsize="571,3619">
                <v:shape id="Shape 25110" style="position:absolute;width:571;height:571;left:0;top:0;" coordsize="57150,57150" path="m28575,0c32364,0,36009,794,39510,2183c43011,3373,46101,5556,48781,8136c51460,10716,53525,13891,54975,17264c56425,20638,57150,24606,57150,28575c57150,32147,56425,35719,54975,39291c53525,42664,51460,45839,48781,48617c46101,51197,43011,53380,39510,54769c36009,56158,32364,56952,28575,57150c24786,56952,21141,56158,17640,54769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v:shape id="Shape 25112" style="position:absolute;width:571;height:571;left:0;top:1524;" coordsize="57150,57150" path="m28575,0c32364,0,36009,595,39510,1984c43011,3373,46101,5556,48781,8136c51460,10716,53525,13891,54975,17264c56425,20836,57150,24606,57150,28575c57150,32345,56425,35917,54975,39489c53525,42863,51460,45839,48781,48617c46101,51197,43011,53380,39510,54769c36009,56356,32364,56952,28575,57150c24786,56952,21141,56356,17640,54967c14139,53380,11049,51197,8369,48617c5690,45839,3625,42664,2175,39291c725,35917,0,32345,0,28575c0,24606,725,20836,2175,17463c3625,13891,5690,10716,8369,8136c11049,5556,14139,3373,17640,1984c21141,595,24786,0,28575,0x">
                  <v:stroke weight="0pt" endcap="flat" joinstyle="miter" miterlimit="10" on="false" color="#000000" opacity="0"/>
                  <v:fill on="true" color="#333333"/>
                </v:shape>
                <v:shape id="Shape 25114" style="position:absolute;width:571;height:571;left:0;top:3048;" coordsize="57150,57150" path="m28575,0c32364,0,36009,794,39510,2183c43011,3373,46101,5556,48781,8136c51460,10716,53525,13891,54975,17264c56425,20638,57150,24606,57150,28575c57150,32147,56425,35719,54975,39291c53525,42664,51460,45839,48781,48617c46101,51197,43011,53380,39510,54570c36009,56158,32364,56952,28575,57150c24786,56952,21141,56158,17640,54570c14139,53380,11049,51197,8369,48617c5690,45839,3625,42664,2175,39291c725,35719,0,32147,0,28575c0,24606,725,20638,2175,17264c3625,13891,5690,10716,8369,8136c11049,5556,14139,3373,17640,1984c21141,595,24786,0,28575,0x">
                  <v:stroke weight="0pt" endcap="flat" joinstyle="miter" miterlimit="10" on="false" color="#000000" opacity="0"/>
                  <v:fill on="true" color="#333333"/>
                </v:shape>
                <w10:wrap type="square"/>
              </v:group>
            </w:pict>
          </mc:Fallback>
        </mc:AlternateContent>
      </w:r>
      <w:r>
        <w:t>возраст &gt;65 лет;</w:t>
      </w:r>
    </w:p>
    <w:p w:rsidR="008E3F15" w:rsidRDefault="005F449A">
      <w:pPr>
        <w:spacing w:after="179"/>
        <w:ind w:left="340" w:right="598"/>
      </w:pPr>
      <w:r>
        <w:t>семейный анамнез рака предстательной железы у ближайших родственников; диета с высоким содержанием животных жиров.</w:t>
      </w:r>
    </w:p>
    <w:p w:rsidR="008E3F15" w:rsidRDefault="005F449A">
      <w:pPr>
        <w:ind w:left="2" w:right="15"/>
      </w:pPr>
      <w:r>
        <w:rPr>
          <w:b/>
        </w:rPr>
        <w:t xml:space="preserve">Cкрининг. </w:t>
      </w:r>
      <w:r>
        <w:t>Рак предстательной железы обычно прогрессирует очень медленно, и п</w:t>
      </w:r>
      <w:r>
        <w:t>ациенты чаще умирают от других причин (</w:t>
      </w:r>
      <w:r>
        <w:rPr>
          <w:b/>
        </w:rPr>
        <w:t>рис. 20.6</w:t>
      </w:r>
      <w:r>
        <w:t>).</w:t>
      </w:r>
    </w:p>
    <w:p w:rsidR="008E3F15" w:rsidRDefault="005F449A">
      <w:pPr>
        <w:spacing w:after="65" w:line="259" w:lineRule="auto"/>
        <w:ind w:left="0" w:right="0" w:firstLine="0"/>
      </w:pPr>
      <w:r>
        <w:rPr>
          <w:noProof/>
        </w:rPr>
        <w:drawing>
          <wp:inline distT="0" distB="0" distL="0" distR="0">
            <wp:extent cx="5057775" cy="3171825"/>
            <wp:effectExtent l="0" t="0" r="0" b="0"/>
            <wp:docPr id="25122" name="Picture 25122"/>
            <wp:cNvGraphicFramePr/>
            <a:graphic xmlns:a="http://schemas.openxmlformats.org/drawingml/2006/main">
              <a:graphicData uri="http://schemas.openxmlformats.org/drawingml/2006/picture">
                <pic:pic xmlns:pic="http://schemas.openxmlformats.org/drawingml/2006/picture">
                  <pic:nvPicPr>
                    <pic:cNvPr id="25122" name="Picture 25122"/>
                    <pic:cNvPicPr/>
                  </pic:nvPicPr>
                  <pic:blipFill>
                    <a:blip r:embed="rId198"/>
                    <a:stretch>
                      <a:fillRect/>
                    </a:stretch>
                  </pic:blipFill>
                  <pic:spPr>
                    <a:xfrm>
                      <a:off x="0" y="0"/>
                      <a:ext cx="5057775" cy="3171825"/>
                    </a:xfrm>
                    <a:prstGeom prst="rect">
                      <a:avLst/>
                    </a:prstGeom>
                  </pic:spPr>
                </pic:pic>
              </a:graphicData>
            </a:graphic>
          </wp:inline>
        </w:drawing>
      </w:r>
    </w:p>
    <w:p w:rsidR="008E3F15" w:rsidRDefault="005F449A">
      <w:pPr>
        <w:ind w:left="2" w:right="501"/>
      </w:pPr>
      <w:r>
        <w:rPr>
          <w:b/>
        </w:rPr>
        <w:t xml:space="preserve">Рис. 20.6. </w:t>
      </w:r>
      <w:r>
        <w:t>Выживаемость от рака предстательной железы в зависимости от вида терапии в исследовании ProtecT (Hamdy F. et al., 2023)</w:t>
      </w:r>
    </w:p>
    <w:p w:rsidR="008E3F15" w:rsidRDefault="005F449A">
      <w:pPr>
        <w:ind w:left="2" w:right="15"/>
      </w:pPr>
      <w:r>
        <w:t>В настоящее время существует недостаточно данных для того, чтобы рекомендовать массовый скрининг рака предстательной железы у асимптомных пациентов с помощью ректального исследования или простатического специфического антигена.</w:t>
      </w:r>
    </w:p>
    <w:p w:rsidR="008E3F15" w:rsidRDefault="005F449A">
      <w:pPr>
        <w:ind w:left="2" w:right="15"/>
      </w:pPr>
      <w:r>
        <w:t>Например, в европейском иссл</w:t>
      </w:r>
      <w:r>
        <w:t>едовании ERSPC скрининг рака у пациентов 50–74 лет снизил смертность от рака предстательной железы на 21% за 11 лет наблюдения, однако частота гипердиагностики рака была значительной (~50%) и не было снижения общей смертности</w:t>
      </w:r>
    </w:p>
    <w:p w:rsidR="008E3F15" w:rsidRDefault="005F449A">
      <w:pPr>
        <w:spacing w:after="31"/>
        <w:ind w:left="2" w:right="15"/>
      </w:pPr>
      <w:r>
        <w:t xml:space="preserve">(Schroder F. et al., 2012). В </w:t>
      </w:r>
      <w:r>
        <w:t>последнем рандомизированном исследовании Göteborg-</w:t>
      </w:r>
    </w:p>
    <w:p w:rsidR="008E3F15" w:rsidRDefault="005F449A">
      <w:pPr>
        <w:ind w:left="2" w:right="15"/>
      </w:pPr>
      <w:r>
        <w:t>1 снижение смертности от рака предстательной железы было выше при более раннем начале скрининга: так, старт скрининга в возрасте 55 лет примерно вдвое снизил риск смерти по сравнению с первым тестом в возр</w:t>
      </w:r>
      <w:r>
        <w:t>асте 60 лет.</w:t>
      </w:r>
    </w:p>
    <w:p w:rsidR="008E3F15" w:rsidRDefault="005F449A">
      <w:pPr>
        <w:ind w:left="2" w:right="346"/>
      </w:pPr>
      <w:r>
        <w:t>В то же время в американском исследовании PLCO и 20-летнем шведском исследовании польза скрининга рака предстательной железы не была установлена при высоком уровне гипердиагностики — от 17 до 30% в исследовании PLCO (Sandblom G. et al., 2011).</w:t>
      </w:r>
      <w:r>
        <w:t xml:space="preserve"> Также отсутствовало снижение смертности от рака предстательной железы при скрининге с помощью простатического антигена и в крупном рандомизированном исследовании CAP и метаанализах (Martin R. et al., 2018; Ilic D. et al., 2018).</w:t>
      </w:r>
    </w:p>
    <w:p w:rsidR="008E3F15" w:rsidRDefault="005F449A">
      <w:pPr>
        <w:ind w:left="2" w:right="579"/>
      </w:pPr>
      <w:r>
        <w:t>Рекомендуют обсудить возмо</w:t>
      </w:r>
      <w:r>
        <w:t>жные пользу и риск скрининга с пациентом и, с учетом предпочтений пациента, принять индивидуальное решение о скрининге. В этих случаях нужно учитывать неблагоприятные последствия скрининга: ложноположительные диагнозы и неоправданные биопсии, последствия п</w:t>
      </w:r>
      <w:r>
        <w:t>ростатэктомии (недержание мочи, эректильная дисфункция). Вред от скрининга возрастает у мужчин старше 70 лет.</w:t>
      </w:r>
    </w:p>
    <w:p w:rsidR="008E3F15" w:rsidRDefault="005F449A">
      <w:pPr>
        <w:ind w:left="2" w:right="89"/>
      </w:pPr>
      <w:r>
        <w:t>В последних рекомендациях NCCN предлагается для раннего выявления рака предстательной железы провести пальцевое ректальное исследование и тест на простатический антиген, а в период 45–70 лет повторять тестирование каждые 2–4 года при уровне простатического</w:t>
      </w:r>
      <w:r>
        <w:t xml:space="preserve"> специфического антигена &lt;1 нг/мл, каждые 1–2 года при уровне 1–3 нг/мл. В случае уровня простатического специфического антигена &gt;3 нг/мл провести магнитно-резонансную томографию и биопсию подозрительных участков, что снижает почти наполовину риск гипердиа</w:t>
      </w:r>
      <w:r>
        <w:t>гностики рака по сравнению с систематической биопсией (GÖTEBORG-2). Альтернативой магнитно-резонансной томографии может быть ультразвуковое исследование, которое немного реже (на 4%) выявляет рак предстательной железы (CADMUS).</w:t>
      </w:r>
    </w:p>
    <w:p w:rsidR="008E3F15" w:rsidRDefault="005F449A">
      <w:pPr>
        <w:ind w:left="2" w:right="15"/>
      </w:pPr>
      <w:r>
        <w:t>В России программа диспансер</w:t>
      </w:r>
      <w:r>
        <w:t>изации на первом этапе предусматривает анализ простатического антигена каждые 5 лет начиная с 45 лет, а с 65 лет — ежегодно.</w:t>
      </w:r>
    </w:p>
    <w:p w:rsidR="008E3F15" w:rsidRDefault="005F449A">
      <w:pPr>
        <w:spacing w:after="359"/>
        <w:ind w:left="2" w:right="15"/>
      </w:pPr>
      <w:r>
        <w:rPr>
          <w:b/>
        </w:rPr>
        <w:t xml:space="preserve">Профилактика. </w:t>
      </w:r>
      <w:r>
        <w:t>Финастерид и дутастерид могут снизить частоту рака предстательной железы, однако влияние на смертность не доказано, и</w:t>
      </w:r>
      <w:r>
        <w:t>меются выраженные побочные эффекты.</w:t>
      </w:r>
    </w:p>
    <w:p w:rsidR="008E3F15" w:rsidRDefault="005F449A">
      <w:pPr>
        <w:pStyle w:val="Heading1"/>
        <w:ind w:left="2"/>
      </w:pPr>
      <w:r>
        <w:t>Часть II. Коморбидные болезни</w:t>
      </w:r>
    </w:p>
    <w:p w:rsidR="008E3F15" w:rsidRDefault="005F449A">
      <w:pPr>
        <w:spacing w:after="179"/>
        <w:ind w:left="2" w:right="6752"/>
      </w:pPr>
      <w:r>
        <w:t xml:space="preserve">Рак щитовидной железы </w:t>
      </w:r>
      <w:r>
        <w:rPr>
          <w:b/>
        </w:rPr>
        <w:t>Факторы риска:</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74656" behindDoc="0" locked="0" layoutInCell="1" allowOverlap="1">
                <wp:simplePos x="0" y="0"/>
                <wp:positionH relativeFrom="column">
                  <wp:posOffset>209550</wp:posOffset>
                </wp:positionH>
                <wp:positionV relativeFrom="paragraph">
                  <wp:posOffset>34727</wp:posOffset>
                </wp:positionV>
                <wp:extent cx="57150" cy="819150"/>
                <wp:effectExtent l="0" t="0" r="0" b="0"/>
                <wp:wrapSquare wrapText="bothSides"/>
                <wp:docPr id="347687" name="Group 347687"/>
                <wp:cNvGraphicFramePr/>
                <a:graphic xmlns:a="http://schemas.openxmlformats.org/drawingml/2006/main">
                  <a:graphicData uri="http://schemas.microsoft.com/office/word/2010/wordprocessingGroup">
                    <wpg:wgp>
                      <wpg:cNvGrpSpPr/>
                      <wpg:grpSpPr>
                        <a:xfrm>
                          <a:off x="0" y="0"/>
                          <a:ext cx="57150" cy="819150"/>
                          <a:chOff x="0" y="0"/>
                          <a:chExt cx="57150" cy="819150"/>
                        </a:xfrm>
                      </wpg:grpSpPr>
                      <wps:wsp>
                        <wps:cNvPr id="25182" name="Shape 25182"/>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147"/>
                                  <a:pt x="56425" y="35719"/>
                                  <a:pt x="54975" y="39092"/>
                                </a:cubicBezTo>
                                <a:cubicBezTo>
                                  <a:pt x="53525" y="42664"/>
                                  <a:pt x="51460" y="45641"/>
                                  <a:pt x="48781" y="48617"/>
                                </a:cubicBezTo>
                                <a:cubicBezTo>
                                  <a:pt x="46101" y="50998"/>
                                  <a:pt x="43011" y="53181"/>
                                  <a:pt x="39510" y="54570"/>
                                </a:cubicBezTo>
                                <a:cubicBezTo>
                                  <a:pt x="36009" y="56158"/>
                                  <a:pt x="32364" y="56952"/>
                                  <a:pt x="28575" y="57150"/>
                                </a:cubicBezTo>
                                <a:cubicBezTo>
                                  <a:pt x="24786" y="56952"/>
                                  <a:pt x="21141" y="56158"/>
                                  <a:pt x="17640" y="54570"/>
                                </a:cubicBezTo>
                                <a:cubicBezTo>
                                  <a:pt x="14139" y="53181"/>
                                  <a:pt x="11049" y="50998"/>
                                  <a:pt x="8369" y="48617"/>
                                </a:cubicBezTo>
                                <a:cubicBezTo>
                                  <a:pt x="5690" y="45641"/>
                                  <a:pt x="3625" y="42664"/>
                                  <a:pt x="2175" y="39092"/>
                                </a:cubicBezTo>
                                <a:cubicBezTo>
                                  <a:pt x="725" y="35719"/>
                                  <a:pt x="0" y="32147"/>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84" name="Shape 25184"/>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86" name="Shape 25186"/>
                        <wps:cNvSpPr/>
                        <wps:spPr>
                          <a:xfrm>
                            <a:off x="0" y="3048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463"/>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463"/>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88" name="Shape 25188"/>
                        <wps:cNvSpPr/>
                        <wps:spPr>
                          <a:xfrm>
                            <a:off x="0" y="4572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395"/>
                                  <a:pt x="43011" y="53380"/>
                                  <a:pt x="39510" y="54769"/>
                                </a:cubicBezTo>
                                <a:cubicBezTo>
                                  <a:pt x="36009" y="56356"/>
                                  <a:pt x="32364" y="56952"/>
                                  <a:pt x="28575" y="57150"/>
                                </a:cubicBezTo>
                                <a:cubicBezTo>
                                  <a:pt x="24786" y="56952"/>
                                  <a:pt x="21141" y="56356"/>
                                  <a:pt x="17640" y="54769"/>
                                </a:cubicBezTo>
                                <a:cubicBezTo>
                                  <a:pt x="14139" y="53380"/>
                                  <a:pt x="11049" y="51395"/>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90" name="Shape 25190"/>
                        <wps:cNvSpPr/>
                        <wps:spPr>
                          <a:xfrm>
                            <a:off x="0" y="609600"/>
                            <a:ext cx="57150" cy="57150"/>
                          </a:xfrm>
                          <a:custGeom>
                            <a:avLst/>
                            <a:gdLst/>
                            <a:ahLst/>
                            <a:cxnLst/>
                            <a:rect l="0" t="0" r="0" b="0"/>
                            <a:pathLst>
                              <a:path w="57150" h="57150">
                                <a:moveTo>
                                  <a:pt x="28575" y="0"/>
                                </a:moveTo>
                                <a:cubicBezTo>
                                  <a:pt x="32364" y="0"/>
                                  <a:pt x="36009" y="794"/>
                                  <a:pt x="39510" y="2183"/>
                                </a:cubicBezTo>
                                <a:cubicBezTo>
                                  <a:pt x="43011" y="3373"/>
                                  <a:pt x="46101" y="5556"/>
                                  <a:pt x="48781" y="8136"/>
                                </a:cubicBezTo>
                                <a:cubicBezTo>
                                  <a:pt x="51460" y="10716"/>
                                  <a:pt x="53525" y="13692"/>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181"/>
                                  <a:pt x="39510" y="54769"/>
                                </a:cubicBezTo>
                                <a:cubicBezTo>
                                  <a:pt x="36009" y="56356"/>
                                  <a:pt x="32364" y="56952"/>
                                  <a:pt x="28575" y="57150"/>
                                </a:cubicBezTo>
                                <a:cubicBezTo>
                                  <a:pt x="24786" y="56952"/>
                                  <a:pt x="21141" y="56356"/>
                                  <a:pt x="17640" y="54769"/>
                                </a:cubicBezTo>
                                <a:cubicBezTo>
                                  <a:pt x="14139" y="53181"/>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692"/>
                                  <a:pt x="5690" y="10716"/>
                                  <a:pt x="8369" y="8136"/>
                                </a:cubicBezTo>
                                <a:cubicBezTo>
                                  <a:pt x="11049" y="5556"/>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192" name="Shape 25192"/>
                        <wps:cNvSpPr/>
                        <wps:spPr>
                          <a:xfrm>
                            <a:off x="0" y="76200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264"/>
                                </a:cubicBezTo>
                                <a:cubicBezTo>
                                  <a:pt x="56425" y="20836"/>
                                  <a:pt x="57150" y="24606"/>
                                  <a:pt x="57150" y="28575"/>
                                </a:cubicBezTo>
                                <a:cubicBezTo>
                                  <a:pt x="57150" y="32345"/>
                                  <a:pt x="56425" y="35917"/>
                                  <a:pt x="54975" y="39291"/>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291"/>
                                </a:cubicBezTo>
                                <a:cubicBezTo>
                                  <a:pt x="725" y="35917"/>
                                  <a:pt x="0" y="32345"/>
                                  <a:pt x="0" y="28575"/>
                                </a:cubicBezTo>
                                <a:cubicBezTo>
                                  <a:pt x="0" y="24606"/>
                                  <a:pt x="725" y="20836"/>
                                  <a:pt x="2175" y="17264"/>
                                </a:cubicBezTo>
                                <a:cubicBezTo>
                                  <a:pt x="3625" y="13891"/>
                                  <a:pt x="5690" y="10716"/>
                                  <a:pt x="8369" y="8136"/>
                                </a:cubicBezTo>
                                <a:cubicBezTo>
                                  <a:pt x="11049" y="5358"/>
                                  <a:pt x="14139" y="3373"/>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7687" style="width:4.5pt;height:64.5pt;position:absolute;mso-position-horizontal-relative:text;mso-position-horizontal:absolute;margin-left:16.5pt;mso-position-vertical-relative:text;margin-top:2.73438pt;" coordsize="571,8191">
                <v:shape id="Shape 25182" style="position:absolute;width:571;height:571;left:0;top:0;" coordsize="57150,57150" path="m28575,0c32364,0,36009,794,39510,2183c43011,3373,46101,5556,48781,8136c51460,10716,53525,13692,54975,17463c56425,20836,57150,24606,57150,28575c57150,32147,56425,35719,54975,39092c53525,42664,51460,45641,48781,48617c46101,50998,43011,53181,39510,54570c36009,56158,32364,56952,28575,57150c24786,56952,21141,56158,17640,54570c14139,53181,11049,50998,8369,48617c5690,45641,3625,42664,2175,39092c725,35719,0,32147,0,28575c0,24606,725,20836,2175,17463c3625,13692,5690,10716,8369,8136c11049,5556,14139,3373,17640,2183c21141,794,24786,0,28575,0x">
                  <v:stroke weight="0pt" endcap="flat" joinstyle="miter" miterlimit="10" on="false" color="#000000" opacity="0"/>
                  <v:fill on="true" color="#333333"/>
                </v:shape>
                <v:shape id="Shape 25184" style="position:absolute;width:571;height:571;left:0;top:1524;" coordsize="57150,57150" path="m28575,0c32364,0,36009,794,39510,2183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2183c21141,794,24786,0,28575,0x">
                  <v:stroke weight="0pt" endcap="flat" joinstyle="miter" miterlimit="10" on="false" color="#000000" opacity="0"/>
                  <v:fill on="true" color="#333333"/>
                </v:shape>
                <v:shape id="Shape 25186" style="position:absolute;width:571;height:571;left:0;top:3048;" coordsize="57150,57150" path="m28575,0c32364,0,36009,794,39510,2183c43011,3373,46101,5556,48781,8136c51460,10716,53525,13692,54975,17463c56425,20836,57150,24606,57150,28575c57150,32345,56425,35917,54975,39291c53525,42664,51460,45839,48781,48617c46101,51197,43011,53380,39510,54769c36009,56356,32364,56952,28575,57150c24786,56952,21141,56356,17640,54769c14139,53380,11049,51197,8369,48617c5690,45839,3625,42664,2175,39291c725,35917,0,32345,0,28575c0,24606,725,20836,2175,17463c3625,13692,5690,10716,8369,8136c11049,5556,14139,3373,17640,2183c21141,794,24786,0,28575,0x">
                  <v:stroke weight="0pt" endcap="flat" joinstyle="miter" miterlimit="10" on="false" color="#000000" opacity="0"/>
                  <v:fill on="true" color="#333333"/>
                </v:shape>
                <v:shape id="Shape 25188" style="position:absolute;width:571;height:571;left:0;top:4572;" coordsize="57150,57150" path="m28575,0c32364,0,36009,794,39510,2183c43011,3373,46101,5358,48781,8136c51460,10716,53525,13891,54975,17264c56425,20836,57150,24606,57150,28575c57150,32345,56425,35917,54975,39291c53525,42664,51460,45839,48781,48617c46101,51395,43011,53380,39510,54769c36009,56356,32364,56952,28575,57150c24786,56952,21141,56356,17640,54769c14139,53380,11049,51395,8369,48617c5690,45839,3625,42664,2175,39291c725,35917,0,32345,0,28575c0,24606,725,20836,2175,17264c3625,13891,5690,10716,8369,8136c11049,5358,14139,3373,17640,2183c21141,794,24786,0,28575,0x">
                  <v:stroke weight="0pt" endcap="flat" joinstyle="miter" miterlimit="10" on="false" color="#000000" opacity="0"/>
                  <v:fill on="true" color="#333333"/>
                </v:shape>
                <v:shape id="Shape 25190" style="position:absolute;width:571;height:571;left:0;top:6096;" coordsize="57150,57150" path="m28575,0c32364,0,36009,794,39510,2183c43011,3373,46101,5556,48781,8136c51460,10716,53525,13692,54975,17264c56425,20836,57150,24606,57150,28575c57150,32345,56425,35917,54975,39291c53525,42664,51460,45839,48781,48617c46101,51197,43011,53181,39510,54769c36009,56356,32364,56952,28575,57150c24786,56952,21141,56356,17640,54769c14139,53181,11049,51197,8369,48617c5690,45839,3625,42664,2175,39291c725,35917,0,32345,0,28575c0,24606,725,20836,2175,17264c3625,13692,5690,10716,8369,8136c11049,5556,14139,3373,17640,2183c21141,794,24786,0,28575,0x">
                  <v:stroke weight="0pt" endcap="flat" joinstyle="miter" miterlimit="10" on="false" color="#000000" opacity="0"/>
                  <v:fill on="true" color="#333333"/>
                </v:shape>
                <v:shape id="Shape 25192" style="position:absolute;width:571;height:571;left:0;top:7620;" coordsize="57150,57150" path="m28575,0c32364,0,36009,794,39510,2183c43011,3373,46101,5358,48781,8136c51460,10716,53525,13891,54975,17264c56425,20836,57150,24606,57150,28575c57150,32345,56425,35917,54975,39291c53525,42664,51460,45839,48781,48617c46101,51197,43011,53380,39510,54769c36009,56356,32364,56952,28575,57150c24786,56952,21141,56356,17640,54769c14139,53380,11049,51197,8369,48617c5690,45839,3625,42664,2175,39291c725,35917,0,32345,0,28575c0,24606,725,20836,2175,17264c3625,13891,5690,10716,8369,8136c11049,5358,14139,3373,17640,2183c21141,794,24786,0,28575,0x">
                  <v:stroke weight="0pt" endcap="flat" joinstyle="miter" miterlimit="10" on="false" color="#000000" opacity="0"/>
                  <v:fill on="true" color="#333333"/>
                </v:shape>
                <w10:wrap type="square"/>
              </v:group>
            </w:pict>
          </mc:Fallback>
        </mc:AlternateContent>
      </w:r>
      <w:r>
        <w:t>женщины;</w:t>
      </w:r>
    </w:p>
    <w:p w:rsidR="008E3F15" w:rsidRDefault="005F449A">
      <w:pPr>
        <w:spacing w:after="31"/>
        <w:ind w:left="340" w:right="15"/>
      </w:pPr>
      <w:r>
        <w:t>возраст &gt;40 лет у женщин, &gt;60 лет у мужчин;</w:t>
      </w:r>
    </w:p>
    <w:p w:rsidR="008E3F15" w:rsidRDefault="005F449A">
      <w:pPr>
        <w:spacing w:after="179"/>
        <w:ind w:left="340" w:right="1580"/>
      </w:pPr>
      <w:r>
        <w:t>семейный анамнез рака щитовидной железы у ближайших родственников; семейный медуллярный рак щитовид</w:t>
      </w:r>
      <w:r>
        <w:t>ной железы; множественный эндокринный неопластический синдром; облучение головы и шеи в детстве.</w:t>
      </w:r>
    </w:p>
    <w:p w:rsidR="008E3F15" w:rsidRDefault="005F449A">
      <w:pPr>
        <w:ind w:left="2" w:right="724"/>
      </w:pPr>
      <w:r>
        <w:rPr>
          <w:b/>
        </w:rPr>
        <w:t xml:space="preserve">Cкрининг. </w:t>
      </w:r>
      <w:r>
        <w:t>В настоящее время польза массового скрининга рака щитовидной железы не определена (USPSTF).</w:t>
      </w:r>
    </w:p>
    <w:p w:rsidR="008E3F15" w:rsidRDefault="005F449A">
      <w:pPr>
        <w:ind w:left="2" w:right="15"/>
      </w:pPr>
      <w:r>
        <w:t>Для выявления рака щитовидной железы используют ультразвуковое исследование, тонкоигольную биопсию.</w:t>
      </w:r>
    </w:p>
    <w:p w:rsidR="008E3F15" w:rsidRDefault="005F449A">
      <w:pPr>
        <w:ind w:left="2" w:right="97"/>
      </w:pPr>
      <w:r>
        <w:t>Показаниями к тонкоигольной биопсии щитовидной железы считают в первую очередь узлы &gt;1 см с признаками, ассоциирующимися со злокачественными новообразования</w:t>
      </w:r>
      <w:r>
        <w:t>ми (гипоэхогенность, неровные края, микрокальцинаты, вертикальная ориентация) при ультразвуковом исследовании. Для оценки риска рака щитовидной железы, показаний к биопсии и частоты контроля предложены сонографические классификации ACR TI-RADS или EU-TIRAD</w:t>
      </w:r>
      <w:r>
        <w:t>S. Уровням TR1–5 американской классификации соответствует усредненный риск рака щитовидной железы 0,3; 1,5; 5; 9 и 35% (Middleton W. et al., 2017). Вместе с тем при ACR TI-RADS 3 риск рака низкий и проводить тонкоигольную биопсию целесообразно только при у</w:t>
      </w:r>
      <w:r>
        <w:t>злах с размером ≥2,5 см (Huang E. et al., 2023).</w:t>
      </w:r>
    </w:p>
    <w:p w:rsidR="008E3F15" w:rsidRDefault="005F449A">
      <w:pPr>
        <w:ind w:left="2" w:right="15"/>
      </w:pPr>
      <w:r>
        <w:t xml:space="preserve">Из 1000 человек, обследованных с помощью ультразвукового исследования, ложноположительные признаки рака щитовидной железы могут быть у 150–200, которым предложат тонкоигольную биопсию (ACS). В то же время у </w:t>
      </w:r>
      <w:r>
        <w:t>4–6 пациентов с выявленным раком щитовидной железы лечение не увеличит выживаемость, при этом придется жить, зная о раке.</w:t>
      </w:r>
    </w:p>
    <w:p w:rsidR="008E3F15" w:rsidRDefault="005F449A">
      <w:pPr>
        <w:spacing w:after="359"/>
        <w:ind w:left="2" w:right="15"/>
      </w:pPr>
      <w:r>
        <w:rPr>
          <w:b/>
        </w:rPr>
        <w:t xml:space="preserve">Профилактика. </w:t>
      </w:r>
      <w:r>
        <w:t xml:space="preserve">С целью предупреждения рака щитовидной железы рекомендуют избегать облучения шеи, удалять щитовидную железу при высоком </w:t>
      </w:r>
      <w:r>
        <w:t>генетическом риске.</w:t>
      </w:r>
    </w:p>
    <w:p w:rsidR="008E3F15" w:rsidRDefault="005F449A">
      <w:pPr>
        <w:pStyle w:val="Heading1"/>
        <w:ind w:left="2"/>
      </w:pPr>
      <w:r>
        <w:t>Часть II. Коморбидные болезни</w:t>
      </w:r>
    </w:p>
    <w:p w:rsidR="008E3F15" w:rsidRDefault="005F449A">
      <w:pPr>
        <w:spacing w:after="31"/>
        <w:ind w:left="2" w:right="15"/>
      </w:pPr>
      <w:r>
        <w:t>Болезни сердца и злокачественные новообразования</w:t>
      </w:r>
    </w:p>
    <w:p w:rsidR="008E3F15" w:rsidRDefault="005F449A">
      <w:pPr>
        <w:spacing w:after="31"/>
        <w:ind w:left="2" w:right="15"/>
      </w:pPr>
      <w:r>
        <w:t>По данным корейского исследования, 11% пациентов с раком имели ССЗ, а в течение почти</w:t>
      </w:r>
    </w:p>
    <w:p w:rsidR="008E3F15" w:rsidRDefault="005F449A">
      <w:pPr>
        <w:ind w:left="2" w:right="15"/>
      </w:pPr>
      <w:r>
        <w:t>6 лет новые ССЗ диагностировали у 16% пациентов (Youn J. et al., 2020).</w:t>
      </w:r>
      <w:r>
        <w:t xml:space="preserve"> Длительное наблюдение за пациентами, выжившими после выявления рака, показало повышение риска ССЗ, СН и инсульта на 37, 52 и 22% (Florido R. et al., 2022).</w:t>
      </w:r>
    </w:p>
    <w:p w:rsidR="008E3F15" w:rsidRDefault="005F449A">
      <w:pPr>
        <w:ind w:left="2" w:right="15"/>
      </w:pPr>
      <w:r>
        <w:t>Даже у выживших подростков и молодых пациентов с раком в течение 5 лет риск сердечнососудистой смер</w:t>
      </w:r>
      <w:r>
        <w:t>ти увеличен в 1,4 раза (Wang L. et al., 2021).</w:t>
      </w:r>
    </w:p>
    <w:p w:rsidR="008E3F15" w:rsidRDefault="005F449A">
      <w:pPr>
        <w:ind w:left="2" w:right="147"/>
      </w:pPr>
      <w:r>
        <w:t>В популяционном американском исследовании онкологические пациенты умирали чаще от злокачественных новообразований (38%) и ССЗ (11%), преимущественно болезней сердца</w:t>
      </w:r>
    </w:p>
    <w:p w:rsidR="008E3F15" w:rsidRDefault="005F449A">
      <w:pPr>
        <w:spacing w:after="31"/>
        <w:ind w:left="2" w:right="15"/>
      </w:pPr>
      <w:r>
        <w:t>(Sturgeon K. et al., 2019).</w:t>
      </w:r>
    </w:p>
    <w:p w:rsidR="008E3F15" w:rsidRDefault="005F449A">
      <w:pPr>
        <w:ind w:left="2" w:right="15"/>
      </w:pPr>
      <w:r>
        <w:t>Сердечно-сосудис</w:t>
      </w:r>
      <w:r>
        <w:t>тые болезни и смерти чаще встречались при раке молочной железы, легких, кишечника, лейкозах.</w:t>
      </w:r>
    </w:p>
    <w:p w:rsidR="008E3F15" w:rsidRDefault="005F449A">
      <w:pPr>
        <w:ind w:left="2" w:right="15"/>
      </w:pPr>
      <w:r>
        <w:t>Коронарная болезнь является второй по частоте причиной смерти женщин с раком молочной железы, особенно в старшем возрасте, эстроген-чувствительной опухолью (CLUE I</w:t>
      </w:r>
      <w:r>
        <w:t>I). После облучения грудной клетки увеличен риск развития ИМ и СН.</w:t>
      </w:r>
    </w:p>
    <w:p w:rsidR="008E3F15" w:rsidRDefault="005F449A">
      <w:pPr>
        <w:spacing w:after="31"/>
        <w:ind w:left="2" w:right="15"/>
      </w:pPr>
      <w:r>
        <w:t>С другой стороны, у пациентов с ССЗ или факторами риска повышен риск злокачественных</w:t>
      </w:r>
    </w:p>
    <w:p w:rsidR="008E3F15" w:rsidRDefault="005F449A">
      <w:pPr>
        <w:ind w:left="2" w:right="15"/>
      </w:pPr>
      <w:r>
        <w:t>новообразований (van Kruijsdijk R. et al., 2013; Esposito K. et al., 2012). У пациентов, госпитализирова</w:t>
      </w:r>
      <w:r>
        <w:t>нных с ССЗ, злокачественные новообразования регистрировались в 4,5% случаев (Matetic A. et al., 2021).</w:t>
      </w:r>
    </w:p>
    <w:p w:rsidR="008E3F15" w:rsidRDefault="005F449A">
      <w:pPr>
        <w:ind w:left="2" w:right="490"/>
      </w:pPr>
      <w:r>
        <w:t>Среди причин такой ассоциации рассматривают общие факторы риска, такие как возраст, курение и ожирение, а также артериальную гипертензию, воспаление, гип</w:t>
      </w:r>
      <w:r>
        <w:t>еркоагуляцию и другие (Hasin T. et al., 2017).</w:t>
      </w:r>
    </w:p>
    <w:p w:rsidR="008E3F15" w:rsidRDefault="005F449A">
      <w:pPr>
        <w:ind w:left="2" w:right="15"/>
      </w:pPr>
      <w:r>
        <w:t>Кровотечения, появившиеся на фоне антитромботического лечения коронарной болезни, ФП, ВТЭ, могут быть индикатором злокачественных новообразований.</w:t>
      </w:r>
    </w:p>
    <w:p w:rsidR="008E3F15" w:rsidRDefault="005F449A">
      <w:pPr>
        <w:ind w:left="2" w:right="15"/>
      </w:pPr>
      <w:r>
        <w:t>Агрессивное лечение злокачественных новообразований может сопр</w:t>
      </w:r>
      <w:r>
        <w:t>овождаться поражением сердца, при этом кардиотоксичность препаратов одной группы может существенно различаться (</w:t>
      </w:r>
      <w:r>
        <w:rPr>
          <w:b/>
        </w:rPr>
        <w:t>табл. 20.4</w:t>
      </w:r>
      <w:r>
        <w:t>). Например, при лечении рака груди селективный модулятор эстрогеновых рецепторов тамоксифен повышает риск ВТЭ, а ингибиторы ароматазы</w:t>
      </w:r>
      <w:r>
        <w:t>, блокирующие образование эстрадиола, увеличивают частоту ИМ (Matthews A. et al., 2018).</w:t>
      </w:r>
    </w:p>
    <w:p w:rsidR="008E3F15" w:rsidRDefault="005F449A">
      <w:pPr>
        <w:spacing w:after="31"/>
        <w:ind w:left="2" w:right="15"/>
      </w:pPr>
      <w:r>
        <w:rPr>
          <w:b/>
        </w:rPr>
        <w:t xml:space="preserve">Таблица 20.4. </w:t>
      </w:r>
      <w:r>
        <w:t>Кардиотоксические эффекты противоопухолевых препаратов (AHA; HFA-ICOS; ESMO; Truong J. et al., 2014)</w:t>
      </w:r>
    </w:p>
    <w:tbl>
      <w:tblPr>
        <w:tblStyle w:val="TableGrid"/>
        <w:tblW w:w="10080" w:type="dxa"/>
        <w:tblInd w:w="30" w:type="dxa"/>
        <w:tblCellMar>
          <w:top w:w="80" w:type="dxa"/>
          <w:left w:w="38" w:type="dxa"/>
          <w:bottom w:w="0" w:type="dxa"/>
          <w:right w:w="40" w:type="dxa"/>
        </w:tblCellMar>
        <w:tblLook w:val="04A0" w:firstRow="1" w:lastRow="0" w:firstColumn="1" w:lastColumn="0" w:noHBand="0" w:noVBand="1"/>
      </w:tblPr>
      <w:tblGrid>
        <w:gridCol w:w="5910"/>
        <w:gridCol w:w="435"/>
        <w:gridCol w:w="525"/>
        <w:gridCol w:w="1545"/>
        <w:gridCol w:w="1155"/>
        <w:gridCol w:w="510"/>
      </w:tblGrid>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rPr>
                <w:b/>
              </w:rPr>
              <w:t>Препараты</w:t>
            </w:r>
          </w:p>
        </w:tc>
        <w:tc>
          <w:tcPr>
            <w:tcW w:w="4170" w:type="dxa"/>
            <w:gridSpan w:val="5"/>
            <w:tcBorders>
              <w:top w:val="single" w:sz="6" w:space="0" w:color="000000"/>
              <w:left w:val="nil"/>
              <w:bottom w:val="nil"/>
              <w:right w:val="single" w:sz="6" w:space="0" w:color="000000"/>
            </w:tcBorders>
          </w:tcPr>
          <w:p w:rsidR="008E3F15" w:rsidRDefault="005F449A">
            <w:pPr>
              <w:spacing w:after="0" w:line="259" w:lineRule="auto"/>
              <w:ind w:left="11" w:right="0" w:firstLine="0"/>
              <w:jc w:val="both"/>
            </w:pPr>
            <w:r>
              <w:rPr>
                <w:b/>
                <w:bdr w:val="single" w:sz="12" w:space="0" w:color="000000"/>
              </w:rPr>
              <w:t>СН ВТЭ Гипертензия Аритмии ИМ</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t>Антрациклины</w:t>
            </w:r>
          </w:p>
        </w:tc>
        <w:tc>
          <w:tcPr>
            <w:tcW w:w="435" w:type="dxa"/>
            <w:vMerge w:val="restart"/>
            <w:tcBorders>
              <w:top w:val="nil"/>
              <w:left w:val="nil"/>
              <w:bottom w:val="nil"/>
              <w:right w:val="nil"/>
            </w:tcBorders>
          </w:tcPr>
          <w:p w:rsidR="008E3F15" w:rsidRDefault="005F449A">
            <w:pPr>
              <w:spacing w:after="0" w:line="259" w:lineRule="auto"/>
              <w:ind w:left="11" w:right="0" w:firstLine="0"/>
              <w:jc w:val="both"/>
            </w:pPr>
            <w:r>
              <w:rPr>
                <w:bdr w:val="single" w:sz="12" w:space="0" w:color="000000"/>
              </w:rPr>
              <w:t>++</w:t>
            </w:r>
          </w:p>
          <w:p w:rsidR="008E3F15" w:rsidRDefault="005F449A">
            <w:pPr>
              <w:spacing w:after="0" w:line="259" w:lineRule="auto"/>
              <w:ind w:left="11" w:right="0" w:firstLine="0"/>
            </w:pPr>
            <w:r>
              <w:rPr>
                <w:bdr w:val="single" w:sz="12" w:space="0" w:color="000000"/>
              </w:rPr>
              <w:t>+</w:t>
            </w:r>
          </w:p>
          <w:p w:rsidR="008E3F15" w:rsidRDefault="005F449A">
            <w:pPr>
              <w:spacing w:after="0" w:line="259" w:lineRule="auto"/>
              <w:ind w:left="11" w:right="0" w:firstLine="0"/>
            </w:pPr>
            <w:r>
              <w:rPr>
                <w:bdr w:val="single" w:sz="12" w:space="0" w:color="000000"/>
              </w:rPr>
              <w:t>+</w:t>
            </w:r>
          </w:p>
          <w:p w:rsidR="008E3F15" w:rsidRDefault="005F449A">
            <w:pPr>
              <w:spacing w:after="0" w:line="259" w:lineRule="auto"/>
              <w:ind w:left="11" w:right="0" w:firstLine="0"/>
            </w:pPr>
            <w:r>
              <w:rPr>
                <w:bdr w:val="single" w:sz="12" w:space="0" w:color="000000"/>
              </w:rPr>
              <w:t>+</w:t>
            </w:r>
          </w:p>
          <w:p w:rsidR="008E3F15" w:rsidRDefault="005F449A">
            <w:pPr>
              <w:spacing w:after="0" w:line="259" w:lineRule="auto"/>
              <w:ind w:left="11" w:right="0" w:firstLine="0"/>
            </w:pPr>
            <w:r>
              <w:rPr>
                <w:bdr w:val="single" w:sz="12" w:space="0" w:color="000000"/>
              </w:rPr>
              <w:t>+</w:t>
            </w:r>
          </w:p>
        </w:tc>
        <w:tc>
          <w:tcPr>
            <w:tcW w:w="52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t>HER2-таргетная терапия</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52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t>Ингибиторы тирозин-киназы</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52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t>Ингибиторы протеасом</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52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5910" w:type="dxa"/>
            <w:tcBorders>
              <w:top w:val="double" w:sz="6" w:space="0" w:color="000000"/>
              <w:left w:val="double" w:sz="6" w:space="0" w:color="000000"/>
              <w:bottom w:val="single" w:sz="6" w:space="0" w:color="000000"/>
              <w:right w:val="single" w:sz="6" w:space="0" w:color="000000"/>
            </w:tcBorders>
          </w:tcPr>
          <w:p w:rsidR="008E3F15" w:rsidRDefault="005F449A">
            <w:pPr>
              <w:spacing w:after="0" w:line="259" w:lineRule="auto"/>
              <w:ind w:left="7" w:right="0" w:firstLine="0"/>
            </w:pPr>
            <w:r>
              <w:t>Ингибиторы контрольных точек иммунитета</w:t>
            </w:r>
          </w:p>
        </w:tc>
        <w:tc>
          <w:tcPr>
            <w:tcW w:w="0" w:type="auto"/>
            <w:vMerge/>
            <w:tcBorders>
              <w:top w:val="nil"/>
              <w:left w:val="nil"/>
              <w:bottom w:val="nil"/>
              <w:right w:val="nil"/>
            </w:tcBorders>
          </w:tcPr>
          <w:p w:rsidR="008E3F15" w:rsidRDefault="008E3F15">
            <w:pPr>
              <w:spacing w:after="160" w:line="259" w:lineRule="auto"/>
              <w:ind w:left="0" w:right="0" w:firstLine="0"/>
            </w:pPr>
          </w:p>
        </w:tc>
        <w:tc>
          <w:tcPr>
            <w:tcW w:w="525" w:type="dxa"/>
            <w:tcBorders>
              <w:top w:val="double" w:sz="6" w:space="0" w:color="000000"/>
              <w:left w:val="single" w:sz="6" w:space="0" w:color="000000"/>
              <w:bottom w:val="sing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9" w:right="0" w:firstLine="0"/>
            </w:pPr>
            <w:r>
              <w:t>++</w:t>
            </w:r>
          </w:p>
        </w:tc>
        <w:tc>
          <w:tcPr>
            <w:tcW w:w="510" w:type="dxa"/>
            <w:tcBorders>
              <w:top w:val="nil"/>
              <w:left w:val="nil"/>
              <w:bottom w:val="nil"/>
              <w:right w:val="single" w:sz="6" w:space="0" w:color="000000"/>
            </w:tcBorders>
          </w:tcPr>
          <w:p w:rsidR="008E3F15" w:rsidRDefault="005F449A">
            <w:pPr>
              <w:spacing w:after="0" w:line="259" w:lineRule="auto"/>
              <w:ind w:left="9" w:right="0" w:firstLine="0"/>
              <w:jc w:val="both"/>
            </w:pPr>
            <w:r>
              <w:rPr>
                <w:bdr w:val="single" w:sz="12" w:space="0" w:color="000000"/>
              </w:rPr>
              <w:t>++</w:t>
            </w:r>
          </w:p>
        </w:tc>
      </w:tr>
      <w:tr w:rsidR="008E3F15">
        <w:trPr>
          <w:trHeight w:val="330"/>
        </w:trPr>
        <w:tc>
          <w:tcPr>
            <w:tcW w:w="5910" w:type="dxa"/>
            <w:tcBorders>
              <w:top w:val="single" w:sz="6" w:space="0" w:color="000000"/>
              <w:left w:val="single" w:sz="6" w:space="0" w:color="000000"/>
              <w:bottom w:val="single" w:sz="6" w:space="0" w:color="000000"/>
              <w:right w:val="nil"/>
            </w:tcBorders>
          </w:tcPr>
          <w:p w:rsidR="008E3F15" w:rsidRDefault="005F449A">
            <w:pPr>
              <w:spacing w:after="0" w:line="259" w:lineRule="auto"/>
              <w:ind w:left="7" w:right="0" w:firstLine="0"/>
              <w:jc w:val="both"/>
            </w:pPr>
            <w:r>
              <w:rPr>
                <w:bdr w:val="single" w:sz="12" w:space="0" w:color="000000"/>
              </w:rPr>
              <w:t>Селективные модуляторы эстрогеновых рецепторов</w:t>
            </w:r>
          </w:p>
        </w:tc>
        <w:tc>
          <w:tcPr>
            <w:tcW w:w="435" w:type="dxa"/>
            <w:tcBorders>
              <w:top w:val="single" w:sz="6" w:space="0" w:color="000000"/>
              <w:left w:val="single" w:sz="6" w:space="0" w:color="000000"/>
              <w:bottom w:val="single" w:sz="6" w:space="0" w:color="000000"/>
              <w:right w:val="single" w:sz="6" w:space="0" w:color="000000"/>
            </w:tcBorders>
          </w:tcPr>
          <w:p w:rsidR="008E3F15" w:rsidRDefault="005F449A">
            <w:pPr>
              <w:spacing w:after="0" w:line="259" w:lineRule="auto"/>
              <w:ind w:left="11" w:right="0" w:firstLine="0"/>
            </w:pPr>
            <w:r>
              <w:t>–</w:t>
            </w:r>
          </w:p>
        </w:tc>
        <w:tc>
          <w:tcPr>
            <w:tcW w:w="525" w:type="dxa"/>
            <w:tcBorders>
              <w:top w:val="nil"/>
              <w:left w:val="nil"/>
              <w:bottom w:val="nil"/>
              <w:right w:val="nil"/>
            </w:tcBorders>
          </w:tcPr>
          <w:p w:rsidR="008E3F15" w:rsidRDefault="005F449A">
            <w:pPr>
              <w:spacing w:after="0" w:line="259" w:lineRule="auto"/>
              <w:ind w:left="0" w:right="0" w:firstLine="0"/>
              <w:jc w:val="both"/>
            </w:pPr>
            <w:r>
              <w:rPr>
                <w:bdr w:val="single" w:sz="12" w:space="0" w:color="000000"/>
              </w:rPr>
              <w:t>++</w:t>
            </w:r>
          </w:p>
        </w:tc>
        <w:tc>
          <w:tcPr>
            <w:tcW w:w="154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r w:rsidR="008E3F15">
        <w:trPr>
          <w:trHeight w:val="330"/>
        </w:trPr>
        <w:tc>
          <w:tcPr>
            <w:tcW w:w="5910"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7" w:right="0" w:firstLine="0"/>
            </w:pPr>
            <w:r>
              <w:t>Ингибиторы ароматазы</w:t>
            </w:r>
          </w:p>
        </w:tc>
        <w:tc>
          <w:tcPr>
            <w:tcW w:w="435" w:type="dxa"/>
            <w:tcBorders>
              <w:top w:val="nil"/>
              <w:left w:val="nil"/>
              <w:bottom w:val="single" w:sz="6" w:space="0" w:color="000000"/>
              <w:right w:val="nil"/>
            </w:tcBorders>
          </w:tcPr>
          <w:p w:rsidR="008E3F15" w:rsidRDefault="005F449A">
            <w:pPr>
              <w:spacing w:after="0" w:line="259" w:lineRule="auto"/>
              <w:ind w:left="11" w:right="0" w:firstLine="0"/>
            </w:pPr>
            <w:r>
              <w:rPr>
                <w:bdr w:val="single" w:sz="12" w:space="0" w:color="000000"/>
              </w:rPr>
              <w:t>+</w:t>
            </w:r>
          </w:p>
        </w:tc>
        <w:tc>
          <w:tcPr>
            <w:tcW w:w="525" w:type="dxa"/>
            <w:tcBorders>
              <w:top w:val="sing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54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w:t>
            </w:r>
          </w:p>
        </w:tc>
        <w:tc>
          <w:tcPr>
            <w:tcW w:w="115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c>
          <w:tcPr>
            <w:tcW w:w="5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9" w:right="0" w:firstLine="0"/>
            </w:pPr>
            <w:r>
              <w:t>+</w:t>
            </w:r>
          </w:p>
        </w:tc>
      </w:tr>
    </w:tbl>
    <w:p w:rsidR="008E3F15" w:rsidRDefault="005F449A">
      <w:pPr>
        <w:ind w:left="2" w:right="15"/>
      </w:pPr>
      <w:r>
        <w:rPr>
          <w:b/>
        </w:rPr>
        <w:t>Примечание.</w:t>
      </w:r>
      <w:r>
        <w:t xml:space="preserve"> Средние оценки по группе препаратов: ++ — часто, + — возможно, – —редко. Для оценки кардиотоксичности рекомендована валидизированная шкала HFA-ICOS, которая позволяет выявить пациентов с высоким риском кардиотоксичности. Онкологические пациенты с невысоки</w:t>
      </w:r>
      <w:r>
        <w:t>м риском кардиотоксичности, связанной с химиотерапией, не должны прекращать лечение рака. Решение об отказе от эффективного, но потенциально кардиотоксичного лечения рака у пациентов с высоким риском ССЗ должно быть установлено только после обсуждения леча</w:t>
      </w:r>
      <w:r>
        <w:t>щим онкологом и кардиологом с оценкой баланса эффективности и опасности лечения у данного пациента (ESC).</w:t>
      </w:r>
    </w:p>
    <w:p w:rsidR="008E3F15" w:rsidRDefault="005F449A">
      <w:pPr>
        <w:ind w:left="2" w:right="15"/>
      </w:pPr>
      <w:r>
        <w:t>Прием противоопухолевых препаратов разных групп (антрациклины, алкилирующие препараты, блокаторы рецепторов HER2/Neu, ингибиторы тирозин-киназы, микро</w:t>
      </w:r>
      <w:r>
        <w:t>тубулярные агенты) сопровождается повышением риска ФП (AHA).</w:t>
      </w:r>
    </w:p>
    <w:p w:rsidR="008E3F15" w:rsidRDefault="005F449A">
      <w:pPr>
        <w:ind w:left="2" w:right="236"/>
      </w:pPr>
      <w:r>
        <w:t>Ингибиторы контрольных точек иммунитета наряду с мио кардитом и дисфункцией левого желудочка нередко вызывают тахиаритмии, включая тиреотоксикоз-индуцированные ФП, а также повышают риск сердечно-</w:t>
      </w:r>
      <w:r>
        <w:t>сосудистой смерти (D’Souza M. et al., 2021; Andres M. et al., 2023).</w:t>
      </w:r>
    </w:p>
    <w:p w:rsidR="008E3F15" w:rsidRDefault="005F449A">
      <w:pPr>
        <w:ind w:left="2" w:right="15"/>
      </w:pPr>
      <w:r>
        <w:t>Ингибитор тирозин-киназы ибрутиниб, рекомендованный для лечения злокачественных Bлимфопролиферативных заболеваний, значительно повышает риск аритмий, СН, церебральных событий, а также уве</w:t>
      </w:r>
      <w:r>
        <w:t>личивает сердечно-сосудистую смертность (Salem J. et al., 2019).</w:t>
      </w:r>
    </w:p>
    <w:p w:rsidR="008E3F15" w:rsidRDefault="005F449A">
      <w:pPr>
        <w:ind w:left="2" w:right="15"/>
      </w:pPr>
      <w:r>
        <w:t xml:space="preserve">По данным исследования ВОЗ, большую часть желудочковых аритмий, синдрома удлиненного интервала </w:t>
      </w:r>
      <w:r>
        <w:rPr>
          <w:i/>
        </w:rPr>
        <w:t>Q–T</w:t>
      </w:r>
      <w:r>
        <w:t xml:space="preserve"> и двунаправленно-веретенообразных ЖТ среди противоопухолевых препаратов вызывают ингибиторы </w:t>
      </w:r>
      <w:r>
        <w:t xml:space="preserve">киназ (вандетаниб, нилотиниб, пазопаниб, рибоциклиб, сунитиниб) (Salem J. et al., 2021). Также выраженное (&gt;10 мс) удлинение интервала </w:t>
      </w:r>
      <w:r>
        <w:rPr>
          <w:i/>
        </w:rPr>
        <w:t>Q–T</w:t>
      </w:r>
      <w:r>
        <w:t xml:space="preserve"> отмечено у акларубицина</w:t>
      </w:r>
      <w:r>
        <w:rPr>
          <w:rFonts w:ascii="Times New Roman" w:eastAsia="Times New Roman" w:hAnsi="Times New Roman" w:cs="Times New Roman"/>
          <w:sz w:val="31"/>
          <w:vertAlign w:val="superscript"/>
        </w:rPr>
        <w:t>℘</w:t>
      </w:r>
      <w:r>
        <w:t>, гласдегиба</w:t>
      </w:r>
      <w:r>
        <w:rPr>
          <w:rFonts w:ascii="Times New Roman" w:eastAsia="Times New Roman" w:hAnsi="Times New Roman" w:cs="Times New Roman"/>
          <w:sz w:val="31"/>
          <w:vertAlign w:val="superscript"/>
        </w:rPr>
        <w:t>℘</w:t>
      </w:r>
      <w:r>
        <w:t>, оксалиплатина, торемифена.</w:t>
      </w:r>
    </w:p>
    <w:p w:rsidR="008E3F15" w:rsidRDefault="005F449A">
      <w:pPr>
        <w:ind w:left="2" w:right="15"/>
      </w:pPr>
      <w:r>
        <w:t>Облучение области сердца увеличило риск ССЗ в наблюдательных исследованиях (Carlson L. et al., 2021; Liu E. et al., 2022).</w:t>
      </w:r>
    </w:p>
    <w:p w:rsidR="008E3F15" w:rsidRDefault="005F449A">
      <w:pPr>
        <w:ind w:left="2" w:right="15"/>
      </w:pPr>
      <w:r>
        <w:rPr>
          <w:b/>
        </w:rPr>
        <w:t xml:space="preserve">Сердечная недостаточность. </w:t>
      </w:r>
      <w:r>
        <w:t>В наблюдательных исследованиях у пациентов с СН выявлено повышение риска злокачественных новообразований (</w:t>
      </w:r>
      <w:r>
        <w:t>Leedy D. et al., 2021; Hasin T. et al., 2013).</w:t>
      </w:r>
    </w:p>
    <w:p w:rsidR="008E3F15" w:rsidRDefault="005F449A">
      <w:pPr>
        <w:pStyle w:val="Heading1"/>
        <w:ind w:left="2"/>
      </w:pPr>
      <w:r>
        <w:t>Часть II. Коморбидные болезни</w:t>
      </w:r>
    </w:p>
    <w:p w:rsidR="008E3F15" w:rsidRDefault="005F449A">
      <w:pPr>
        <w:ind w:left="2" w:right="15"/>
      </w:pPr>
      <w:r>
        <w:t>По данным регистра CARDIOTOX, кардиотоксичность противоопухолевых лекарств выявлена у 37% пациентов, в том числе у 2,8 и 3,1% в умеренной и тяжелой формах. Риск смерти среди пациентов с тяжелой лекарственной кардиомиопатией повысился в 10 раз. Алгоритм вед</w:t>
      </w:r>
      <w:r>
        <w:t>ения</w:t>
      </w:r>
    </w:p>
    <w:p w:rsidR="008E3F15" w:rsidRDefault="005F449A">
      <w:pPr>
        <w:ind w:left="2" w:right="15"/>
      </w:pPr>
      <w:r>
        <w:t xml:space="preserve">пациентов, принимающих противоопухолевые препараты с повышенным риском повреждения мио карда, представлен на </w:t>
      </w:r>
      <w:r>
        <w:rPr>
          <w:b/>
        </w:rPr>
        <w:t>рис. 20.7</w:t>
      </w:r>
      <w:r>
        <w:t>.</w:t>
      </w:r>
    </w:p>
    <w:p w:rsidR="008E3F15" w:rsidRDefault="005F449A">
      <w:pPr>
        <w:spacing w:after="65" w:line="259" w:lineRule="auto"/>
        <w:ind w:left="0" w:right="0" w:firstLine="0"/>
      </w:pPr>
      <w:r>
        <w:rPr>
          <w:noProof/>
        </w:rPr>
        <w:drawing>
          <wp:inline distT="0" distB="0" distL="0" distR="0">
            <wp:extent cx="5057775" cy="3581400"/>
            <wp:effectExtent l="0" t="0" r="0" b="0"/>
            <wp:docPr id="25430" name="Picture 25430"/>
            <wp:cNvGraphicFramePr/>
            <a:graphic xmlns:a="http://schemas.openxmlformats.org/drawingml/2006/main">
              <a:graphicData uri="http://schemas.openxmlformats.org/drawingml/2006/picture">
                <pic:pic xmlns:pic="http://schemas.openxmlformats.org/drawingml/2006/picture">
                  <pic:nvPicPr>
                    <pic:cNvPr id="25430" name="Picture 25430"/>
                    <pic:cNvPicPr/>
                  </pic:nvPicPr>
                  <pic:blipFill>
                    <a:blip r:embed="rId199"/>
                    <a:stretch>
                      <a:fillRect/>
                    </a:stretch>
                  </pic:blipFill>
                  <pic:spPr>
                    <a:xfrm>
                      <a:off x="0" y="0"/>
                      <a:ext cx="5057775" cy="3581400"/>
                    </a:xfrm>
                    <a:prstGeom prst="rect">
                      <a:avLst/>
                    </a:prstGeom>
                  </pic:spPr>
                </pic:pic>
              </a:graphicData>
            </a:graphic>
          </wp:inline>
        </w:drawing>
      </w:r>
    </w:p>
    <w:p w:rsidR="008E3F15" w:rsidRDefault="005F449A">
      <w:pPr>
        <w:ind w:left="2" w:right="15"/>
      </w:pPr>
      <w:r>
        <w:rPr>
          <w:b/>
        </w:rPr>
        <w:t xml:space="preserve">Рис. 20.7. </w:t>
      </w:r>
      <w:r>
        <w:t>Ведение пациентов с кардиотоксичными противоопухолевыми препаратами (ESMO)</w:t>
      </w:r>
    </w:p>
    <w:p w:rsidR="008E3F15" w:rsidRDefault="005F449A">
      <w:pPr>
        <w:ind w:left="2" w:right="270"/>
      </w:pPr>
      <w:r>
        <w:t>Хорошо известна кардиомиопатия с СНнФВ, выз</w:t>
      </w:r>
      <w:r>
        <w:t>ванная приемом антрациклинов. В среднем через 9 лет клинически явная антрациклиновая кардиомиопатия наблюдается у 6% пациентов, а субклинические формы — у 18% (Lotrionte M. et al., 2013). Поэтому до и периодически после лечения показаны эхокардиография и о</w:t>
      </w:r>
      <w:r>
        <w:t>пределение натрийуретического пептида.</w:t>
      </w:r>
    </w:p>
    <w:p w:rsidR="008E3F15" w:rsidRDefault="005F449A">
      <w:pPr>
        <w:ind w:left="2" w:right="108"/>
      </w:pPr>
      <w:r>
        <w:t>Ингибиторы контрольных точек иммунитета усиливают активность иммунной системы в отношении опухолевых клеток, однако способны в редких случаях (0,6%) вызвать потенциально жизнеопасный мио кардит (Rubio-Infante N. et al</w:t>
      </w:r>
      <w:r>
        <w:t>., 2021). Контрастная магнитнорезонансная томография показала невысокую чувствительность при сопоставлении с гистопатологическими данными мио кардита (Zhang L. et al., 2020). При появлении признаков мио кардита ингибиторы контрольных точек иммунитета отмен</w:t>
      </w:r>
      <w:r>
        <w:t>яют и назначают метилпреднизолон 500–1000 мг в/в однократно в течение 3–5 сут с последующим переходом на пероральный преднизолон в дозе 1 мг/кг (не более 80 мг/сут).</w:t>
      </w:r>
    </w:p>
    <w:p w:rsidR="008E3F15" w:rsidRDefault="005F449A">
      <w:pPr>
        <w:ind w:left="2" w:right="15"/>
      </w:pPr>
      <w:r>
        <w:t>Эндокринная терапия подавляет синтез эстрогенов и развитие гормон-чувствительной опухоли м</w:t>
      </w:r>
      <w:r>
        <w:t>олочной железы. Применение трастузумаба у пациенток с метастазами HER2+ рака</w:t>
      </w:r>
    </w:p>
    <w:p w:rsidR="008E3F15" w:rsidRDefault="005F449A">
      <w:pPr>
        <w:ind w:left="2" w:right="153"/>
      </w:pPr>
      <w:r>
        <w:t>груди сопровождалось в 35% кардиотоксичностью в течение 3 лет лечения (CalvilloArguelles O. et al., 2020).</w:t>
      </w:r>
    </w:p>
    <w:p w:rsidR="008E3F15" w:rsidRDefault="005F449A">
      <w:pPr>
        <w:ind w:left="2" w:right="15"/>
      </w:pPr>
      <w:r>
        <w:t>Для предупреждения поражения сердца антрациклинами и трастузумабом могут</w:t>
      </w:r>
      <w:r>
        <w:t xml:space="preserve"> быть полезны β-адреноблокаторы (карведилол), иАПФ (эналаприл, лизиноприл), БРА (кандесартан),</w:t>
      </w:r>
    </w:p>
    <w:p w:rsidR="008E3F15" w:rsidRDefault="005F449A">
      <w:pPr>
        <w:ind w:left="2" w:right="15"/>
      </w:pPr>
      <w:r>
        <w:t>статины (D’Amario D. et al., 2023; Calvillo-Argüelles O. et al., 2019; STOP-CA). Физические тренировки увеличили функциональные возможности пациенток, принимающи</w:t>
      </w:r>
      <w:r>
        <w:t>х антрациклины, но не повлияли на объективные маркеры кардиотоксичности (Antunes P. et al., 2023).</w:t>
      </w:r>
    </w:p>
    <w:p w:rsidR="008E3F15" w:rsidRDefault="005F449A">
      <w:pPr>
        <w:ind w:left="2" w:right="15"/>
      </w:pPr>
      <w:r>
        <w:t>Кардиопротекцию может обеспечить дексразоксан, хелатный препарат, связывающий внутриклеточное железо и влияющий на связывание антрациклинов.</w:t>
      </w:r>
    </w:p>
    <w:p w:rsidR="008E3F15" w:rsidRDefault="005F449A">
      <w:pPr>
        <w:ind w:left="2" w:right="306"/>
      </w:pPr>
      <w:r>
        <w:t>Для лечения асим</w:t>
      </w:r>
      <w:r>
        <w:t>птомной дисфункции левого желудочка рекомендуют иАПФ/БРА и/или βадреноблокаторы. Терапия СН проводится традиционными средствами, описанными в соответствующем разделе.</w:t>
      </w:r>
    </w:p>
    <w:p w:rsidR="008E3F15" w:rsidRDefault="005F449A">
      <w:pPr>
        <w:ind w:left="2" w:right="15"/>
      </w:pPr>
      <w:r>
        <w:rPr>
          <w:b/>
        </w:rPr>
        <w:t xml:space="preserve">Коронарная болезнь. </w:t>
      </w:r>
      <w:r>
        <w:t>У пациентов со злокачественными новообразованиями значительно чаще вс</w:t>
      </w:r>
      <w:r>
        <w:t>тречаются ОКС и ухудшается прогноз коронарного заболевания (Yousif N. et al., 2021; Bharadwaj A. et al., 2020).</w:t>
      </w:r>
    </w:p>
    <w:p w:rsidR="008E3F15" w:rsidRDefault="005F449A">
      <w:pPr>
        <w:ind w:left="2" w:right="15"/>
      </w:pPr>
      <w:r>
        <w:t>Наличие активного рака ассоциируется с возрастанием после ЧКВ повторных госпитализаций с ИМ — в 1,6 раза и кровотечений в 2,7 раза в ближайшие 3</w:t>
      </w:r>
      <w:r>
        <w:t xml:space="preserve"> мес (Kwok C. et al., 2021). Ингибиторы контрольных точек увеличивают риск сердечно-сосудистых событий в 3–5 раз, ИМ в 7 раз, а скорость роста объема аортальной бляшки — в 3 раза (Drobni Z. et al., 2020). Прием ингибиторов ароматазы ассоциировался с возрас</w:t>
      </w:r>
      <w:r>
        <w:t>танием частоты коронарной болезни и СН (Matthews A. et al., 2018; Khosrow-Khavar F. et al., 2020).</w:t>
      </w:r>
    </w:p>
    <w:p w:rsidR="008E3F15" w:rsidRDefault="005F449A">
      <w:pPr>
        <w:ind w:left="2" w:right="15"/>
      </w:pPr>
      <w:r>
        <w:t>Фторпиримидины вызывают вазоспазм и эндотелиальную дисфункцию с ишемией мио карда у 2–10% пациентов. Препараты платины, ингибиторы фактора роста эндотелия со</w:t>
      </w:r>
      <w:r>
        <w:t>судов могут вызывать артериальные тромбозы.</w:t>
      </w:r>
    </w:p>
    <w:p w:rsidR="008E3F15" w:rsidRDefault="005F449A">
      <w:pPr>
        <w:ind w:left="2" w:right="313"/>
      </w:pPr>
      <w:r>
        <w:t>При появлении признаков ИМ химиотерапия, способствующая тромбозам и ИМ, временно прекращается и мультидисциплинарная команда разрабатывает план лечения с учетом состояния рака, прогноза, целесообразности инвазивн</w:t>
      </w:r>
      <w:r>
        <w:t>ого лечения, рисков кровотечения и тромбообразования, свойственного злокачественным новообразованиям.</w:t>
      </w:r>
    </w:p>
    <w:p w:rsidR="008E3F15" w:rsidRDefault="005F449A">
      <w:pPr>
        <w:ind w:left="2" w:right="333"/>
      </w:pPr>
      <w:r>
        <w:rPr>
          <w:b/>
        </w:rPr>
        <w:t xml:space="preserve">Венозные тромбоэмболии. </w:t>
      </w:r>
      <w:r>
        <w:t>У пациентов с раком (особенно легких, простаты, кишечника, поджелудочной железы, головного мозга, множественной миеломой) на химио</w:t>
      </w:r>
      <w:r>
        <w:t xml:space="preserve">терапии или после хирургии почти в пять раз увеличен риск ВТЭ (Walker A. et al., 2013). По данным фремингемского исследования, 31% всех ВТЭ обусловлен раком (Puurunen M. et al., 2016). Хотя скрининг рака у пациентов с неспровоцированными ВТЭ может выявить </w:t>
      </w:r>
      <w:r>
        <w:t>рак раньше, но данные об улучшении прогноза отсутствуют (Cochrane Reviews).</w:t>
      </w:r>
    </w:p>
    <w:p w:rsidR="008E3F15" w:rsidRDefault="005F449A">
      <w:pPr>
        <w:spacing w:after="179"/>
        <w:ind w:left="2" w:right="15"/>
      </w:pPr>
      <w:r>
        <w:rPr>
          <w:i/>
        </w:rPr>
        <w:t>Первичная профилактика.</w:t>
      </w:r>
      <w:r>
        <w:t xml:space="preserve"> У пациентов без ВТЭ в анамнезе может быть целесообразной тромбопрофилактика (ASH):</w:t>
      </w:r>
    </w:p>
    <w:p w:rsidR="008E3F15" w:rsidRDefault="005F449A">
      <w:pPr>
        <w:spacing w:after="31"/>
        <w:ind w:left="340" w:right="15"/>
      </w:pPr>
      <w:r>
        <w:rPr>
          <w:rFonts w:ascii="Calibri" w:eastAsia="Calibri" w:hAnsi="Calibri" w:cs="Calibri"/>
          <w:noProof/>
          <w:color w:val="000000"/>
          <w:sz w:val="22"/>
        </w:rPr>
        <mc:AlternateContent>
          <mc:Choice Requires="wpg">
            <w:drawing>
              <wp:anchor distT="0" distB="0" distL="114300" distR="114300" simplePos="0" relativeHeight="251975680" behindDoc="0" locked="0" layoutInCell="1" allowOverlap="1">
                <wp:simplePos x="0" y="0"/>
                <wp:positionH relativeFrom="column">
                  <wp:posOffset>209550</wp:posOffset>
                </wp:positionH>
                <wp:positionV relativeFrom="paragraph">
                  <wp:posOffset>34727</wp:posOffset>
                </wp:positionV>
                <wp:extent cx="57150" cy="209550"/>
                <wp:effectExtent l="0" t="0" r="0" b="0"/>
                <wp:wrapSquare wrapText="bothSides"/>
                <wp:docPr id="341041" name="Group 341041"/>
                <wp:cNvGraphicFramePr/>
                <a:graphic xmlns:a="http://schemas.openxmlformats.org/drawingml/2006/main">
                  <a:graphicData uri="http://schemas.microsoft.com/office/word/2010/wordprocessingGroup">
                    <wpg:wgp>
                      <wpg:cNvGrpSpPr/>
                      <wpg:grpSpPr>
                        <a:xfrm>
                          <a:off x="0" y="0"/>
                          <a:ext cx="57150" cy="209550"/>
                          <a:chOff x="0" y="0"/>
                          <a:chExt cx="57150" cy="209550"/>
                        </a:xfrm>
                      </wpg:grpSpPr>
                      <wps:wsp>
                        <wps:cNvPr id="25500" name="Shape 25500"/>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556"/>
                                  <a:pt x="48781" y="8334"/>
                                </a:cubicBezTo>
                                <a:cubicBezTo>
                                  <a:pt x="51460" y="10914"/>
                                  <a:pt x="53525" y="14089"/>
                                  <a:pt x="54975" y="17463"/>
                                </a:cubicBezTo>
                                <a:cubicBezTo>
                                  <a:pt x="56425" y="20836"/>
                                  <a:pt x="57150" y="24606"/>
                                  <a:pt x="57150" y="28575"/>
                                </a:cubicBezTo>
                                <a:cubicBezTo>
                                  <a:pt x="57150" y="32345"/>
                                  <a:pt x="56425" y="35917"/>
                                  <a:pt x="54975" y="39489"/>
                                </a:cubicBezTo>
                                <a:cubicBezTo>
                                  <a:pt x="53525" y="42863"/>
                                  <a:pt x="51460" y="46038"/>
                                  <a:pt x="48781" y="48816"/>
                                </a:cubicBezTo>
                                <a:cubicBezTo>
                                  <a:pt x="46101" y="51395"/>
                                  <a:pt x="43011" y="53380"/>
                                  <a:pt x="39510" y="54967"/>
                                </a:cubicBezTo>
                                <a:cubicBezTo>
                                  <a:pt x="36009" y="56356"/>
                                  <a:pt x="32364" y="56952"/>
                                  <a:pt x="28575" y="57150"/>
                                </a:cubicBezTo>
                                <a:cubicBezTo>
                                  <a:pt x="24786" y="56952"/>
                                  <a:pt x="21141" y="56356"/>
                                  <a:pt x="17640" y="54967"/>
                                </a:cubicBezTo>
                                <a:cubicBezTo>
                                  <a:pt x="14139" y="53380"/>
                                  <a:pt x="11049" y="51395"/>
                                  <a:pt x="8369" y="48816"/>
                                </a:cubicBezTo>
                                <a:cubicBezTo>
                                  <a:pt x="5690" y="46038"/>
                                  <a:pt x="3625" y="42863"/>
                                  <a:pt x="2175" y="39489"/>
                                </a:cubicBezTo>
                                <a:cubicBezTo>
                                  <a:pt x="725" y="35917"/>
                                  <a:pt x="0" y="32345"/>
                                  <a:pt x="0" y="28575"/>
                                </a:cubicBezTo>
                                <a:cubicBezTo>
                                  <a:pt x="0" y="24606"/>
                                  <a:pt x="725" y="20836"/>
                                  <a:pt x="2175" y="17463"/>
                                </a:cubicBezTo>
                                <a:cubicBezTo>
                                  <a:pt x="3625" y="14089"/>
                                  <a:pt x="5690" y="10914"/>
                                  <a:pt x="8369" y="8334"/>
                                </a:cubicBezTo>
                                <a:cubicBezTo>
                                  <a:pt x="11049" y="5556"/>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s:wsp>
                        <wps:cNvPr id="25502" name="Shape 25502"/>
                        <wps:cNvSpPr/>
                        <wps:spPr>
                          <a:xfrm>
                            <a:off x="0" y="152400"/>
                            <a:ext cx="57150" cy="57150"/>
                          </a:xfrm>
                          <a:custGeom>
                            <a:avLst/>
                            <a:gdLst/>
                            <a:ahLst/>
                            <a:cxnLst/>
                            <a:rect l="0" t="0" r="0" b="0"/>
                            <a:pathLst>
                              <a:path w="57150" h="57150">
                                <a:moveTo>
                                  <a:pt x="28575" y="0"/>
                                </a:moveTo>
                                <a:cubicBezTo>
                                  <a:pt x="32364" y="0"/>
                                  <a:pt x="36009" y="794"/>
                                  <a:pt x="39510" y="2183"/>
                                </a:cubicBezTo>
                                <a:cubicBezTo>
                                  <a:pt x="43011" y="3572"/>
                                  <a:pt x="46101" y="5755"/>
                                  <a:pt x="48781" y="8334"/>
                                </a:cubicBezTo>
                                <a:cubicBezTo>
                                  <a:pt x="51460" y="10914"/>
                                  <a:pt x="53525" y="14089"/>
                                  <a:pt x="54975" y="17463"/>
                                </a:cubicBezTo>
                                <a:cubicBezTo>
                                  <a:pt x="56425" y="20836"/>
                                  <a:pt x="57150" y="24606"/>
                                  <a:pt x="57150" y="28575"/>
                                </a:cubicBezTo>
                                <a:cubicBezTo>
                                  <a:pt x="57150" y="32147"/>
                                  <a:pt x="56425" y="35719"/>
                                  <a:pt x="54975" y="39092"/>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606"/>
                                  <a:pt x="725" y="20836"/>
                                  <a:pt x="2175" y="17463"/>
                                </a:cubicBezTo>
                                <a:cubicBezTo>
                                  <a:pt x="3625" y="14089"/>
                                  <a:pt x="5690" y="10914"/>
                                  <a:pt x="8369" y="8334"/>
                                </a:cubicBezTo>
                                <a:cubicBezTo>
                                  <a:pt x="11049" y="5755"/>
                                  <a:pt x="14139" y="3572"/>
                                  <a:pt x="17640" y="2183"/>
                                </a:cubicBezTo>
                                <a:cubicBezTo>
                                  <a:pt x="21141" y="794"/>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41041" style="width:4.5pt;height:16.5pt;position:absolute;mso-position-horizontal-relative:text;mso-position-horizontal:absolute;margin-left:16.5pt;mso-position-vertical-relative:text;margin-top:2.73438pt;" coordsize="571,2095">
                <v:shape id="Shape 25500" style="position:absolute;width:571;height:571;left:0;top:0;" coordsize="57150,57150" path="m28575,0c32364,0,36009,595,39510,1984c43011,3373,46101,5556,48781,8334c51460,10914,53525,14089,54975,17463c56425,20836,57150,24606,57150,28575c57150,32345,56425,35917,54975,39489c53525,42863,51460,46038,48781,48816c46101,51395,43011,53380,39510,54967c36009,56356,32364,56952,28575,57150c24786,56952,21141,56356,17640,54967c14139,53380,11049,51395,8369,48816c5690,46038,3625,42863,2175,39489c725,35917,0,32345,0,28575c0,24606,725,20836,2175,17463c3625,14089,5690,10914,8369,8334c11049,5556,14139,3373,17640,1984c21141,595,24786,0,28575,0x">
                  <v:stroke weight="0pt" endcap="flat" joinstyle="miter" miterlimit="10" on="false" color="#000000" opacity="0"/>
                  <v:fill on="true" color="#333333"/>
                </v:shape>
                <v:shape id="Shape 25502" style="position:absolute;width:571;height:571;left:0;top:1524;" coordsize="57150,57150" path="m28575,0c32364,0,36009,794,39510,2183c43011,3572,46101,5755,48781,8334c51460,10914,53525,14089,54975,17463c56425,20836,57150,24606,57150,28575c57150,32147,56425,35719,54975,39092c53525,42664,51460,45839,48781,48617c46101,51197,43011,53380,39510,54769c36009,56356,32364,56952,28575,57150c24786,56952,21141,56356,17640,54769c14139,53380,11049,51197,8369,48617c5690,45839,3625,42664,2175,39092c725,35719,0,32147,0,28575c0,24606,725,20836,2175,17463c3625,14089,5690,10914,8369,8334c11049,5755,14139,3572,17640,2183c21141,794,24786,0,28575,0x">
                  <v:stroke weight="0pt" endcap="flat" joinstyle="miter" miterlimit="10" on="false" color="#000000" opacity="0"/>
                  <v:fill on="true" color="#333333"/>
                </v:shape>
                <w10:wrap type="square"/>
              </v:group>
            </w:pict>
          </mc:Fallback>
        </mc:AlternateContent>
      </w:r>
      <w:r>
        <w:t>в период госпитализации (НМГ);</w:t>
      </w:r>
    </w:p>
    <w:p w:rsidR="008E3F15" w:rsidRDefault="005F449A">
      <w:pPr>
        <w:ind w:left="340" w:right="15"/>
      </w:pPr>
      <w:r>
        <w:t>после хирургических вмешательств (НМГ или фондапаринукс натрия при низком риске кровотечений, механическая профилактика при высоком) в течение 7–10 сут, а при больших открытых или лапароскопических на животе или в малом тазу с другими факторами высокого ри</w:t>
      </w:r>
      <w:r>
        <w:t>ска — до 4 нед;</w:t>
      </w:r>
    </w:p>
    <w:p w:rsidR="008E3F15" w:rsidRDefault="005F449A">
      <w:pPr>
        <w:ind w:left="600" w:right="15"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41042" name="Group 34104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5507" name="Shape 25507"/>
                        <wps:cNvSpPr/>
                        <wps:spPr>
                          <a:xfrm>
                            <a:off x="0" y="0"/>
                            <a:ext cx="57150" cy="57150"/>
                          </a:xfrm>
                          <a:custGeom>
                            <a:avLst/>
                            <a:gdLst/>
                            <a:ahLst/>
                            <a:cxnLst/>
                            <a:rect l="0" t="0" r="0" b="0"/>
                            <a:pathLst>
                              <a:path w="57150" h="57150">
                                <a:moveTo>
                                  <a:pt x="28575" y="0"/>
                                </a:moveTo>
                                <a:cubicBezTo>
                                  <a:pt x="32364" y="0"/>
                                  <a:pt x="36009" y="794"/>
                                  <a:pt x="39510" y="2183"/>
                                </a:cubicBezTo>
                                <a:cubicBezTo>
                                  <a:pt x="43011" y="3373"/>
                                  <a:pt x="46101" y="5358"/>
                                  <a:pt x="48781" y="8136"/>
                                </a:cubicBezTo>
                                <a:cubicBezTo>
                                  <a:pt x="51460" y="10716"/>
                                  <a:pt x="53525" y="13891"/>
                                  <a:pt x="54975" y="17463"/>
                                </a:cubicBezTo>
                                <a:cubicBezTo>
                                  <a:pt x="56425" y="21034"/>
                                  <a:pt x="57150" y="24805"/>
                                  <a:pt x="57150" y="28575"/>
                                </a:cubicBezTo>
                                <a:cubicBezTo>
                                  <a:pt x="57150" y="32147"/>
                                  <a:pt x="56425" y="35719"/>
                                  <a:pt x="54975" y="39092"/>
                                </a:cubicBezTo>
                                <a:cubicBezTo>
                                  <a:pt x="53525" y="42664"/>
                                  <a:pt x="51460" y="45839"/>
                                  <a:pt x="48781" y="48617"/>
                                </a:cubicBezTo>
                                <a:cubicBezTo>
                                  <a:pt x="46101" y="51197"/>
                                  <a:pt x="43011" y="53380"/>
                                  <a:pt x="39510" y="54769"/>
                                </a:cubicBezTo>
                                <a:cubicBezTo>
                                  <a:pt x="36009" y="56356"/>
                                  <a:pt x="32364" y="56952"/>
                                  <a:pt x="28575" y="57150"/>
                                </a:cubicBezTo>
                                <a:cubicBezTo>
                                  <a:pt x="24786" y="56952"/>
                                  <a:pt x="21141" y="56356"/>
                                  <a:pt x="17640" y="54769"/>
                                </a:cubicBezTo>
                                <a:cubicBezTo>
                                  <a:pt x="14139" y="53380"/>
                                  <a:pt x="11049" y="51197"/>
                                  <a:pt x="8369" y="48617"/>
                                </a:cubicBezTo>
                                <a:cubicBezTo>
                                  <a:pt x="5690" y="45839"/>
                                  <a:pt x="3625" y="42664"/>
                                  <a:pt x="2175" y="39092"/>
                                </a:cubicBezTo>
                                <a:cubicBezTo>
                                  <a:pt x="725" y="35719"/>
                                  <a:pt x="0" y="32147"/>
                                  <a:pt x="0" y="28575"/>
                                </a:cubicBezTo>
                                <a:cubicBezTo>
                                  <a:pt x="0" y="24805"/>
                                  <a:pt x="725" y="21034"/>
                                  <a:pt x="2175" y="17661"/>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41042" style="width:4.5pt;height:4.5pt;mso-position-horizontal-relative:char;mso-position-vertical-relative:line" coordsize="571,571">
                <v:shape id="Shape 25507" style="position:absolute;width:571;height:571;left:0;top:0;" coordsize="57150,57150" path="m28575,0c32364,0,36009,794,39510,2183c43011,3373,46101,5358,48781,8136c51460,10716,53525,13891,54975,17463c56425,21034,57150,24805,57150,28575c57150,32147,56425,35719,54975,39092c53525,42664,51460,45839,48781,48617c46101,51197,43011,53380,39510,54769c36009,56356,32364,56952,28575,57150c24786,56952,21141,56356,17640,54769c14139,53380,11049,51197,8369,48617c5690,45839,3625,42664,2175,39092c725,35719,0,32147,0,28575c0,24805,725,21034,2175,17661c3625,13891,5690,10716,8369,8136c11049,5358,14139,3373,17640,1984c21141,595,24786,0,28575,0x">
                  <v:stroke weight="0pt" endcap="flat" joinstyle="miter" miterlimit="10" on="false" color="#000000" opacity="0"/>
                  <v:fill on="true" color="#333333"/>
                </v:shape>
              </v:group>
            </w:pict>
          </mc:Fallback>
        </mc:AlternateContent>
      </w:r>
      <w:r>
        <w:t xml:space="preserve"> амбулаторно во время системной химиотерапии при высоком риске тромбоза (индекс Хорана ≥2) без значимых факторов риска кровотечений (НМГ, апиксабан 2,5 мг 2 раза, ривароксабан 10 мг) (AVERT; CASSINI);</w:t>
      </w:r>
    </w:p>
    <w:p w:rsidR="008E3F15" w:rsidRDefault="005F449A">
      <w:pPr>
        <w:spacing w:after="179"/>
        <w:ind w:left="600" w:right="1752" w:hanging="270"/>
      </w:pPr>
      <w:r>
        <w:rPr>
          <w:rFonts w:ascii="Calibri" w:eastAsia="Calibri" w:hAnsi="Calibri" w:cs="Calibri"/>
          <w:noProof/>
          <w:color w:val="000000"/>
          <w:sz w:val="22"/>
        </w:rPr>
        <mc:AlternateContent>
          <mc:Choice Requires="wpg">
            <w:drawing>
              <wp:inline distT="0" distB="0" distL="0" distR="0">
                <wp:extent cx="57150" cy="57150"/>
                <wp:effectExtent l="0" t="0" r="0" b="0"/>
                <wp:docPr id="341043" name="Group 34104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25511" name="Shape 25511"/>
                        <wps:cNvSpPr/>
                        <wps:spPr>
                          <a:xfrm>
                            <a:off x="0" y="0"/>
                            <a:ext cx="57150" cy="57150"/>
                          </a:xfrm>
                          <a:custGeom>
                            <a:avLst/>
                            <a:gdLst/>
                            <a:ahLst/>
                            <a:cxnLst/>
                            <a:rect l="0" t="0" r="0" b="0"/>
                            <a:pathLst>
                              <a:path w="57150" h="57150">
                                <a:moveTo>
                                  <a:pt x="28575" y="0"/>
                                </a:moveTo>
                                <a:cubicBezTo>
                                  <a:pt x="32364" y="0"/>
                                  <a:pt x="36009" y="595"/>
                                  <a:pt x="39510" y="1984"/>
                                </a:cubicBezTo>
                                <a:cubicBezTo>
                                  <a:pt x="43011" y="3373"/>
                                  <a:pt x="46101" y="5358"/>
                                  <a:pt x="48781" y="8136"/>
                                </a:cubicBezTo>
                                <a:cubicBezTo>
                                  <a:pt x="51460" y="10716"/>
                                  <a:pt x="53525" y="13891"/>
                                  <a:pt x="54975" y="17463"/>
                                </a:cubicBezTo>
                                <a:cubicBezTo>
                                  <a:pt x="56425" y="20836"/>
                                  <a:pt x="57150" y="24606"/>
                                  <a:pt x="57150" y="28575"/>
                                </a:cubicBezTo>
                                <a:cubicBezTo>
                                  <a:pt x="57150" y="32345"/>
                                  <a:pt x="56425" y="35917"/>
                                  <a:pt x="54975" y="39291"/>
                                </a:cubicBezTo>
                                <a:cubicBezTo>
                                  <a:pt x="53525" y="42863"/>
                                  <a:pt x="51460" y="46038"/>
                                  <a:pt x="48781" y="48617"/>
                                </a:cubicBezTo>
                                <a:cubicBezTo>
                                  <a:pt x="46101" y="51197"/>
                                  <a:pt x="43011" y="53380"/>
                                  <a:pt x="39510" y="54570"/>
                                </a:cubicBezTo>
                                <a:cubicBezTo>
                                  <a:pt x="36009" y="56356"/>
                                  <a:pt x="32364" y="56952"/>
                                  <a:pt x="28575" y="57150"/>
                                </a:cubicBezTo>
                                <a:cubicBezTo>
                                  <a:pt x="24786" y="56952"/>
                                  <a:pt x="21141" y="56356"/>
                                  <a:pt x="17640" y="54769"/>
                                </a:cubicBezTo>
                                <a:cubicBezTo>
                                  <a:pt x="14139" y="53380"/>
                                  <a:pt x="11049" y="51197"/>
                                  <a:pt x="8369" y="48617"/>
                                </a:cubicBezTo>
                                <a:cubicBezTo>
                                  <a:pt x="5690" y="46038"/>
                                  <a:pt x="3625" y="42863"/>
                                  <a:pt x="2175" y="39291"/>
                                </a:cubicBezTo>
                                <a:cubicBezTo>
                                  <a:pt x="725" y="35917"/>
                                  <a:pt x="0" y="32345"/>
                                  <a:pt x="0" y="28575"/>
                                </a:cubicBezTo>
                                <a:cubicBezTo>
                                  <a:pt x="0" y="24606"/>
                                  <a:pt x="725" y="20836"/>
                                  <a:pt x="2175" y="17463"/>
                                </a:cubicBezTo>
                                <a:cubicBezTo>
                                  <a:pt x="3625" y="13891"/>
                                  <a:pt x="5690" y="10716"/>
                                  <a:pt x="8369" y="8136"/>
                                </a:cubicBezTo>
                                <a:cubicBezTo>
                                  <a:pt x="11049" y="5358"/>
                                  <a:pt x="14139" y="3373"/>
                                  <a:pt x="17640" y="1984"/>
                                </a:cubicBezTo>
                                <a:cubicBezTo>
                                  <a:pt x="21141" y="59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inline>
            </w:drawing>
          </mc:Choice>
          <mc:Fallback xmlns:a="http://schemas.openxmlformats.org/drawingml/2006/main">
            <w:pict>
              <v:group id="Group 341043" style="width:4.5pt;height:4.5pt;mso-position-horizontal-relative:char;mso-position-vertical-relative:line" coordsize="571,571">
                <v:shape id="Shape 25511" style="position:absolute;width:571;height:571;left:0;top:0;" coordsize="57150,57150" path="m28575,0c32364,0,36009,595,39510,1984c43011,3373,46101,5358,48781,8136c51460,10716,53525,13891,54975,17463c56425,20836,57150,24606,57150,28575c57150,32345,56425,35917,54975,39291c53525,42863,51460,46038,48781,48617c46101,51197,43011,53380,39510,54570c36009,56356,32364,56952,28575,57150c24786,56952,21141,56356,17640,54769c14139,53380,11049,51197,8369,48617c5690,46038,3625,42863,2175,39291c725,35917,0,32345,0,28575c0,24606,725,20836,2175,17463c3625,13891,5690,10716,8369,8136c11049,5358,14139,3373,17640,1984c21141,595,24786,0,28575,0x">
                  <v:stroke weight="0pt" endcap="flat" joinstyle="miter" miterlimit="10" on="false" color="#000000" opacity="0"/>
                  <v:fill on="true" color="#333333"/>
                </v:shape>
              </v:group>
            </w:pict>
          </mc:Fallback>
        </mc:AlternateContent>
      </w:r>
      <w:r>
        <w:t xml:space="preserve"> пациентам с множественной миеломой, </w:t>
      </w:r>
      <w:r>
        <w:t>принимающим леналидомид или промалидомид (АСК или низкие дозы варфарина или НМГ).</w:t>
      </w:r>
    </w:p>
    <w:p w:rsidR="008E3F15" w:rsidRDefault="005F449A">
      <w:pPr>
        <w:spacing w:after="359"/>
        <w:ind w:left="2" w:right="262"/>
      </w:pPr>
      <w:r>
        <w:rPr>
          <w:i/>
        </w:rPr>
        <w:t>Лечение и вторичная профилактика.</w:t>
      </w:r>
      <w:r>
        <w:t xml:space="preserve"> При появлении ЛЭ или венозного тромбоза показано начальное лечение НМГ (эноксапарин натрия 1,5 мг/кг, далтепарин натрия 150 ЕД/кг), апиксаба</w:t>
      </w:r>
      <w:r>
        <w:t>ном, ривароксабаном или эдоксабаном (ASH). Прямые оральные антикоагулянты предупреждали рецидивы ВТЭ не хуже НМГ в рандомизированном исследовании CANVAS. У пациентов с высоким риском кровотечений и нерезецированным гастроинтестинальным или мочеполовым рако</w:t>
      </w:r>
      <w:r>
        <w:t>м предпочтительнее НМГ, остальным — прямые оральные антикоагулянты (Riaz I. et al., 2022; Carrier M. et al., 2021; Elbadawi A. et al., 2021).</w:t>
      </w:r>
    </w:p>
    <w:p w:rsidR="008E3F15" w:rsidRDefault="005F449A">
      <w:pPr>
        <w:pStyle w:val="Heading1"/>
        <w:spacing w:after="111"/>
        <w:ind w:left="2"/>
      </w:pPr>
      <w:r>
        <w:t>Часть II. Коморбидные болезни</w:t>
      </w:r>
    </w:p>
    <w:p w:rsidR="008E3F15" w:rsidRDefault="005F449A">
      <w:pPr>
        <w:ind w:left="2" w:right="15"/>
      </w:pPr>
      <w:r>
        <w:t>НМГ можно использовать при уровне тромбоцитов &gt;50×10</w:t>
      </w:r>
      <w:r>
        <w:rPr>
          <w:sz w:val="31"/>
          <w:vertAlign w:val="superscript"/>
        </w:rPr>
        <w:t>9</w:t>
      </w:r>
      <w:r>
        <w:t>/л, а в случае уровня 25–50×10</w:t>
      </w:r>
      <w:r>
        <w:rPr>
          <w:sz w:val="31"/>
          <w:vertAlign w:val="superscript"/>
        </w:rPr>
        <w:t>9</w:t>
      </w:r>
      <w:r>
        <w:t>/ л дозу гепарина нужно снизить наполовину.</w:t>
      </w:r>
    </w:p>
    <w:p w:rsidR="008E3F15" w:rsidRDefault="005F449A">
      <w:pPr>
        <w:ind w:left="2" w:right="15"/>
      </w:pPr>
      <w:r>
        <w:t>Курс лечения антикоагулянтами обычно продолжается до 3–6 мес, а у пациентов с активным раком и другими факторами риска предпочтительнее прием антикоагулянтов</w:t>
      </w:r>
    </w:p>
    <w:p w:rsidR="008E3F15" w:rsidRDefault="005F449A">
      <w:pPr>
        <w:ind w:left="2" w:right="15"/>
      </w:pPr>
      <w:r>
        <w:t xml:space="preserve">в течение &gt;6 мес. Систематический анализ показал, что </w:t>
      </w:r>
      <w:r>
        <w:t>в период 6–12 мес частота повторных ВТЭ составляет 1–12%, а кровотечений — 3–5% (Moik F. et al., 2022).</w:t>
      </w:r>
    </w:p>
    <w:p w:rsidR="008E3F15" w:rsidRDefault="005F449A">
      <w:pPr>
        <w:ind w:left="2" w:right="15"/>
      </w:pPr>
      <w:r>
        <w:t>Если предполагается связь тромбоэмболии с венозным катетером, последний можно оставить на фоне антикоагулянтной терапии.</w:t>
      </w:r>
    </w:p>
    <w:p w:rsidR="008E3F15" w:rsidRDefault="005F449A">
      <w:pPr>
        <w:ind w:left="2" w:right="15"/>
      </w:pPr>
      <w:r>
        <w:t>Следует тщательно оценить риски</w:t>
      </w:r>
      <w:r>
        <w:t xml:space="preserve"> кровотечения при планировании тромболизиса (например, метастазы головного мозга).</w:t>
      </w:r>
    </w:p>
    <w:p w:rsidR="008E3F15" w:rsidRDefault="005F449A">
      <w:pPr>
        <w:ind w:left="2" w:right="15"/>
      </w:pPr>
      <w:r>
        <w:rPr>
          <w:b/>
        </w:rPr>
        <w:t>Артериальная гипертензия.</w:t>
      </w:r>
      <w:r>
        <w:t xml:space="preserve"> Связи между артериальной гипертензией и раком двунаправленные, во многом основанные на общих факторах риска (неоптимальная диета, курение, алкоголь</w:t>
      </w:r>
      <w:r>
        <w:t>, ожирение, гиподинамия). Гипертензия, ассоциированная с химиотерапией, увеличивает сердечно-сосудистую смертность и часто обратима после прекращения приема противораковых препаратов.</w:t>
      </w:r>
    </w:p>
    <w:p w:rsidR="008E3F15" w:rsidRDefault="005F449A">
      <w:pPr>
        <w:ind w:left="2" w:right="209"/>
      </w:pPr>
      <w:r>
        <w:t>Ряд противораковых препаратов, угнетающих ангиогенез через подавление фа</w:t>
      </w:r>
      <w:r>
        <w:t>ктора роста эндотелия сосудов (моноклональные антитела, ингибиторы тирозин-киназы, рецепторыловушки, антагонисты рецептора 2), а также ингибиторы протеасом способны повышать АД. Например, препарат бевацизумаб, состоящий из моноклональных антител против фак</w:t>
      </w:r>
      <w:r>
        <w:t>тора роста эндотелия сосудов, повышает АД у 26–55% пациенток с раком шейки матки или яичника, чаще в первые циклы лечения (Plummer C. et al., 2019).</w:t>
      </w:r>
    </w:p>
    <w:p w:rsidR="008E3F15" w:rsidRDefault="005F449A">
      <w:pPr>
        <w:ind w:left="2" w:right="15"/>
      </w:pPr>
      <w:r>
        <w:t>Кроме того, повышают АД глюкокортикоиды, НПВП, стресс, боль и другие ассоциированные факторы.</w:t>
      </w:r>
    </w:p>
    <w:p w:rsidR="008E3F15" w:rsidRDefault="005F449A">
      <w:pPr>
        <w:ind w:left="2" w:right="15"/>
      </w:pPr>
      <w:r>
        <w:t xml:space="preserve">Артериальная </w:t>
      </w:r>
      <w:r>
        <w:t>гипертензия также способствует развитию СН при лечении кардиотоксичными препаратами.</w:t>
      </w:r>
    </w:p>
    <w:p w:rsidR="008E3F15" w:rsidRDefault="005F449A">
      <w:pPr>
        <w:ind w:left="2" w:right="15"/>
      </w:pPr>
      <w:r>
        <w:t>У пациентов с имеющейся артериальной гипертензией рекомендуют до начала химиотерапии потенциально гипертензивными препаратами снизить АД. При неконтролируемой артериальной</w:t>
      </w:r>
      <w:r>
        <w:t xml:space="preserve"> гипертензии (≥180/110 мм рт. ст.) начинать химиотерапию не рекомендуется (ESH).</w:t>
      </w:r>
    </w:p>
    <w:p w:rsidR="008E3F15" w:rsidRDefault="005F449A">
      <w:pPr>
        <w:spacing w:after="359"/>
        <w:ind w:left="2" w:right="716"/>
      </w:pPr>
      <w:r>
        <w:t>Для терапии артериальной гипертензии рекомендуют использовать ингибиторы ренинангиотензин-альдостероновой системы и дигидропиридины. При АД ≥160/100 мм рт.ст. с целью ускорения эффекта показана комбинация иАПФ/БРА и дигидропиридинов. В ряде ситуаций следуе</w:t>
      </w:r>
      <w:r>
        <w:t>т учитывать, что диуретики обладают фотосенсибилизирующим действием.</w:t>
      </w:r>
    </w:p>
    <w:p w:rsidR="008E3F15" w:rsidRDefault="005F449A">
      <w:pPr>
        <w:pStyle w:val="Heading1"/>
        <w:ind w:left="2"/>
      </w:pPr>
      <w:r>
        <w:t>Приложение</w:t>
      </w:r>
    </w:p>
    <w:p w:rsidR="008E3F15" w:rsidRDefault="005F449A">
      <w:pPr>
        <w:pStyle w:val="Heading2"/>
        <w:spacing w:after="0"/>
        <w:ind w:left="2"/>
      </w:pPr>
      <w:r>
        <w:t>Общий анализ крови</w:t>
      </w:r>
    </w:p>
    <w:tbl>
      <w:tblPr>
        <w:tblStyle w:val="TableGrid"/>
        <w:tblW w:w="7560" w:type="dxa"/>
        <w:tblInd w:w="30" w:type="dxa"/>
        <w:tblCellMar>
          <w:top w:w="80" w:type="dxa"/>
          <w:left w:w="45" w:type="dxa"/>
          <w:bottom w:w="15" w:type="dxa"/>
          <w:right w:w="39" w:type="dxa"/>
        </w:tblCellMar>
        <w:tblLook w:val="04A0" w:firstRow="1" w:lastRow="0" w:firstColumn="1" w:lastColumn="0" w:noHBand="0" w:noVBand="1"/>
      </w:tblPr>
      <w:tblGrid>
        <w:gridCol w:w="5580"/>
        <w:gridCol w:w="1980"/>
      </w:tblGrid>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Показатель</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Норма</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Базофилы</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0–2%</w:t>
            </w:r>
          </w:p>
        </w:tc>
      </w:tr>
      <w:tr w:rsidR="008E3F15">
        <w:trPr>
          <w:trHeight w:val="570"/>
        </w:trPr>
        <w:tc>
          <w:tcPr>
            <w:tcW w:w="5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Гемоглобин</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127" w:firstLine="0"/>
            </w:pPr>
            <w:r>
              <w:t>М 133–162 г/л Ж 120–158 г/л</w:t>
            </w:r>
          </w:p>
        </w:tc>
      </w:tr>
      <w:tr w:rsidR="008E3F15">
        <w:trPr>
          <w:trHeight w:val="570"/>
        </w:trPr>
        <w:tc>
          <w:tcPr>
            <w:tcW w:w="5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Гематокрит</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567" w:firstLine="0"/>
            </w:pPr>
            <w:r>
              <w:t>М 39–46% Ж 35–44%</w:t>
            </w:r>
          </w:p>
        </w:tc>
      </w:tr>
      <w:tr w:rsidR="008E3F15">
        <w:trPr>
          <w:trHeight w:val="39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Лейкоциты</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3,5–9,1×10</w:t>
            </w:r>
            <w:r>
              <w:rPr>
                <w:sz w:val="31"/>
                <w:vertAlign w:val="superscript"/>
              </w:rPr>
              <w:t>9</w:t>
            </w:r>
            <w:r>
              <w:t>/л</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Лимфоциты</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20–50%</w:t>
            </w:r>
          </w:p>
        </w:tc>
      </w:tr>
      <w:tr w:rsidR="008E3F15">
        <w:trPr>
          <w:trHeight w:val="39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Лимфоцит абс.</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0,7–4,5×10</w:t>
            </w:r>
            <w:r>
              <w:rPr>
                <w:sz w:val="31"/>
                <w:vertAlign w:val="superscript"/>
              </w:rPr>
              <w:t>9</w:t>
            </w:r>
            <w:r>
              <w:t>/л</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Моноциты</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4–8%</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Нейтрофилы (сегменты)</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40–70%</w:t>
            </w:r>
          </w:p>
        </w:tc>
      </w:tr>
      <w:tr w:rsidR="008E3F15">
        <w:trPr>
          <w:trHeight w:val="405"/>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Нейтрофилы (сегменты) абс.</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1,4–6,3×10</w:t>
            </w:r>
            <w:r>
              <w:rPr>
                <w:sz w:val="31"/>
                <w:vertAlign w:val="superscript"/>
              </w:rPr>
              <w:t>9</w:t>
            </w:r>
            <w:r>
              <w:t>/л</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Нейтрофилы (палочки)</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0–5%</w:t>
            </w:r>
          </w:p>
        </w:tc>
      </w:tr>
      <w:tr w:rsidR="008E3F15">
        <w:trPr>
          <w:trHeight w:val="39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Нейтрофилы (палочки) абс.</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0–0,45×10</w:t>
            </w:r>
            <w:r>
              <w:rPr>
                <w:sz w:val="31"/>
                <w:vertAlign w:val="superscript"/>
              </w:rPr>
              <w:t>9</w:t>
            </w:r>
            <w:r>
              <w:t>/л</w:t>
            </w:r>
          </w:p>
        </w:tc>
      </w:tr>
      <w:tr w:rsidR="008E3F15">
        <w:trPr>
          <w:trHeight w:val="330"/>
        </w:trPr>
        <w:tc>
          <w:tcPr>
            <w:tcW w:w="5580" w:type="dxa"/>
            <w:vMerge w:val="restart"/>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Скорость оседания эритроцитов</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М 0–15 мм/ч</w:t>
            </w:r>
          </w:p>
        </w:tc>
      </w:tr>
      <w:tr w:rsidR="008E3F15">
        <w:trPr>
          <w:trHeight w:val="330"/>
        </w:trPr>
        <w:tc>
          <w:tcPr>
            <w:tcW w:w="0" w:type="auto"/>
            <w:vMerge/>
            <w:tcBorders>
              <w:top w:val="nil"/>
              <w:left w:val="double" w:sz="6" w:space="0" w:color="000000"/>
              <w:bottom w:val="double" w:sz="6" w:space="0" w:color="000000"/>
              <w:right w:val="double" w:sz="6" w:space="0" w:color="000000"/>
            </w:tcBorders>
          </w:tcPr>
          <w:p w:rsidR="008E3F15" w:rsidRDefault="008E3F15">
            <w:pPr>
              <w:spacing w:after="160" w:line="259" w:lineRule="auto"/>
              <w:ind w:left="0" w:right="0" w:firstLine="0"/>
            </w:pP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Ж 0–20 мм/ч</w:t>
            </w:r>
          </w:p>
        </w:tc>
      </w:tr>
      <w:tr w:rsidR="008E3F15">
        <w:trPr>
          <w:trHeight w:val="39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Тромбоциты</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165–415×10</w:t>
            </w:r>
            <w:r>
              <w:rPr>
                <w:sz w:val="31"/>
                <w:vertAlign w:val="superscript"/>
              </w:rPr>
              <w:t>9</w:t>
            </w:r>
            <w:r>
              <w:t>/л</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Эозинофилы</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0–6%</w:t>
            </w:r>
          </w:p>
        </w:tc>
      </w:tr>
      <w:tr w:rsidR="008E3F15">
        <w:trPr>
          <w:trHeight w:val="405"/>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Эозинофилы абс.</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0,0–0,5×10</w:t>
            </w:r>
            <w:r>
              <w:rPr>
                <w:sz w:val="31"/>
                <w:vertAlign w:val="superscript"/>
              </w:rPr>
              <w:t>9</w:t>
            </w:r>
            <w:r>
              <w:t>/л</w:t>
            </w:r>
          </w:p>
        </w:tc>
      </w:tr>
      <w:tr w:rsidR="008E3F15">
        <w:trPr>
          <w:trHeight w:val="690"/>
        </w:trPr>
        <w:tc>
          <w:tcPr>
            <w:tcW w:w="558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0" w:right="0" w:firstLine="0"/>
            </w:pPr>
            <w:r>
              <w:t>Эритроциты</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jc w:val="both"/>
            </w:pPr>
            <w:r>
              <w:t>М 4,3–5,6×10</w:t>
            </w:r>
            <w:r>
              <w:rPr>
                <w:sz w:val="31"/>
                <w:vertAlign w:val="superscript"/>
              </w:rPr>
              <w:t>12</w:t>
            </w:r>
            <w:r>
              <w:t>/л</w:t>
            </w:r>
          </w:p>
          <w:p w:rsidR="008E3F15" w:rsidRDefault="005F449A">
            <w:pPr>
              <w:spacing w:after="0" w:line="259" w:lineRule="auto"/>
              <w:ind w:left="6" w:right="0" w:firstLine="0"/>
              <w:jc w:val="both"/>
            </w:pPr>
            <w:r>
              <w:t>Ж 4,0–5,2×10</w:t>
            </w:r>
            <w:r>
              <w:rPr>
                <w:sz w:val="31"/>
                <w:vertAlign w:val="superscript"/>
              </w:rPr>
              <w:t>12</w:t>
            </w:r>
            <w:r>
              <w:t>/л</w:t>
            </w:r>
          </w:p>
        </w:tc>
      </w:tr>
      <w:tr w:rsidR="008E3F15">
        <w:trPr>
          <w:trHeight w:val="405"/>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Эритроциты: средний объем</w:t>
            </w:r>
          </w:p>
        </w:tc>
        <w:tc>
          <w:tcPr>
            <w:tcW w:w="198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6" w:right="0" w:firstLine="0"/>
            </w:pPr>
            <w:r>
              <w:t>79–93 мкм</w:t>
            </w:r>
            <w:r>
              <w:rPr>
                <w:sz w:val="31"/>
                <w:vertAlign w:val="superscript"/>
              </w:rPr>
              <w:t>3</w:t>
            </w:r>
          </w:p>
        </w:tc>
      </w:tr>
      <w:tr w:rsidR="008E3F15">
        <w:trPr>
          <w:trHeight w:val="330"/>
        </w:trPr>
        <w:tc>
          <w:tcPr>
            <w:tcW w:w="55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Эритроциты: коэффициент вариации</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&lt;15%</w:t>
            </w:r>
          </w:p>
        </w:tc>
      </w:tr>
      <w:tr w:rsidR="008E3F15">
        <w:trPr>
          <w:trHeight w:val="330"/>
        </w:trPr>
        <w:tc>
          <w:tcPr>
            <w:tcW w:w="558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Эритроциты: среднее содержание гемоглобина</w:t>
            </w:r>
          </w:p>
        </w:tc>
        <w:tc>
          <w:tcPr>
            <w:tcW w:w="198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27–32 пг</w:t>
            </w:r>
          </w:p>
        </w:tc>
      </w:tr>
      <w:tr w:rsidR="008E3F15">
        <w:trPr>
          <w:trHeight w:val="330"/>
        </w:trPr>
        <w:tc>
          <w:tcPr>
            <w:tcW w:w="558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Эритроциты: средняя концентрация гемоглобина</w:t>
            </w:r>
          </w:p>
        </w:tc>
        <w:tc>
          <w:tcPr>
            <w:tcW w:w="198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6" w:right="0" w:firstLine="0"/>
            </w:pPr>
            <w:r>
              <w:t>32–36 г%</w:t>
            </w:r>
          </w:p>
        </w:tc>
      </w:tr>
    </w:tbl>
    <w:p w:rsidR="008E3F15" w:rsidRDefault="005F449A">
      <w:pPr>
        <w:spacing w:after="31"/>
        <w:ind w:left="2" w:right="15"/>
      </w:pPr>
      <w:r>
        <w:rPr>
          <w:i/>
        </w:rPr>
        <w:t>Источник.</w:t>
      </w:r>
      <w:r>
        <w:t xml:space="preserve"> Harrison’s Principles of Internal Medicine. 21th edition. Vol. 1–2. 2022.</w:t>
      </w:r>
    </w:p>
    <w:p w:rsidR="008E3F15" w:rsidRDefault="005F449A">
      <w:pPr>
        <w:pStyle w:val="Heading2"/>
        <w:spacing w:after="0"/>
        <w:ind w:left="2"/>
      </w:pPr>
      <w:r>
        <w:t>Биохимический анализ крови</w:t>
      </w:r>
    </w:p>
    <w:tbl>
      <w:tblPr>
        <w:tblStyle w:val="TableGrid"/>
        <w:tblW w:w="8010" w:type="dxa"/>
        <w:tblInd w:w="30" w:type="dxa"/>
        <w:tblCellMar>
          <w:top w:w="72" w:type="dxa"/>
          <w:left w:w="39" w:type="dxa"/>
          <w:bottom w:w="0" w:type="dxa"/>
          <w:right w:w="50" w:type="dxa"/>
        </w:tblCellMar>
        <w:tblLook w:val="04A0" w:firstRow="1" w:lastRow="0" w:firstColumn="1" w:lastColumn="0" w:noHBand="0" w:noVBand="1"/>
      </w:tblPr>
      <w:tblGrid>
        <w:gridCol w:w="5910"/>
        <w:gridCol w:w="2100"/>
      </w:tblGrid>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Показатель</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Норма</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Азот мочевины</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2,5–7,1 ммоль/л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Альфа-фетопротеин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&lt;8,5 мкг/л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Альфа1-антитрипсин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20–55 ммоль/л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Билирубин общий</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≤22 мкмоль/л</w:t>
            </w:r>
          </w:p>
        </w:tc>
      </w:tr>
      <w:tr w:rsidR="008E3F15">
        <w:trPr>
          <w:trHeight w:val="308"/>
        </w:trPr>
        <w:tc>
          <w:tcPr>
            <w:tcW w:w="59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Билирубин прямой</w:t>
            </w:r>
          </w:p>
        </w:tc>
        <w:tc>
          <w:tcPr>
            <w:tcW w:w="21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≤6,8 мкмоль/л</w:t>
            </w:r>
          </w:p>
        </w:tc>
      </w:tr>
      <w:tr w:rsidR="008E3F15">
        <w:trPr>
          <w:trHeight w:val="293"/>
        </w:trPr>
        <w:tc>
          <w:tcPr>
            <w:tcW w:w="8010"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68"/>
        </w:trPr>
        <w:tc>
          <w:tcPr>
            <w:tcW w:w="59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Витамин В</w:t>
            </w:r>
            <w:r>
              <w:rPr>
                <w:sz w:val="31"/>
                <w:vertAlign w:val="subscript"/>
              </w:rPr>
              <w:t>12</w:t>
            </w:r>
          </w:p>
        </w:tc>
        <w:tc>
          <w:tcPr>
            <w:tcW w:w="21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206–735 пг/л</w:t>
            </w:r>
          </w:p>
        </w:tc>
      </w:tr>
      <w:tr w:rsidR="008E3F15">
        <w:trPr>
          <w:trHeight w:val="570"/>
        </w:trPr>
        <w:tc>
          <w:tcPr>
            <w:tcW w:w="59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Креатинин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 ≤106 мкмоль/л Ж ≤80 мкмоль/л</w:t>
            </w:r>
          </w:p>
        </w:tc>
      </w:tr>
      <w:tr w:rsidR="008E3F15">
        <w:trPr>
          <w:trHeight w:val="570"/>
        </w:trPr>
        <w:tc>
          <w:tcPr>
            <w:tcW w:w="59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Мочевая кислота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 ≤410 мкмоль/л Ж ≤330 мкмоль/л</w:t>
            </w:r>
          </w:p>
        </w:tc>
      </w:tr>
      <w:tr w:rsidR="008E3F15">
        <w:trPr>
          <w:trHeight w:val="330"/>
        </w:trPr>
        <w:tc>
          <w:tcPr>
            <w:tcW w:w="59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6" w:right="0" w:firstLine="0"/>
            </w:pPr>
            <w:r>
              <w:t>Простатический специфический антиген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 мкг/л</w:t>
            </w:r>
          </w:p>
        </w:tc>
      </w:tr>
      <w:tr w:rsidR="008E3F15">
        <w:trPr>
          <w:trHeight w:val="330"/>
        </w:trPr>
        <w:tc>
          <w:tcPr>
            <w:tcW w:w="5910" w:type="dxa"/>
            <w:tcBorders>
              <w:top w:val="single" w:sz="6" w:space="0" w:color="000000"/>
              <w:left w:val="single" w:sz="6" w:space="0" w:color="000000"/>
              <w:bottom w:val="single" w:sz="6" w:space="0" w:color="000000"/>
              <w:right w:val="nil"/>
            </w:tcBorders>
          </w:tcPr>
          <w:p w:rsidR="008E3F15" w:rsidRDefault="005F449A">
            <w:pPr>
              <w:spacing w:after="0" w:line="259" w:lineRule="auto"/>
              <w:ind w:left="6" w:right="0" w:firstLine="0"/>
              <w:jc w:val="both"/>
            </w:pPr>
            <w:r>
              <w:rPr>
                <w:bdr w:val="single" w:sz="12" w:space="0" w:color="000000"/>
              </w:rPr>
              <w:t>Простатический специфический антиген свободный</w:t>
            </w:r>
          </w:p>
        </w:tc>
        <w:tc>
          <w:tcPr>
            <w:tcW w:w="210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&gt;25%</w:t>
            </w:r>
          </w:p>
        </w:tc>
      </w:tr>
      <w:tr w:rsidR="008E3F15">
        <w:trPr>
          <w:trHeight w:val="330"/>
        </w:trPr>
        <w:tc>
          <w:tcPr>
            <w:tcW w:w="59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Прокальцитонин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&lt;0,1 мкг/л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Ревматоидный фактор</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&lt;15 Ед/мл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Тропонин Т</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0–14 нг/л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Цистатин С</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0,5–1,0 мг/л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С-реактивный белок</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&lt;10 мг/л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NT-proBNP</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&lt;125 нг/л</w:t>
            </w:r>
          </w:p>
        </w:tc>
      </w:tr>
      <w:tr w:rsidR="008E3F15">
        <w:trPr>
          <w:trHeight w:val="330"/>
        </w:trPr>
        <w:tc>
          <w:tcPr>
            <w:tcW w:w="80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Минералы</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Железо</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7–25 мкмоль/л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Железосвязывающая способность</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45–73 мкмоль/л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Калий</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3,5–5,0 ммоль/л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Кальций</w:t>
            </w:r>
          </w:p>
        </w:tc>
        <w:tc>
          <w:tcPr>
            <w:tcW w:w="210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2,2–2,6 ммоль/л</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t>Магний</w:t>
            </w:r>
          </w:p>
        </w:tc>
        <w:tc>
          <w:tcPr>
            <w:tcW w:w="2100"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0,62–0,95 ммоль/л</w:t>
            </w:r>
          </w:p>
          <w:p w:rsidR="008E3F15" w:rsidRDefault="005F449A">
            <w:pPr>
              <w:spacing w:after="0" w:line="259" w:lineRule="auto"/>
              <w:ind w:left="0" w:right="0" w:firstLine="0"/>
            </w:pPr>
            <w:r>
              <w:rPr>
                <w:bdr w:val="single" w:sz="12" w:space="0" w:color="000000"/>
              </w:rPr>
              <w:t>135–145 ммоль/л</w:t>
            </w:r>
          </w:p>
        </w:tc>
      </w:tr>
      <w:tr w:rsidR="008E3F15">
        <w:trPr>
          <w:trHeight w:val="330"/>
        </w:trPr>
        <w:tc>
          <w:tcPr>
            <w:tcW w:w="59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6" w:right="0" w:firstLine="0"/>
            </w:pPr>
            <w:r>
              <w:t>Натрий</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Насыщение трансферрином</w:t>
            </w:r>
          </w:p>
        </w:tc>
        <w:tc>
          <w:tcPr>
            <w:tcW w:w="210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20–45%</w:t>
            </w:r>
          </w:p>
        </w:tc>
      </w:tr>
      <w:tr w:rsidR="008E3F15">
        <w:trPr>
          <w:trHeight w:val="570"/>
        </w:trPr>
        <w:tc>
          <w:tcPr>
            <w:tcW w:w="59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Ферритин</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90" w:firstLine="0"/>
            </w:pPr>
            <w:r>
              <w:t>М 29–248 мкг/л Ж 10–150 мкг/л</w:t>
            </w:r>
          </w:p>
        </w:tc>
      </w:tr>
      <w:tr w:rsidR="008E3F15">
        <w:trPr>
          <w:trHeight w:val="330"/>
        </w:trPr>
        <w:tc>
          <w:tcPr>
            <w:tcW w:w="80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Фракции белков</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Альбумины</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50–60%</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Глобулины α1</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4,2–7,2%</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Глобулины α2</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6,8–12%</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Глобулины β</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9,3–15%</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Глобулины γ</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13–23%</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Общий белок</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67–86 г/л</w:t>
            </w:r>
          </w:p>
        </w:tc>
      </w:tr>
      <w:tr w:rsidR="008E3F15">
        <w:trPr>
          <w:trHeight w:val="330"/>
        </w:trPr>
        <w:tc>
          <w:tcPr>
            <w:tcW w:w="80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Липидограмма</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Триглицериды</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&lt;1,7 ммоль/л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Холестерин общий</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≤5,0 ммоль/л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Холестерин липопротеинов низкой плотности</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 ммоль/л</w:t>
            </w:r>
          </w:p>
        </w:tc>
      </w:tr>
      <w:tr w:rsidR="008E3F15">
        <w:trPr>
          <w:trHeight w:val="570"/>
        </w:trPr>
        <w:tc>
          <w:tcPr>
            <w:tcW w:w="59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Холестерин липопротеинов высокой плотности</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36" w:firstLine="0"/>
            </w:pPr>
            <w:r>
              <w:t>М &gt;1,0 ммоль/л Ж &gt;1,2 ммоль/л</w:t>
            </w:r>
          </w:p>
        </w:tc>
      </w:tr>
      <w:tr w:rsidR="008E3F15">
        <w:trPr>
          <w:trHeight w:val="330"/>
        </w:trPr>
        <w:tc>
          <w:tcPr>
            <w:tcW w:w="8010"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rPr>
                <w:b/>
              </w:rPr>
              <w:t>Ферменты</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Аланинаминотрансфераза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≤41 Ед/л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Амилаза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≤96 Ед/л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Аспартатаминотрансфераза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≤38 Ед/л</w:t>
            </w:r>
          </w:p>
        </w:tc>
      </w:tr>
      <w:tr w:rsidR="008E3F15">
        <w:trPr>
          <w:trHeight w:val="570"/>
        </w:trPr>
        <w:tc>
          <w:tcPr>
            <w:tcW w:w="5910" w:type="dxa"/>
            <w:tcBorders>
              <w:top w:val="double" w:sz="6" w:space="0" w:color="000000"/>
              <w:left w:val="double" w:sz="6" w:space="0" w:color="000000"/>
              <w:bottom w:val="double" w:sz="6" w:space="0" w:color="000000"/>
              <w:right w:val="double" w:sz="6" w:space="0" w:color="000000"/>
            </w:tcBorders>
            <w:vAlign w:val="center"/>
          </w:tcPr>
          <w:p w:rsidR="008E3F15" w:rsidRDefault="005F449A">
            <w:pPr>
              <w:spacing w:after="0" w:line="259" w:lineRule="auto"/>
              <w:ind w:left="6" w:right="0" w:firstLine="0"/>
            </w:pPr>
            <w:r>
              <w:t>Креатинкиназа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431" w:firstLine="0"/>
            </w:pPr>
            <w:r>
              <w:t>М &lt;294 Ед/л Ж &lt;238 Ед/л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Креатинкиназа МВ</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≤16 Ед/л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γ-Глутамилтрансфераза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&lt;58 Ед/л</w:t>
            </w:r>
          </w:p>
        </w:tc>
      </w:tr>
      <w:tr w:rsidR="008E3F15">
        <w:trPr>
          <w:trHeight w:val="330"/>
        </w:trPr>
        <w:tc>
          <w:tcPr>
            <w:tcW w:w="59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Щелочная фосфатаза</w:t>
            </w:r>
          </w:p>
        </w:tc>
        <w:tc>
          <w:tcPr>
            <w:tcW w:w="210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&lt;96 Ед/л</w:t>
            </w:r>
          </w:p>
        </w:tc>
      </w:tr>
    </w:tbl>
    <w:p w:rsidR="008E3F15" w:rsidRDefault="005F449A">
      <w:pPr>
        <w:spacing w:after="31"/>
        <w:ind w:left="2" w:right="1267"/>
      </w:pPr>
      <w:r>
        <w:rPr>
          <w:i/>
        </w:rPr>
        <w:t xml:space="preserve">Источник. </w:t>
      </w:r>
      <w:r>
        <w:t xml:space="preserve">Harrison’s Principles of Internal Medicine. 21th edition. Vol. 1–2. 2022. </w:t>
      </w:r>
      <w:r>
        <w:rPr>
          <w:b/>
        </w:rPr>
        <w:t>Тесты эндокринной системы</w:t>
      </w:r>
    </w:p>
    <w:tbl>
      <w:tblPr>
        <w:tblStyle w:val="TableGrid"/>
        <w:tblW w:w="5355" w:type="dxa"/>
        <w:tblInd w:w="30" w:type="dxa"/>
        <w:tblCellMar>
          <w:top w:w="80" w:type="dxa"/>
          <w:left w:w="45" w:type="dxa"/>
          <w:bottom w:w="0" w:type="dxa"/>
          <w:right w:w="41" w:type="dxa"/>
        </w:tblCellMar>
        <w:tblLook w:val="04A0" w:firstRow="1" w:lastRow="0" w:firstColumn="1" w:lastColumn="0" w:noHBand="0" w:noVBand="1"/>
      </w:tblPr>
      <w:tblGrid>
        <w:gridCol w:w="3390"/>
        <w:gridCol w:w="1965"/>
      </w:tblGrid>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Показатель</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rPr>
                <w:b/>
              </w:rPr>
              <w:t>Норма</w:t>
            </w:r>
          </w:p>
        </w:tc>
      </w:tr>
      <w:tr w:rsidR="008E3F15">
        <w:trPr>
          <w:trHeight w:val="308"/>
        </w:trPr>
        <w:tc>
          <w:tcPr>
            <w:tcW w:w="3390" w:type="dxa"/>
            <w:tcBorders>
              <w:top w:val="double" w:sz="6" w:space="0" w:color="000000"/>
              <w:left w:val="double" w:sz="6" w:space="0" w:color="000000"/>
              <w:bottom w:val="single" w:sz="6" w:space="0" w:color="000000"/>
              <w:right w:val="nil"/>
            </w:tcBorders>
          </w:tcPr>
          <w:p w:rsidR="008E3F15" w:rsidRDefault="005F449A">
            <w:pPr>
              <w:spacing w:after="0" w:line="259" w:lineRule="auto"/>
              <w:ind w:left="0" w:right="0" w:firstLine="0"/>
            </w:pPr>
            <w:r>
              <w:rPr>
                <w:b/>
              </w:rPr>
              <w:t>Кровь</w:t>
            </w:r>
          </w:p>
        </w:tc>
        <w:tc>
          <w:tcPr>
            <w:tcW w:w="1965" w:type="dxa"/>
            <w:tcBorders>
              <w:top w:val="double" w:sz="6" w:space="0" w:color="000000"/>
              <w:left w:val="nil"/>
              <w:bottom w:val="single" w:sz="6" w:space="0" w:color="000000"/>
              <w:right w:val="double" w:sz="6" w:space="0" w:color="000000"/>
            </w:tcBorders>
          </w:tcPr>
          <w:p w:rsidR="008E3F15" w:rsidRDefault="008E3F15">
            <w:pPr>
              <w:spacing w:after="160" w:line="259" w:lineRule="auto"/>
              <w:ind w:left="0" w:right="0" w:firstLine="0"/>
            </w:pPr>
          </w:p>
        </w:tc>
      </w:tr>
      <w:tr w:rsidR="008E3F15">
        <w:trPr>
          <w:trHeight w:val="83"/>
        </w:trPr>
        <w:tc>
          <w:tcPr>
            <w:tcW w:w="5355" w:type="dxa"/>
            <w:gridSpan w:val="2"/>
            <w:tcBorders>
              <w:top w:val="single" w:sz="6" w:space="0" w:color="000000"/>
              <w:left w:val="single" w:sz="6" w:space="0" w:color="000000"/>
              <w:bottom w:val="nil"/>
              <w:right w:val="single" w:sz="6" w:space="0" w:color="000000"/>
            </w:tcBorders>
          </w:tcPr>
          <w:p w:rsidR="008E3F15" w:rsidRDefault="008E3F15">
            <w:pPr>
              <w:spacing w:after="160" w:line="259" w:lineRule="auto"/>
              <w:ind w:left="0" w:right="0" w:firstLine="0"/>
            </w:pPr>
          </w:p>
        </w:tc>
      </w:tr>
      <w:tr w:rsidR="008E3F15">
        <w:trPr>
          <w:trHeight w:val="368"/>
        </w:trPr>
        <w:tc>
          <w:tcPr>
            <w:tcW w:w="3390" w:type="dxa"/>
            <w:tcBorders>
              <w:top w:val="sing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Глюкоза</w:t>
            </w:r>
          </w:p>
        </w:tc>
        <w:tc>
          <w:tcPr>
            <w:tcW w:w="1965" w:type="dxa"/>
            <w:tcBorders>
              <w:top w:val="nil"/>
              <w:left w:val="single" w:sz="6" w:space="0" w:color="000000"/>
              <w:bottom w:val="single" w:sz="6" w:space="0" w:color="000000"/>
              <w:right w:val="single" w:sz="6" w:space="0" w:color="000000"/>
            </w:tcBorders>
            <w:vAlign w:val="bottom"/>
          </w:tcPr>
          <w:p w:rsidR="008E3F15" w:rsidRDefault="005F449A">
            <w:pPr>
              <w:spacing w:after="0" w:line="259" w:lineRule="auto"/>
              <w:ind w:left="2" w:right="0" w:firstLine="0"/>
              <w:jc w:val="both"/>
            </w:pPr>
            <w:r>
              <w:rPr>
                <w:bdr w:val="single" w:sz="12" w:space="0" w:color="000000"/>
              </w:rPr>
              <w:t>4,2–5,6 ммоль/л</w:t>
            </w:r>
            <w:r>
              <w:rPr>
                <w:sz w:val="31"/>
                <w:bdr w:val="single" w:sz="12" w:space="0" w:color="000000"/>
                <w:vertAlign w:val="superscript"/>
              </w:rPr>
              <w:t>1</w:t>
            </w:r>
          </w:p>
        </w:tc>
      </w:tr>
      <w:tr w:rsidR="008E3F15">
        <w:trPr>
          <w:trHeight w:val="405"/>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HbA</w:t>
            </w:r>
            <w:r>
              <w:rPr>
                <w:sz w:val="31"/>
                <w:vertAlign w:val="subscript"/>
              </w:rPr>
              <w:t>1</w:t>
            </w:r>
            <w:r>
              <w:rPr>
                <w:sz w:val="20"/>
              </w:rPr>
              <w:t>c</w:t>
            </w:r>
          </w:p>
        </w:tc>
        <w:tc>
          <w:tcPr>
            <w:tcW w:w="1965" w:type="dxa"/>
            <w:tcBorders>
              <w:top w:val="single" w:sz="6" w:space="0" w:color="000000"/>
              <w:left w:val="double" w:sz="6" w:space="0" w:color="000000"/>
              <w:bottom w:val="single" w:sz="6" w:space="0" w:color="000000"/>
              <w:right w:val="double" w:sz="6" w:space="0" w:color="000000"/>
            </w:tcBorders>
            <w:vAlign w:val="bottom"/>
          </w:tcPr>
          <w:p w:rsidR="008E3F15" w:rsidRDefault="005F449A">
            <w:pPr>
              <w:spacing w:after="0" w:line="259" w:lineRule="auto"/>
              <w:ind w:left="2" w:right="0" w:firstLine="0"/>
            </w:pPr>
            <w:r>
              <w:t>4,0–5,6%</w:t>
            </w:r>
            <w:r>
              <w:rPr>
                <w:sz w:val="31"/>
                <w:vertAlign w:val="superscript"/>
              </w:rPr>
              <w:t>2</w:t>
            </w:r>
          </w:p>
        </w:tc>
      </w:tr>
      <w:tr w:rsidR="008E3F15">
        <w:trPr>
          <w:trHeight w:val="330"/>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Инсулин</w:t>
            </w:r>
          </w:p>
        </w:tc>
        <w:tc>
          <w:tcPr>
            <w:tcW w:w="1965"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pPr>
            <w:r>
              <w:rPr>
                <w:bdr w:val="single" w:sz="12" w:space="0" w:color="000000"/>
              </w:rPr>
              <w:t>14–144 пмоль/л</w:t>
            </w:r>
          </w:p>
          <w:p w:rsidR="008E3F15" w:rsidRDefault="005F449A">
            <w:pPr>
              <w:spacing w:after="0" w:line="259" w:lineRule="auto"/>
              <w:ind w:left="2" w:right="0" w:firstLine="0"/>
              <w:jc w:val="both"/>
            </w:pPr>
            <w:r>
              <w:rPr>
                <w:bdr w:val="single" w:sz="12" w:space="0" w:color="000000"/>
              </w:rPr>
              <w:t>138–690 нмоль/л</w:t>
            </w:r>
          </w:p>
        </w:tc>
      </w:tr>
      <w:tr w:rsidR="008E3F15">
        <w:trPr>
          <w:trHeight w:val="330"/>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Кортизол</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Метанефрин</w:t>
            </w:r>
          </w:p>
        </w:tc>
        <w:tc>
          <w:tcPr>
            <w:tcW w:w="1965"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&lt;90 нг/л</w:t>
            </w:r>
          </w:p>
        </w:tc>
      </w:tr>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Норметанефрин</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&lt;200 нг/л</w:t>
            </w:r>
          </w:p>
        </w:tc>
      </w:tr>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Паратиреоидный гормон</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8–51 нг/л</w:t>
            </w:r>
          </w:p>
        </w:tc>
      </w:tr>
      <w:tr w:rsidR="008E3F15">
        <w:trPr>
          <w:trHeight w:val="330"/>
        </w:trPr>
        <w:tc>
          <w:tcPr>
            <w:tcW w:w="339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С-пептид</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0,3–1,2 нг/мл</w:t>
            </w:r>
          </w:p>
        </w:tc>
      </w:tr>
      <w:tr w:rsidR="008E3F15">
        <w:trPr>
          <w:trHeight w:val="330"/>
        </w:trPr>
        <w:tc>
          <w:tcPr>
            <w:tcW w:w="339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Тест толерантности к глюкозе</w:t>
            </w:r>
          </w:p>
        </w:tc>
        <w:tc>
          <w:tcPr>
            <w:tcW w:w="1965"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2" w:right="0" w:firstLine="0"/>
            </w:pPr>
            <w:r>
              <w:t>&lt;7,8 ммоль/л</w:t>
            </w:r>
          </w:p>
        </w:tc>
      </w:tr>
      <w:tr w:rsidR="008E3F15">
        <w:trPr>
          <w:trHeight w:val="330"/>
        </w:trPr>
        <w:tc>
          <w:tcPr>
            <w:tcW w:w="339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ТТГ</w:t>
            </w:r>
          </w:p>
        </w:tc>
        <w:tc>
          <w:tcPr>
            <w:tcW w:w="19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0,3–4,3 мЕд/л</w:t>
            </w:r>
          </w:p>
        </w:tc>
      </w:tr>
      <w:tr w:rsidR="008E3F15">
        <w:trPr>
          <w:trHeight w:val="375"/>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Т</w:t>
            </w:r>
            <w:r>
              <w:rPr>
                <w:sz w:val="20"/>
              </w:rPr>
              <w:t>4</w:t>
            </w:r>
          </w:p>
        </w:tc>
        <w:tc>
          <w:tcPr>
            <w:tcW w:w="1965" w:type="dxa"/>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pPr>
            <w:r>
              <w:rPr>
                <w:bdr w:val="single" w:sz="12" w:space="0" w:color="000000"/>
              </w:rPr>
              <w:t>70–151 нмоль/л</w:t>
            </w:r>
          </w:p>
        </w:tc>
      </w:tr>
      <w:tr w:rsidR="008E3F15">
        <w:trPr>
          <w:trHeight w:val="39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w:t>
            </w:r>
            <w:r>
              <w:rPr>
                <w:sz w:val="31"/>
                <w:vertAlign w:val="subscript"/>
              </w:rPr>
              <w:t>4</w:t>
            </w:r>
            <w:r>
              <w:t xml:space="preserve"> свободный</w:t>
            </w:r>
          </w:p>
        </w:tc>
        <w:tc>
          <w:tcPr>
            <w:tcW w:w="1965" w:type="dxa"/>
            <w:tcBorders>
              <w:top w:val="sing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9–22 пмоль/л</w:t>
            </w:r>
          </w:p>
        </w:tc>
      </w:tr>
      <w:tr w:rsidR="008E3F15">
        <w:trPr>
          <w:trHeight w:val="375"/>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Т</w:t>
            </w:r>
            <w:r>
              <w:rPr>
                <w:sz w:val="20"/>
              </w:rPr>
              <w:t>3</w:t>
            </w:r>
          </w:p>
        </w:tc>
        <w:tc>
          <w:tcPr>
            <w:tcW w:w="1965" w:type="dxa"/>
            <w:vMerge w:val="restart"/>
            <w:tcBorders>
              <w:top w:val="single" w:sz="6" w:space="0" w:color="000000"/>
              <w:left w:val="nil"/>
              <w:bottom w:val="single" w:sz="6" w:space="0" w:color="000000"/>
              <w:right w:val="single" w:sz="6" w:space="0" w:color="000000"/>
            </w:tcBorders>
          </w:tcPr>
          <w:p w:rsidR="008E3F15" w:rsidRDefault="005F449A">
            <w:pPr>
              <w:spacing w:after="43" w:line="259" w:lineRule="auto"/>
              <w:ind w:left="2" w:right="0" w:firstLine="0"/>
            </w:pPr>
            <w:r>
              <w:rPr>
                <w:bdr w:val="single" w:sz="12" w:space="0" w:color="000000"/>
              </w:rPr>
              <w:t>1,2–2,1 нмоль/л</w:t>
            </w:r>
          </w:p>
          <w:p w:rsidR="008E3F15" w:rsidRDefault="005F449A">
            <w:pPr>
              <w:spacing w:after="0" w:line="259" w:lineRule="auto"/>
              <w:ind w:left="2" w:right="0" w:firstLine="0"/>
            </w:pPr>
            <w:r>
              <w:rPr>
                <w:bdr w:val="single" w:sz="12" w:space="0" w:color="000000"/>
              </w:rPr>
              <w:t>3,7–6,5 пмоль/л</w:t>
            </w:r>
          </w:p>
        </w:tc>
      </w:tr>
      <w:tr w:rsidR="008E3F15">
        <w:trPr>
          <w:trHeight w:val="390"/>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Т</w:t>
            </w:r>
            <w:r>
              <w:rPr>
                <w:sz w:val="31"/>
                <w:vertAlign w:val="subscript"/>
              </w:rPr>
              <w:t>3</w:t>
            </w:r>
            <w:r>
              <w:t xml:space="preserve"> свободный</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r w:rsidR="008E3F15">
        <w:trPr>
          <w:trHeight w:val="330"/>
        </w:trPr>
        <w:tc>
          <w:tcPr>
            <w:tcW w:w="5355" w:type="dxa"/>
            <w:gridSpan w:val="2"/>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Моча</w:t>
            </w:r>
          </w:p>
        </w:tc>
      </w:tr>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Альдостерон</w:t>
            </w:r>
          </w:p>
        </w:tc>
        <w:tc>
          <w:tcPr>
            <w:tcW w:w="1965"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2" w:right="0" w:firstLine="0"/>
            </w:pPr>
            <w:r>
              <w:t>6–25 мкг/сут</w:t>
            </w:r>
          </w:p>
        </w:tc>
      </w:tr>
      <w:tr w:rsidR="008E3F15">
        <w:trPr>
          <w:trHeight w:val="330"/>
        </w:trPr>
        <w:tc>
          <w:tcPr>
            <w:tcW w:w="33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Кортизол свободный</w:t>
            </w:r>
          </w:p>
        </w:tc>
        <w:tc>
          <w:tcPr>
            <w:tcW w:w="1965"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2" w:right="0" w:firstLine="0"/>
            </w:pPr>
            <w:r>
              <w:t>20–70 мкг/сут</w:t>
            </w:r>
          </w:p>
        </w:tc>
      </w:tr>
      <w:tr w:rsidR="008E3F15">
        <w:trPr>
          <w:trHeight w:val="330"/>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Метанефрин</w:t>
            </w:r>
          </w:p>
        </w:tc>
        <w:tc>
          <w:tcPr>
            <w:tcW w:w="1965" w:type="dxa"/>
            <w:vMerge w:val="restart"/>
            <w:tcBorders>
              <w:top w:val="single" w:sz="6" w:space="0" w:color="000000"/>
              <w:left w:val="nil"/>
              <w:bottom w:val="single" w:sz="6" w:space="0" w:color="000000"/>
              <w:right w:val="single" w:sz="6" w:space="0" w:color="000000"/>
            </w:tcBorders>
          </w:tcPr>
          <w:p w:rsidR="008E3F15" w:rsidRDefault="005F449A">
            <w:pPr>
              <w:spacing w:after="0" w:line="259" w:lineRule="auto"/>
              <w:ind w:left="2" w:right="0" w:firstLine="0"/>
            </w:pPr>
            <w:r>
              <w:rPr>
                <w:bdr w:val="single" w:sz="12" w:space="0" w:color="000000"/>
              </w:rPr>
              <w:t>≤350 мкмоль/л</w:t>
            </w:r>
          </w:p>
          <w:p w:rsidR="008E3F15" w:rsidRDefault="005F449A">
            <w:pPr>
              <w:spacing w:after="0" w:line="259" w:lineRule="auto"/>
              <w:ind w:left="2" w:right="0" w:firstLine="0"/>
            </w:pPr>
            <w:r>
              <w:rPr>
                <w:bdr w:val="single" w:sz="12" w:space="0" w:color="000000"/>
              </w:rPr>
              <w:t>≤650 мкмоль/л</w:t>
            </w:r>
          </w:p>
        </w:tc>
      </w:tr>
      <w:tr w:rsidR="008E3F15">
        <w:trPr>
          <w:trHeight w:val="330"/>
        </w:trPr>
        <w:tc>
          <w:tcPr>
            <w:tcW w:w="339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t>Норметанефрин</w:t>
            </w:r>
          </w:p>
        </w:tc>
        <w:tc>
          <w:tcPr>
            <w:tcW w:w="0" w:type="auto"/>
            <w:vMerge/>
            <w:tcBorders>
              <w:top w:val="nil"/>
              <w:left w:val="nil"/>
              <w:bottom w:val="single" w:sz="6" w:space="0" w:color="000000"/>
              <w:right w:val="single" w:sz="6" w:space="0" w:color="000000"/>
            </w:tcBorders>
          </w:tcPr>
          <w:p w:rsidR="008E3F15" w:rsidRDefault="008E3F15">
            <w:pPr>
              <w:spacing w:after="160" w:line="259" w:lineRule="auto"/>
              <w:ind w:left="0" w:right="0" w:firstLine="0"/>
            </w:pPr>
          </w:p>
        </w:tc>
      </w:tr>
    </w:tbl>
    <w:p w:rsidR="008E3F15" w:rsidRDefault="005F449A">
      <w:pPr>
        <w:spacing w:after="309"/>
        <w:ind w:left="2" w:right="15"/>
      </w:pPr>
      <w:r>
        <w:rPr>
          <w:i/>
        </w:rPr>
        <w:t>Источник.</w:t>
      </w:r>
      <w:r>
        <w:t xml:space="preserve"> Harrison’s Principles of Internal Medicine. 21th edition. Vol. 1–2. 2022. </w:t>
      </w:r>
      <w:r>
        <w:rPr>
          <w:sz w:val="31"/>
          <w:vertAlign w:val="superscript"/>
        </w:rPr>
        <w:t>1</w:t>
      </w:r>
      <w:r>
        <w:t xml:space="preserve"> — &lt;6,1 ммоль/ л, </w:t>
      </w:r>
      <w:r>
        <w:rPr>
          <w:sz w:val="31"/>
          <w:vertAlign w:val="superscript"/>
        </w:rPr>
        <w:t>2</w:t>
      </w:r>
      <w:r>
        <w:t xml:space="preserve"> — ≤6,0% (WHO; РАЭ).</w:t>
      </w:r>
    </w:p>
    <w:p w:rsidR="008E3F15" w:rsidRDefault="005F449A">
      <w:pPr>
        <w:pStyle w:val="Heading1"/>
        <w:ind w:left="2"/>
      </w:pPr>
      <w:r>
        <w:t>Приложение</w:t>
      </w:r>
    </w:p>
    <w:p w:rsidR="008E3F15" w:rsidRDefault="005F449A">
      <w:pPr>
        <w:pStyle w:val="Heading2"/>
        <w:spacing w:after="0"/>
        <w:ind w:left="2"/>
      </w:pPr>
      <w:r>
        <w:t>Коагулограмма</w:t>
      </w:r>
    </w:p>
    <w:tbl>
      <w:tblPr>
        <w:tblStyle w:val="TableGrid"/>
        <w:tblW w:w="7560" w:type="dxa"/>
        <w:tblInd w:w="30" w:type="dxa"/>
        <w:tblCellMar>
          <w:top w:w="80" w:type="dxa"/>
          <w:left w:w="41" w:type="dxa"/>
          <w:bottom w:w="0" w:type="dxa"/>
          <w:right w:w="49" w:type="dxa"/>
        </w:tblCellMar>
        <w:tblLook w:val="04A0" w:firstRow="1" w:lastRow="0" w:firstColumn="1" w:lastColumn="0" w:noHBand="0" w:noVBand="1"/>
      </w:tblPr>
      <w:tblGrid>
        <w:gridCol w:w="6210"/>
        <w:gridCol w:w="1350"/>
      </w:tblGrid>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rPr>
                <w:b/>
              </w:rPr>
              <w:t>Показатель</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rPr>
                <w:b/>
              </w:rPr>
              <w:t>Норма</w:t>
            </w:r>
          </w:p>
        </w:tc>
      </w:tr>
      <w:tr w:rsidR="008E3F15">
        <w:trPr>
          <w:trHeight w:val="330"/>
        </w:trPr>
        <w:tc>
          <w:tcPr>
            <w:tcW w:w="621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4" w:right="0" w:firstLine="0"/>
            </w:pPr>
            <w:r>
              <w:t>Антитромбин III</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70–139%</w:t>
            </w:r>
          </w:p>
        </w:tc>
      </w:tr>
      <w:tr w:rsidR="008E3F15">
        <w:trPr>
          <w:trHeight w:val="330"/>
        </w:trPr>
        <w:tc>
          <w:tcPr>
            <w:tcW w:w="6210" w:type="dxa"/>
            <w:tcBorders>
              <w:top w:val="single" w:sz="6" w:space="0" w:color="000000"/>
              <w:left w:val="single" w:sz="6" w:space="0" w:color="000000"/>
              <w:bottom w:val="single" w:sz="6" w:space="0" w:color="000000"/>
              <w:right w:val="nil"/>
            </w:tcBorders>
          </w:tcPr>
          <w:p w:rsidR="008E3F15" w:rsidRDefault="005F449A">
            <w:pPr>
              <w:spacing w:after="0" w:line="259" w:lineRule="auto"/>
              <w:ind w:left="4" w:right="0" w:firstLine="0"/>
              <w:jc w:val="both"/>
            </w:pPr>
            <w:r>
              <w:rPr>
                <w:bdr w:val="single" w:sz="12" w:space="0" w:color="000000"/>
              </w:rPr>
              <w:t>Активированное частичное тромбопластиновое время</w:t>
            </w:r>
          </w:p>
        </w:tc>
        <w:tc>
          <w:tcPr>
            <w:tcW w:w="1350" w:type="dxa"/>
            <w:tcBorders>
              <w:top w:val="double" w:sz="6" w:space="0" w:color="000000"/>
              <w:left w:val="single" w:sz="6" w:space="0" w:color="000000"/>
              <w:bottom w:val="double" w:sz="6" w:space="0" w:color="000000"/>
              <w:right w:val="double" w:sz="6" w:space="0" w:color="000000"/>
            </w:tcBorders>
          </w:tcPr>
          <w:p w:rsidR="008E3F15" w:rsidRDefault="005F449A">
            <w:pPr>
              <w:spacing w:after="0" w:line="259" w:lineRule="auto"/>
              <w:ind w:left="0" w:right="0" w:firstLine="0"/>
            </w:pPr>
            <w:r>
              <w:t>26–39 с</w:t>
            </w:r>
          </w:p>
        </w:tc>
      </w:tr>
      <w:tr w:rsidR="008E3F15">
        <w:trPr>
          <w:trHeight w:val="330"/>
        </w:trPr>
        <w:tc>
          <w:tcPr>
            <w:tcW w:w="621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Время кровотечения</w:t>
            </w:r>
          </w:p>
        </w:tc>
        <w:tc>
          <w:tcPr>
            <w:tcW w:w="13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&lt;7,1 мин</w:t>
            </w:r>
          </w:p>
        </w:tc>
      </w:tr>
      <w:tr w:rsidR="008E3F15">
        <w:trPr>
          <w:trHeight w:val="330"/>
        </w:trPr>
        <w:tc>
          <w:tcPr>
            <w:tcW w:w="62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D-димер</w:t>
            </w:r>
          </w:p>
        </w:tc>
        <w:tc>
          <w:tcPr>
            <w:tcW w:w="135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&lt;400 мкг/л</w:t>
            </w:r>
          </w:p>
        </w:tc>
      </w:tr>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МНО</w:t>
            </w:r>
          </w:p>
        </w:tc>
        <w:tc>
          <w:tcPr>
            <w:tcW w:w="13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0,9–1,2</w:t>
            </w:r>
          </w:p>
        </w:tc>
      </w:tr>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Протромбиновое время</w:t>
            </w:r>
          </w:p>
        </w:tc>
        <w:tc>
          <w:tcPr>
            <w:tcW w:w="13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13–15 с</w:t>
            </w:r>
          </w:p>
        </w:tc>
      </w:tr>
      <w:tr w:rsidR="008E3F15">
        <w:trPr>
          <w:trHeight w:val="330"/>
        </w:trPr>
        <w:tc>
          <w:tcPr>
            <w:tcW w:w="62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Продукты деградации фибрина</w:t>
            </w:r>
          </w:p>
        </w:tc>
        <w:tc>
          <w:tcPr>
            <w:tcW w:w="135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jc w:val="both"/>
            </w:pPr>
            <w:r>
              <w:rPr>
                <w:bdr w:val="single" w:sz="12" w:space="0" w:color="000000"/>
              </w:rPr>
              <w:t>&lt;10 мкг/мл</w:t>
            </w:r>
          </w:p>
        </w:tc>
      </w:tr>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Протеин C</w:t>
            </w:r>
          </w:p>
        </w:tc>
        <w:tc>
          <w:tcPr>
            <w:tcW w:w="135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70–140%</w:t>
            </w:r>
          </w:p>
        </w:tc>
      </w:tr>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Протеин S</w:t>
            </w:r>
          </w:p>
        </w:tc>
        <w:tc>
          <w:tcPr>
            <w:tcW w:w="135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70–140%</w:t>
            </w:r>
          </w:p>
        </w:tc>
      </w:tr>
      <w:tr w:rsidR="008E3F15">
        <w:trPr>
          <w:trHeight w:val="330"/>
        </w:trPr>
        <w:tc>
          <w:tcPr>
            <w:tcW w:w="621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4" w:right="0" w:firstLine="0"/>
            </w:pPr>
            <w:r>
              <w:t>Тромбиновое время</w:t>
            </w:r>
          </w:p>
        </w:tc>
        <w:tc>
          <w:tcPr>
            <w:tcW w:w="135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15–19 с</w:t>
            </w:r>
          </w:p>
        </w:tc>
      </w:tr>
      <w:tr w:rsidR="008E3F15">
        <w:trPr>
          <w:trHeight w:val="330"/>
        </w:trPr>
        <w:tc>
          <w:tcPr>
            <w:tcW w:w="621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4" w:right="0" w:firstLine="0"/>
            </w:pPr>
            <w:r>
              <w:t>Фибриноген</w:t>
            </w:r>
          </w:p>
        </w:tc>
        <w:tc>
          <w:tcPr>
            <w:tcW w:w="1350" w:type="dxa"/>
            <w:tcBorders>
              <w:top w:val="single" w:sz="6" w:space="0" w:color="000000"/>
              <w:left w:val="nil"/>
              <w:bottom w:val="single" w:sz="6" w:space="0" w:color="000000"/>
              <w:right w:val="single" w:sz="6" w:space="0" w:color="000000"/>
            </w:tcBorders>
          </w:tcPr>
          <w:p w:rsidR="008E3F15" w:rsidRDefault="005F449A">
            <w:pPr>
              <w:spacing w:after="0" w:line="259" w:lineRule="auto"/>
              <w:ind w:left="0" w:right="0" w:firstLine="0"/>
            </w:pPr>
            <w:r>
              <w:rPr>
                <w:bdr w:val="single" w:sz="12" w:space="0" w:color="000000"/>
              </w:rPr>
              <w:t>2,3–5,0 г/л</w:t>
            </w:r>
          </w:p>
        </w:tc>
      </w:tr>
    </w:tbl>
    <w:p w:rsidR="008E3F15" w:rsidRDefault="005F449A">
      <w:pPr>
        <w:spacing w:after="31"/>
        <w:ind w:left="2" w:right="15"/>
      </w:pPr>
      <w:r>
        <w:rPr>
          <w:i/>
        </w:rPr>
        <w:t>Источник.</w:t>
      </w:r>
      <w:r>
        <w:t xml:space="preserve"> Harrison’s Principles of Internal Medicine. 21th edition. Vol. 1–2. 2022.</w:t>
      </w:r>
    </w:p>
    <w:p w:rsidR="008E3F15" w:rsidRDefault="005F449A">
      <w:pPr>
        <w:pStyle w:val="Heading2"/>
        <w:spacing w:after="0"/>
        <w:ind w:left="2"/>
      </w:pPr>
      <w:r>
        <w:t>Эхокардиография</w:t>
      </w:r>
    </w:p>
    <w:tbl>
      <w:tblPr>
        <w:tblStyle w:val="TableGrid"/>
        <w:tblW w:w="9330" w:type="dxa"/>
        <w:tblInd w:w="30" w:type="dxa"/>
        <w:tblCellMar>
          <w:top w:w="58" w:type="dxa"/>
          <w:left w:w="45" w:type="dxa"/>
          <w:bottom w:w="0" w:type="dxa"/>
          <w:right w:w="40" w:type="dxa"/>
        </w:tblCellMar>
        <w:tblLook w:val="04A0" w:firstRow="1" w:lastRow="0" w:firstColumn="1" w:lastColumn="0" w:noHBand="0" w:noVBand="1"/>
      </w:tblPr>
      <w:tblGrid>
        <w:gridCol w:w="6720"/>
        <w:gridCol w:w="1320"/>
        <w:gridCol w:w="1290"/>
      </w:tblGrid>
      <w:tr w:rsidR="008E3F15">
        <w:trPr>
          <w:trHeight w:val="330"/>
        </w:trPr>
        <w:tc>
          <w:tcPr>
            <w:tcW w:w="6720" w:type="dxa"/>
            <w:tcBorders>
              <w:top w:val="double" w:sz="6" w:space="0" w:color="000000"/>
              <w:left w:val="double" w:sz="6" w:space="0" w:color="000000"/>
              <w:bottom w:val="double" w:sz="6" w:space="0" w:color="000000"/>
              <w:right w:val="single" w:sz="6" w:space="0" w:color="000000"/>
            </w:tcBorders>
          </w:tcPr>
          <w:p w:rsidR="008E3F15" w:rsidRDefault="005F449A">
            <w:pPr>
              <w:spacing w:after="0" w:line="259" w:lineRule="auto"/>
              <w:ind w:left="0" w:right="0" w:firstLine="0"/>
            </w:pPr>
            <w:r>
              <w:rPr>
                <w:b/>
              </w:rPr>
              <w:t>Показатель</w:t>
            </w:r>
          </w:p>
        </w:tc>
        <w:tc>
          <w:tcPr>
            <w:tcW w:w="2610" w:type="dxa"/>
            <w:gridSpan w:val="2"/>
            <w:tcBorders>
              <w:top w:val="single" w:sz="6" w:space="0" w:color="000000"/>
              <w:left w:val="nil"/>
              <w:bottom w:val="single" w:sz="6" w:space="0" w:color="000000"/>
              <w:right w:val="single" w:sz="6" w:space="0" w:color="000000"/>
            </w:tcBorders>
          </w:tcPr>
          <w:p w:rsidR="008E3F15" w:rsidRDefault="005F449A">
            <w:pPr>
              <w:spacing w:after="0" w:line="259" w:lineRule="auto"/>
              <w:ind w:left="6" w:right="0" w:firstLine="0"/>
              <w:jc w:val="both"/>
            </w:pPr>
            <w:r>
              <w:rPr>
                <w:b/>
                <w:bdr w:val="single" w:sz="12" w:space="0" w:color="000000"/>
              </w:rPr>
              <w:t>Женщины Мужчины</w:t>
            </w:r>
          </w:p>
        </w:tc>
      </w:tr>
      <w:tr w:rsidR="008E3F15">
        <w:trPr>
          <w:trHeight w:val="330"/>
        </w:trPr>
        <w:tc>
          <w:tcPr>
            <w:tcW w:w="67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Левый желудочек</w:t>
            </w:r>
          </w:p>
        </w:tc>
        <w:tc>
          <w:tcPr>
            <w:tcW w:w="2610" w:type="dxa"/>
            <w:gridSpan w:val="2"/>
            <w:tcBorders>
              <w:top w:val="sing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Конечно-систолический размер, мм</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≤35</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w:t>
            </w: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КДР, мм</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≤52</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≤58</w:t>
            </w:r>
          </w:p>
        </w:tc>
      </w:tr>
      <w:tr w:rsidR="008E3F15">
        <w:trPr>
          <w:trHeight w:val="405"/>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КДР/ППТ, мм/м</w:t>
            </w:r>
            <w:r>
              <w:rPr>
                <w:sz w:val="31"/>
                <w:vertAlign w:val="superscript"/>
              </w:rPr>
              <w:t>2</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≤31</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≤30</w:t>
            </w: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КДО, мл</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≤106</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≤150</w:t>
            </w: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КДО/ППТ, мл/м</w:t>
            </w:r>
            <w:r>
              <w:rPr>
                <w:sz w:val="31"/>
                <w:vertAlign w:val="superscript"/>
              </w:rPr>
              <w:t>2</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≤61</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≤74</w:t>
            </w:r>
          </w:p>
        </w:tc>
      </w:tr>
      <w:tr w:rsidR="008E3F15">
        <w:trPr>
          <w:trHeight w:val="301"/>
        </w:trPr>
        <w:tc>
          <w:tcPr>
            <w:tcW w:w="6720" w:type="dxa"/>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pPr>
            <w:r>
              <w:t>ТМЖП, мм</w:t>
            </w:r>
          </w:p>
        </w:tc>
        <w:tc>
          <w:tcPr>
            <w:tcW w:w="1320" w:type="dxa"/>
            <w:tcBorders>
              <w:top w:val="double" w:sz="6" w:space="0" w:color="000000"/>
              <w:left w:val="double" w:sz="6" w:space="0" w:color="000000"/>
              <w:bottom w:val="nil"/>
              <w:right w:val="double" w:sz="6" w:space="0" w:color="000000"/>
            </w:tcBorders>
          </w:tcPr>
          <w:p w:rsidR="008E3F15" w:rsidRDefault="005F449A">
            <w:pPr>
              <w:spacing w:after="0" w:line="259" w:lineRule="auto"/>
              <w:ind w:left="6" w:right="0" w:firstLine="0"/>
            </w:pPr>
            <w:r>
              <w:t>≤9</w:t>
            </w:r>
          </w:p>
        </w:tc>
        <w:tc>
          <w:tcPr>
            <w:tcW w:w="1290" w:type="dxa"/>
            <w:tcBorders>
              <w:top w:val="double" w:sz="6" w:space="0" w:color="000000"/>
              <w:left w:val="double" w:sz="6" w:space="0" w:color="000000"/>
              <w:bottom w:val="nil"/>
              <w:right w:val="double" w:sz="6" w:space="0" w:color="000000"/>
            </w:tcBorders>
          </w:tcPr>
          <w:p w:rsidR="008E3F15" w:rsidRDefault="005F449A">
            <w:pPr>
              <w:spacing w:after="0" w:line="259" w:lineRule="auto"/>
              <w:ind w:left="0" w:right="0" w:firstLine="0"/>
            </w:pPr>
            <w:r>
              <w:t>≤10</w:t>
            </w:r>
          </w:p>
        </w:tc>
      </w:tr>
      <w:tr w:rsidR="008E3F15">
        <w:trPr>
          <w:trHeight w:val="308"/>
        </w:trPr>
        <w:tc>
          <w:tcPr>
            <w:tcW w:w="67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ТЗС, мм</w:t>
            </w:r>
          </w:p>
        </w:tc>
        <w:tc>
          <w:tcPr>
            <w:tcW w:w="132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≤9</w:t>
            </w:r>
          </w:p>
        </w:tc>
        <w:tc>
          <w:tcPr>
            <w:tcW w:w="1290" w:type="dxa"/>
            <w:tcBorders>
              <w:top w:val="sing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≤10</w:t>
            </w: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Масса, г</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≤162</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≤224</w:t>
            </w: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Масса/ППТ, г/м</w:t>
            </w:r>
            <w:r>
              <w:rPr>
                <w:sz w:val="31"/>
                <w:vertAlign w:val="superscript"/>
              </w:rPr>
              <w:t>2</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≤95</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≤115</w:t>
            </w: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ФВЛЖ, %</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≥54</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≥52</w:t>
            </w:r>
          </w:p>
        </w:tc>
      </w:tr>
      <w:tr w:rsidR="008E3F15">
        <w:trPr>
          <w:trHeight w:val="330"/>
        </w:trPr>
        <w:tc>
          <w:tcPr>
            <w:tcW w:w="80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Правый желудочек</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ПЖ диаметр базальный, мм</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≤41</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405"/>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КДО/ППТ, мл/м</w:t>
            </w:r>
            <w:r>
              <w:rPr>
                <w:sz w:val="31"/>
                <w:vertAlign w:val="superscript"/>
              </w:rPr>
              <w:t>2</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≤74</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≤87</w:t>
            </w: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Фракция выброса правого желудочка, %</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≥45</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80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Левое предсердие</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ЛП диаметр, мм</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≤38</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≤40</w:t>
            </w: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ЛП диаметр/ППТ, мм/м</w:t>
            </w:r>
            <w:r>
              <w:rPr>
                <w:sz w:val="31"/>
                <w:vertAlign w:val="superscript"/>
              </w:rPr>
              <w:t>2</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≤23</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Объем ЛП, мл</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≤52</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≤58</w:t>
            </w: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Объем ЛП/ППТ, мл/м</w:t>
            </w:r>
            <w:r>
              <w:rPr>
                <w:sz w:val="31"/>
                <w:vertAlign w:val="superscript"/>
              </w:rPr>
              <w:t>2</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≤34</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80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Правое предсердие</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ПП диаметр, мм</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≤44</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405"/>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ПП диаметр/ППТ, мм/м</w:t>
            </w:r>
            <w:r>
              <w:rPr>
                <w:sz w:val="31"/>
                <w:vertAlign w:val="superscript"/>
              </w:rPr>
              <w:t>2</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≤25</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Объем ПП/ППТ, мл/м</w:t>
            </w:r>
          </w:p>
        </w:tc>
        <w:tc>
          <w:tcPr>
            <w:tcW w:w="13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6" w:right="0" w:firstLine="0"/>
            </w:pPr>
            <w:r>
              <w:t>≤27</w:t>
            </w:r>
          </w:p>
        </w:tc>
        <w:tc>
          <w:tcPr>
            <w:tcW w:w="129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≤29</w:t>
            </w:r>
          </w:p>
        </w:tc>
      </w:tr>
      <w:tr w:rsidR="008E3F15">
        <w:trPr>
          <w:trHeight w:val="330"/>
        </w:trPr>
        <w:tc>
          <w:tcPr>
            <w:tcW w:w="80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Клапаны сердца</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Площадь аортального клапана,см</w:t>
            </w:r>
            <w:r>
              <w:rPr>
                <w:sz w:val="31"/>
                <w:vertAlign w:val="superscript"/>
              </w:rPr>
              <w:t>2</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2,5–4,5</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ΔР аортального клапана, мм рт.ст.</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&lt;5</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90"/>
        </w:trPr>
        <w:tc>
          <w:tcPr>
            <w:tcW w:w="6720" w:type="dxa"/>
            <w:tcBorders>
              <w:top w:val="double" w:sz="6" w:space="0" w:color="000000"/>
              <w:left w:val="double" w:sz="6" w:space="0" w:color="000000"/>
              <w:bottom w:val="double" w:sz="6" w:space="0" w:color="000000"/>
              <w:right w:val="double" w:sz="6" w:space="0" w:color="000000"/>
            </w:tcBorders>
            <w:vAlign w:val="bottom"/>
          </w:tcPr>
          <w:p w:rsidR="008E3F15" w:rsidRDefault="005F449A">
            <w:pPr>
              <w:spacing w:after="0" w:line="259" w:lineRule="auto"/>
              <w:ind w:left="0" w:right="0" w:firstLine="0"/>
            </w:pPr>
            <w:r>
              <w:t>Площадь митрального клапана, см</w:t>
            </w:r>
            <w:r>
              <w:rPr>
                <w:sz w:val="31"/>
                <w:vertAlign w:val="superscript"/>
              </w:rPr>
              <w:t>2</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4–6</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ΔР митрального клапана, мм рт.ст.</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&lt;2</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Отношение E/e’</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&lt;8</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single" w:sz="6" w:space="0" w:color="000000"/>
              <w:right w:val="double" w:sz="6" w:space="0" w:color="000000"/>
            </w:tcBorders>
          </w:tcPr>
          <w:p w:rsidR="008E3F15" w:rsidRDefault="005F449A">
            <w:pPr>
              <w:spacing w:after="0" w:line="259" w:lineRule="auto"/>
              <w:ind w:left="0" w:right="0" w:firstLine="0"/>
            </w:pPr>
            <w:r>
              <w:t>Митральный поток, E/A</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1–2</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single" w:sz="6" w:space="0" w:color="000000"/>
              <w:left w:val="single" w:sz="6" w:space="0" w:color="000000"/>
              <w:bottom w:val="single" w:sz="6" w:space="0" w:color="000000"/>
              <w:right w:val="nil"/>
            </w:tcBorders>
          </w:tcPr>
          <w:p w:rsidR="008E3F15" w:rsidRDefault="005F449A">
            <w:pPr>
              <w:spacing w:after="0" w:line="259" w:lineRule="auto"/>
              <w:ind w:left="0" w:right="0" w:firstLine="0"/>
              <w:jc w:val="both"/>
            </w:pPr>
            <w:r>
              <w:rPr>
                <w:bdr w:val="single" w:sz="12" w:space="0" w:color="000000"/>
              </w:rPr>
              <w:t>Пиковая скорость транстрикуспидальной регургитации, м/с</w:t>
            </w:r>
          </w:p>
        </w:tc>
        <w:tc>
          <w:tcPr>
            <w:tcW w:w="1320" w:type="dxa"/>
            <w:tcBorders>
              <w:top w:val="double" w:sz="6" w:space="0" w:color="000000"/>
              <w:left w:val="single" w:sz="6" w:space="0" w:color="000000"/>
              <w:bottom w:val="double" w:sz="6" w:space="0" w:color="000000"/>
              <w:right w:val="nil"/>
            </w:tcBorders>
          </w:tcPr>
          <w:p w:rsidR="008E3F15" w:rsidRDefault="005F449A">
            <w:pPr>
              <w:spacing w:after="0" w:line="259" w:lineRule="auto"/>
              <w:ind w:left="6" w:right="0" w:firstLine="0"/>
            </w:pPr>
            <w:r>
              <w:t>≤2,8</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8040" w:type="dxa"/>
            <w:gridSpan w:val="2"/>
            <w:tcBorders>
              <w:top w:val="double" w:sz="6" w:space="0" w:color="000000"/>
              <w:left w:val="double" w:sz="6" w:space="0" w:color="000000"/>
              <w:bottom w:val="double" w:sz="6" w:space="0" w:color="000000"/>
              <w:right w:val="nil"/>
            </w:tcBorders>
          </w:tcPr>
          <w:p w:rsidR="008E3F15" w:rsidRDefault="005F449A">
            <w:pPr>
              <w:spacing w:after="0" w:line="259" w:lineRule="auto"/>
              <w:ind w:left="0" w:right="0" w:firstLine="0"/>
            </w:pPr>
            <w:r>
              <w:rPr>
                <w:b/>
              </w:rPr>
              <w:t>Сосуды</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r w:rsidR="008E3F15">
        <w:trPr>
          <w:trHeight w:val="330"/>
        </w:trPr>
        <w:tc>
          <w:tcPr>
            <w:tcW w:w="6720" w:type="dxa"/>
            <w:tcBorders>
              <w:top w:val="double" w:sz="6" w:space="0" w:color="000000"/>
              <w:left w:val="double" w:sz="6" w:space="0" w:color="000000"/>
              <w:bottom w:val="double" w:sz="6" w:space="0" w:color="000000"/>
              <w:right w:val="double" w:sz="6" w:space="0" w:color="000000"/>
            </w:tcBorders>
          </w:tcPr>
          <w:p w:rsidR="008E3F15" w:rsidRDefault="005F449A">
            <w:pPr>
              <w:spacing w:after="0" w:line="259" w:lineRule="auto"/>
              <w:ind w:left="0" w:right="0" w:firstLine="0"/>
            </w:pPr>
            <w:r>
              <w:t>Нижняя полая вена, мм</w:t>
            </w:r>
          </w:p>
        </w:tc>
        <w:tc>
          <w:tcPr>
            <w:tcW w:w="1320" w:type="dxa"/>
            <w:tcBorders>
              <w:top w:val="double" w:sz="6" w:space="0" w:color="000000"/>
              <w:left w:val="double" w:sz="6" w:space="0" w:color="000000"/>
              <w:bottom w:val="double" w:sz="6" w:space="0" w:color="000000"/>
              <w:right w:val="nil"/>
            </w:tcBorders>
          </w:tcPr>
          <w:p w:rsidR="008E3F15" w:rsidRDefault="005F449A">
            <w:pPr>
              <w:spacing w:after="0" w:line="259" w:lineRule="auto"/>
              <w:ind w:left="6" w:right="0" w:firstLine="0"/>
            </w:pPr>
            <w:r>
              <w:t>≤21</w:t>
            </w:r>
          </w:p>
        </w:tc>
        <w:tc>
          <w:tcPr>
            <w:tcW w:w="1290" w:type="dxa"/>
            <w:tcBorders>
              <w:top w:val="double" w:sz="6" w:space="0" w:color="000000"/>
              <w:left w:val="nil"/>
              <w:bottom w:val="double" w:sz="6" w:space="0" w:color="000000"/>
              <w:right w:val="double" w:sz="6" w:space="0" w:color="000000"/>
            </w:tcBorders>
          </w:tcPr>
          <w:p w:rsidR="008E3F15" w:rsidRDefault="008E3F15">
            <w:pPr>
              <w:spacing w:after="160" w:line="259" w:lineRule="auto"/>
              <w:ind w:left="0" w:right="0" w:firstLine="0"/>
            </w:pPr>
          </w:p>
        </w:tc>
      </w:tr>
    </w:tbl>
    <w:p w:rsidR="008E3F15" w:rsidRDefault="005F449A">
      <w:pPr>
        <w:spacing w:after="359"/>
        <w:ind w:left="2" w:right="15"/>
      </w:pPr>
      <w:r>
        <w:rPr>
          <w:i/>
        </w:rPr>
        <w:t>Источник.</w:t>
      </w:r>
      <w:r>
        <w:t xml:space="preserve"> Galderisi M., Cosyns B., Edvardsen T. et al. Standardization of adult transthoracic echocardiography reporting in agreement with recent chamber quantification, diastolic function, and heart valve disease // Eur. Heart J. Cardiovasc. Imaging. 2017. Vol. 18</w:t>
      </w:r>
      <w:r>
        <w:t xml:space="preserve">. N. 12. P. 1301–1310. </w:t>
      </w:r>
      <w:r>
        <w:rPr>
          <w:b/>
        </w:rPr>
        <w:t>Примечание.</w:t>
      </w:r>
      <w:r>
        <w:t xml:space="preserve"> КДР — конечно-диастолический размер, КДО — конечно-диастолический объем, ЛП — левое предсердие, ПП — правое предсердие, ПЖ — правый желудочек, ППТ — площадь поверхности тела, ТЗС — толщина мио карда задней стенки, ТМЖП — </w:t>
      </w:r>
      <w:r>
        <w:t>толщина межжелудочковой перегородки.</w:t>
      </w:r>
    </w:p>
    <w:p w:rsidR="008E3F15" w:rsidRDefault="005F449A">
      <w:pPr>
        <w:pStyle w:val="Heading1"/>
        <w:ind w:left="2"/>
      </w:pPr>
      <w:r>
        <w:t>Заключение</w:t>
      </w:r>
    </w:p>
    <w:p w:rsidR="008E3F15" w:rsidRDefault="005F449A">
      <w:pPr>
        <w:ind w:left="2" w:right="15"/>
      </w:pPr>
      <w:r>
        <w:t>Государство уделяет большое внимание проблеме высокой сердечно-сосудистой смертности, разрабатывает и внедряет программы совершенствования кардиологической службы и помощи населению. К сожалению, не все совре</w:t>
      </w:r>
      <w:r>
        <w:t>менные возможности медицины для снижения заболеваемости и смертности населения можно реализовать в полном объеме в условиях практического здравоохранения.</w:t>
      </w:r>
    </w:p>
    <w:p w:rsidR="008E3F15" w:rsidRDefault="005F449A">
      <w:pPr>
        <w:ind w:left="2" w:right="15"/>
      </w:pPr>
      <w:r>
        <w:t>Для повышения эффективности практической реализации медицинских программ важное значение имеет сотруд</w:t>
      </w:r>
      <w:r>
        <w:t>ничество органов здравоохранения и профессиональных медицинских обществ.</w:t>
      </w:r>
    </w:p>
    <w:p w:rsidR="008E3F15" w:rsidRDefault="005F449A">
      <w:pPr>
        <w:ind w:left="2" w:right="518"/>
      </w:pPr>
      <w:r>
        <w:t>При разработке мероприятий по совершенствованию системы медицинской помощи населению органами здравоохранения представляется важным учитывать современные рекомендации по организации п</w:t>
      </w:r>
      <w:r>
        <w:t xml:space="preserve">омощи, диагностике и лечению важнейших заболеваний человека, подготовленные коллективами ведущих ученых и практикующих врачей и основанные на последних достижениях медицинской науки и практики. Такой подход позволяет существенно уменьшить возможные ошибки </w:t>
      </w:r>
      <w:r>
        <w:t>и снизить влияние конфликта интересов.</w:t>
      </w:r>
    </w:p>
    <w:p w:rsidR="008E3F15" w:rsidRDefault="005F449A">
      <w:pPr>
        <w:ind w:left="2" w:right="15"/>
      </w:pPr>
      <w:r>
        <w:t>Однако важно понимать, что предложения по диагностике и лечению заболеваний основаны на обобщении данных, полученных в исследованиях больших групп пациентов, но могут быть недостаточно эффективными и даже опасными при</w:t>
      </w:r>
      <w:r>
        <w:t xml:space="preserve"> лечении конкретного пациента с учетом его возраста, наследственных факторов, сопутствующих заболеваний, особенностей уклада жизни, предпочтений, имеющихся ресурсов, ожидаемой продолжительности жизни и других факторов.</w:t>
      </w:r>
    </w:p>
    <w:p w:rsidR="008E3F15" w:rsidRDefault="005F449A">
      <w:pPr>
        <w:spacing w:after="359"/>
        <w:ind w:left="2" w:right="15"/>
      </w:pPr>
      <w:r>
        <w:t>Только с учетом индивидуальных особен</w:t>
      </w:r>
      <w:r>
        <w:t>ностей пациента медицинские рекомендации могут принести существенную пользу пациентам и повысить качество жизни, максимально снизить риски заболеваний и смерти.</w:t>
      </w:r>
    </w:p>
    <w:p w:rsidR="008E3F15" w:rsidRDefault="005F449A">
      <w:pPr>
        <w:pStyle w:val="Heading1"/>
        <w:ind w:left="2"/>
      </w:pPr>
      <w:r>
        <w:t>Библиографический список</w:t>
      </w:r>
    </w:p>
    <w:p w:rsidR="008E3F15" w:rsidRDefault="005F449A">
      <w:pPr>
        <w:spacing w:after="31"/>
        <w:ind w:left="2" w:right="15"/>
      </w:pPr>
      <w:r>
        <w:t>Белялов Ф.И. Лечение болезней в условиях коморбидности. 12-е. изд., пе</w:t>
      </w:r>
      <w:r>
        <w:t>рераб. и доп. М.:</w:t>
      </w:r>
    </w:p>
    <w:p w:rsidR="008E3F15" w:rsidRDefault="005F449A">
      <w:pPr>
        <w:spacing w:after="31"/>
        <w:ind w:left="2" w:right="15"/>
      </w:pPr>
      <w:r>
        <w:t>ГЭОТАР-Медиа, 2022. 560 с.</w:t>
      </w:r>
    </w:p>
    <w:p w:rsidR="008E3F15" w:rsidRDefault="005F449A">
      <w:pPr>
        <w:ind w:left="2" w:right="15"/>
      </w:pPr>
      <w:r>
        <w:t>Белялов Ф.И. Прогнозирование и шкалы в медицине. 4-е изд., перераб. и доп. М.: ГЭОТАРМедиа, 2023. 416 с.</w:t>
      </w:r>
    </w:p>
    <w:p w:rsidR="008E3F15" w:rsidRDefault="005F449A">
      <w:pPr>
        <w:spacing w:after="31"/>
        <w:ind w:left="2" w:right="15"/>
      </w:pPr>
      <w:r>
        <w:t>Кардиология. Национальное руководство / Под ред. Е.В. Шляхто. М.: ГЭОТАР-Медиа, 2019.</w:t>
      </w:r>
    </w:p>
    <w:p w:rsidR="008E3F15" w:rsidRDefault="005F449A">
      <w:pPr>
        <w:spacing w:after="31"/>
        <w:ind w:left="2" w:right="15"/>
      </w:pPr>
      <w:r>
        <w:t>800 с.</w:t>
      </w:r>
    </w:p>
    <w:p w:rsidR="008E3F15" w:rsidRDefault="005F449A">
      <w:pPr>
        <w:ind w:left="2" w:right="15"/>
      </w:pPr>
      <w:r>
        <w:t>Оганов Р.Г., Симаненков В.И., Бакулин И.Г., и др. Коморбидная патология в клинической практике. Алгоритмы диагностики и лечения // Кардиоваскулярная терапия и профилактика.</w:t>
      </w:r>
    </w:p>
    <w:p w:rsidR="008E3F15" w:rsidRDefault="005F449A">
      <w:pPr>
        <w:spacing w:after="31"/>
        <w:ind w:left="2" w:right="15"/>
      </w:pPr>
      <w:r>
        <w:t>2019. Т. 18. № 1. С. 5–66.</w:t>
      </w:r>
    </w:p>
    <w:p w:rsidR="008E3F15" w:rsidRDefault="005F449A">
      <w:pPr>
        <w:ind w:left="2" w:right="15"/>
      </w:pPr>
      <w:r>
        <w:t>Руксин В.В. Неотложная амбулаторно-поликлиническая карди</w:t>
      </w:r>
      <w:r>
        <w:t>ология. Краткое руководство. М.: ГЭОТАР-Медиа, 2018. 256 с.</w:t>
      </w:r>
    </w:p>
    <w:p w:rsidR="008E3F15" w:rsidRDefault="005F449A">
      <w:pPr>
        <w:spacing w:after="31"/>
        <w:ind w:left="2" w:right="15"/>
      </w:pPr>
      <w:r>
        <w:t>Braunwald’s Heart Disease: A Textbook of Cardiovascular Medicine. 12th edition. Elsevier, 2022.</w:t>
      </w:r>
    </w:p>
    <w:p w:rsidR="008E3F15" w:rsidRDefault="005F449A">
      <w:pPr>
        <w:spacing w:after="31"/>
        <w:ind w:left="2" w:right="15"/>
      </w:pPr>
      <w:r>
        <w:t>2034 p.</w:t>
      </w:r>
    </w:p>
    <w:p w:rsidR="008E3F15" w:rsidRDefault="005F449A">
      <w:pPr>
        <w:spacing w:after="31"/>
        <w:ind w:left="2" w:right="15"/>
      </w:pPr>
      <w:r>
        <w:t>Harrison’s Principles of Internal Medicine. 21th edition. 2022. Vol. 1–2.</w:t>
      </w:r>
    </w:p>
    <w:p w:rsidR="008E3F15" w:rsidRDefault="005F449A">
      <w:pPr>
        <w:ind w:left="2" w:right="15"/>
      </w:pPr>
      <w:r>
        <w:t>The ESC Textbook o</w:t>
      </w:r>
      <w:r>
        <w:t>f Cardiovascular Medicine / Eds. A.J. Camm,T.F. Lüscher, G. Maurer et al. Third еdition. Oxford. Oxford University Press. 2019. 3162 p.</w:t>
      </w:r>
    </w:p>
    <w:p w:rsidR="008E3F15" w:rsidRDefault="005F449A">
      <w:pPr>
        <w:pStyle w:val="Heading2"/>
        <w:spacing w:after="0"/>
        <w:ind w:left="2"/>
      </w:pPr>
      <w:r>
        <w:t>Острые коронарные синдромы</w:t>
      </w:r>
    </w:p>
    <w:p w:rsidR="008E3F15" w:rsidRDefault="005F449A">
      <w:pPr>
        <w:spacing w:after="31"/>
        <w:ind w:left="2" w:right="15"/>
      </w:pPr>
      <w:r>
        <w:t>Бойцов С.А. Самородская И.В., Галявич А.С. и др. Статистическая, клиническая</w:t>
      </w:r>
    </w:p>
    <w:p w:rsidR="008E3F15" w:rsidRDefault="005F449A">
      <w:pPr>
        <w:ind w:left="2" w:right="15"/>
      </w:pPr>
      <w:r>
        <w:t>и морфологическа</w:t>
      </w:r>
      <w:r>
        <w:t>я классификации ИБС — есть ли возможность объединения? // Российский кардиологический журнал. 2017. № 3. С. 63–71.</w:t>
      </w:r>
    </w:p>
    <w:p w:rsidR="008E3F15" w:rsidRDefault="005F449A">
      <w:pPr>
        <w:ind w:left="2" w:right="107"/>
      </w:pPr>
      <w:r>
        <w:t xml:space="preserve">Российское кардиологическое общество. Острый коронарный синдром без подъема сегмента </w:t>
      </w:r>
      <w:r>
        <w:rPr>
          <w:i/>
        </w:rPr>
        <w:t>ST</w:t>
      </w:r>
      <w:r>
        <w:t xml:space="preserve"> электрокардиограммы. Клинические рекомендации 2020 //</w:t>
      </w:r>
      <w:r>
        <w:t xml:space="preserve"> Российский кардиологический журнал. 2021. Т. 26. № 4. С. 149–202.</w:t>
      </w:r>
    </w:p>
    <w:p w:rsidR="008E3F15" w:rsidRDefault="005F449A">
      <w:pPr>
        <w:ind w:left="2" w:right="15"/>
      </w:pPr>
      <w:r>
        <w:t xml:space="preserve">Российское кардиологическое общество. Острый инфаркт мио карда с подъемом сегмента </w:t>
      </w:r>
      <w:r>
        <w:rPr>
          <w:i/>
        </w:rPr>
        <w:t xml:space="preserve">ST </w:t>
      </w:r>
      <w:r>
        <w:t xml:space="preserve">электрокардиограммы. Клинические рекомендации 2020 // Российский кардиологический журнал. 2020. Т. 25. </w:t>
      </w:r>
      <w:r>
        <w:t>№ 11. С. 251–310.</w:t>
      </w:r>
    </w:p>
    <w:p w:rsidR="008E3F15" w:rsidRDefault="005F449A">
      <w:pPr>
        <w:ind w:left="2" w:right="15"/>
      </w:pPr>
      <w:r>
        <w:t>Российское общество патологоанатомов. Формулировка патологоанатомического диагноза при ишемической болезни сердца (класс IX «болезни системы кровообращения» МКБ-10).</w:t>
      </w:r>
    </w:p>
    <w:p w:rsidR="008E3F15" w:rsidRDefault="005F449A">
      <w:pPr>
        <w:spacing w:after="31"/>
        <w:ind w:left="2" w:right="15"/>
      </w:pPr>
      <w:r>
        <w:t>Клинические рекомендации. М., 2015. 28 с.</w:t>
      </w:r>
    </w:p>
    <w:p w:rsidR="008E3F15" w:rsidRDefault="005F449A">
      <w:pPr>
        <w:ind w:left="2" w:right="15"/>
      </w:pPr>
      <w:r>
        <w:t>2021 AHA/ACC/ASE/CHEST/SAEM/SCCT/SCMR Guideline for the Evaluation and Diagnosis of Chest Pain // J. Am. Coll. Card. 2021. N. 22. P. e187–e285.</w:t>
      </w:r>
    </w:p>
    <w:p w:rsidR="008E3F15" w:rsidRDefault="005F449A">
      <w:pPr>
        <w:ind w:left="2" w:right="15"/>
      </w:pPr>
      <w:r>
        <w:t>2023 ESC Guidelines for the management of acute coronary syndromes. Developed by the task force on the managemen</w:t>
      </w:r>
      <w:r>
        <w:t>t of acute coronary syndromes of the European Society of Cardiology (ESC) // Eur. Heart J. 2023. Vol. 38. P. 3720–3826.</w:t>
      </w:r>
    </w:p>
    <w:p w:rsidR="008E3F15" w:rsidRDefault="005F449A">
      <w:pPr>
        <w:ind w:left="2" w:right="292"/>
      </w:pPr>
      <w:r>
        <w:t>ACCF/SCAI/STS/AATS/AHA/ASNC/HFSA/SCCT 2016 Appropriate Use Criteria for Coronary Revascularization in Patients With Acute Coronary Syndr</w:t>
      </w:r>
      <w:r>
        <w:t>omes // J. Am. Coll. Card. 2017. Vol. 69. N. 5. P. 570.</w:t>
      </w:r>
    </w:p>
    <w:p w:rsidR="008E3F15" w:rsidRDefault="005F449A">
      <w:pPr>
        <w:ind w:left="2" w:right="15"/>
      </w:pPr>
      <w:r>
        <w:t xml:space="preserve">Bulluck H., Paradies V., Barbato E. et al. Prognostically relevant periprocedural myocardial injury and infarction associated with percutaneous coronary interventions: a Consensus Document of the ESC </w:t>
      </w:r>
      <w:r>
        <w:t>Working Group on Cellular Biology of the Heart and European Association of Percutaneous Cardiovascular Interventions (EAPCI) // Eur. Heart J. 2021. N. 27. P. 2630–2642.</w:t>
      </w:r>
    </w:p>
    <w:p w:rsidR="008E3F15" w:rsidRDefault="005F449A">
      <w:pPr>
        <w:ind w:left="2" w:right="15"/>
      </w:pPr>
      <w:r>
        <w:t>Contemporary Diagnosis and Management of Patients With Myocardial Infarction in the Abs</w:t>
      </w:r>
      <w:r>
        <w:t>ence of Obstructive Coronary Artery Disease: A Scientific Statement From the American Heart Association // Circulation. 2019. Vol. 139. N. 18. P. e891–e90.</w:t>
      </w:r>
    </w:p>
    <w:p w:rsidR="008E3F15" w:rsidRDefault="005F449A">
      <w:pPr>
        <w:ind w:left="2" w:right="15"/>
      </w:pPr>
      <w:r>
        <w:t>Fourth universal definition of myocardial infarction (2018) // Eur. Heart J. 2019. Vol. 40. P. 237–2</w:t>
      </w:r>
      <w:r>
        <w:t xml:space="preserve">69. Jacobs A., Ali M., Best P. et al. Systems of Care for </w:t>
      </w:r>
      <w:r>
        <w:rPr>
          <w:i/>
        </w:rPr>
        <w:t>ST</w:t>
      </w:r>
      <w:r>
        <w:t>-Segment–Elevation Myocardial Infarction: A Policy Statement From the American Heart Association // Circulation. 2021. N. 20. P. e310–e327. Naidu S., Baran D., Jentzer J. et al. SCAI SHOCK Stage C</w:t>
      </w:r>
      <w:r>
        <w:t>lassification Expert Consensus Update: A Review and Incorporation of Validation Studies // JSCAI. 2022. N. 1. P. 2772–9303.</w:t>
      </w:r>
    </w:p>
    <w:p w:rsidR="008E3F15" w:rsidRDefault="005F449A">
      <w:pPr>
        <w:spacing w:after="31"/>
        <w:ind w:left="2" w:right="15"/>
      </w:pPr>
      <w:r>
        <w:t>Wu A., Christenson R., Greene D. et al. Clinical Laboratory Practice Recommendations for the Use of</w:t>
      </w:r>
    </w:p>
    <w:p w:rsidR="008E3F15" w:rsidRDefault="005F449A">
      <w:pPr>
        <w:spacing w:after="31"/>
        <w:ind w:left="2" w:right="15"/>
      </w:pPr>
      <w:r>
        <w:t>Cardiac Troponin in Acute Coronary Syndrome: Expert Opinion from the Academy of the American</w:t>
      </w:r>
    </w:p>
    <w:p w:rsidR="008E3F15" w:rsidRDefault="005F449A">
      <w:pPr>
        <w:spacing w:after="0" w:line="216" w:lineRule="auto"/>
        <w:ind w:left="0" w:right="0" w:firstLine="0"/>
        <w:jc w:val="both"/>
      </w:pPr>
      <w:r>
        <w:t>Association for Clinical Chemistry and the Task Force on Clinical Applications of Cardiac Bio-Markers of the International Federation of Clinical Chemistry and Lab</w:t>
      </w:r>
      <w:r>
        <w:t>oratory Medicine // Clin. Chem. 2018. Vol. 64. N. 4. P. 645–655.</w:t>
      </w:r>
    </w:p>
    <w:p w:rsidR="008E3F15" w:rsidRDefault="005F449A">
      <w:pPr>
        <w:pStyle w:val="Heading2"/>
        <w:spacing w:after="0"/>
        <w:ind w:left="2"/>
      </w:pPr>
      <w:r>
        <w:t>Хронические коронарные синдромы</w:t>
      </w:r>
    </w:p>
    <w:p w:rsidR="008E3F15" w:rsidRDefault="005F449A">
      <w:pPr>
        <w:spacing w:after="31"/>
        <w:ind w:left="2" w:right="15"/>
      </w:pPr>
      <w:r>
        <w:t>Российское кардиологическое общество. Стабильная ишемическая болезнь сердца.</w:t>
      </w:r>
    </w:p>
    <w:p w:rsidR="008E3F15" w:rsidRDefault="005F449A">
      <w:pPr>
        <w:ind w:left="2" w:right="15"/>
      </w:pPr>
      <w:r>
        <w:t xml:space="preserve">Клинические рекомендации 2020 // Российский кардиологический журнал. 2020. Т. 25. </w:t>
      </w:r>
      <w:r>
        <w:t>№ 11. С. 201–255.</w:t>
      </w:r>
    </w:p>
    <w:p w:rsidR="008E3F15" w:rsidRDefault="005F449A">
      <w:pPr>
        <w:ind w:left="2" w:right="15"/>
      </w:pPr>
      <w:r>
        <w:t xml:space="preserve">Российское кардиологическое общество. Нарушения липидного обмена. Клинические рекомендации 2023 // Российский кардиологический журнал. 2023. Т. 28. № 5. 5471 стр. Российское кардиологическое общество. Кардиоваскулярная профилактика 2022. </w:t>
      </w:r>
      <w:r>
        <w:t>Российские национальные рекомендации // Российский кардиологический журнал. 2023. Т. 28. № 5. 5452 стр.</w:t>
      </w:r>
    </w:p>
    <w:p w:rsidR="008E3F15" w:rsidRDefault="005F449A">
      <w:pPr>
        <w:ind w:left="2" w:right="15"/>
      </w:pPr>
      <w:r>
        <w:t xml:space="preserve">Диагностика и коррекция нарушений липидного обмена с целью профилактики и лечения атеросклероза. VII пересмотр // Атеросклероз и дислипидемии. 2020. Т. </w:t>
      </w:r>
      <w:r>
        <w:t>38. № 1. С. 7–42.</w:t>
      </w:r>
    </w:p>
    <w:p w:rsidR="008E3F15" w:rsidRDefault="005F449A">
      <w:pPr>
        <w:ind w:left="2" w:right="15"/>
      </w:pPr>
      <w:r>
        <w:t xml:space="preserve">Кардиоваскулярная профилактика 2022. Российские национальные рекомендации. </w:t>
      </w:r>
      <w:hyperlink r:id="rId200">
        <w:r>
          <w:rPr>
            <w:color w:val="0000EE"/>
            <w:u w:val="single" w:color="0000EE"/>
          </w:rPr>
          <w:t>https://scardio.ru/rekomendacii/rekomendacii_rko/</w:t>
        </w:r>
      </w:hyperlink>
      <w:r>
        <w:t xml:space="preserve"> (дата обращения: 01.06.2023).</w:t>
      </w:r>
    </w:p>
    <w:p w:rsidR="008E3F15" w:rsidRDefault="005F449A">
      <w:pPr>
        <w:spacing w:after="359"/>
        <w:ind w:left="2" w:right="15"/>
      </w:pPr>
      <w:r>
        <w:t>2019 ESC Guide</w:t>
      </w:r>
      <w:r>
        <w:t>lines for the diagnosis and management of chronic coronary syndromes: The Task Force for the diagnosis and management of chronic coronary syndromes of the European Society of Cardiology (ESC) // Eur. Heart J. 2020. N. 41. P. 407–477.</w:t>
      </w:r>
    </w:p>
    <w:p w:rsidR="008E3F15" w:rsidRDefault="005F449A">
      <w:pPr>
        <w:pStyle w:val="Heading1"/>
        <w:ind w:left="2"/>
      </w:pPr>
      <w:r>
        <w:t>Библиографический спис</w:t>
      </w:r>
      <w:r>
        <w:t>ок</w:t>
      </w:r>
    </w:p>
    <w:p w:rsidR="008E3F15" w:rsidRDefault="005F449A">
      <w:pPr>
        <w:ind w:left="2" w:right="15"/>
      </w:pPr>
      <w:r>
        <w:t>2021 ESC Guidelines on cardiovascular disease prevention in clinical practice // Eur. Heart J. 2021. N. 34. P. 3227–3237.</w:t>
      </w:r>
    </w:p>
    <w:p w:rsidR="008E3F15" w:rsidRDefault="005F449A">
      <w:pPr>
        <w:ind w:left="2" w:right="276"/>
      </w:pPr>
      <w:r>
        <w:t>2021 ACC/AHA/SCAI Guideline for Coronary Artery Revascularization: A Report of the American College of Cardiology/American Heart As</w:t>
      </w:r>
      <w:r>
        <w:t>sociation Joint Committee on Clinical Practice Guidelines // J. Am. Coll. Card. 2022. Vol. 79. N. 2. P. 197–215.</w:t>
      </w:r>
    </w:p>
    <w:p w:rsidR="008E3F15" w:rsidRDefault="005F449A">
      <w:pPr>
        <w:ind w:left="2" w:right="15"/>
      </w:pPr>
      <w:r>
        <w:t xml:space="preserve">2021 AHA/ACC/ASE/CHEST/SAEM/SCCT/SCMR Guideline for the Evaluation and Diagnosis of Chest Pain. Journal of the American College of Cardiology. </w:t>
      </w:r>
      <w:r>
        <w:t>2021. Vol. 144. N. 22. P. e187–e285.</w:t>
      </w:r>
    </w:p>
    <w:p w:rsidR="008E3F15" w:rsidRDefault="005F449A">
      <w:pPr>
        <w:ind w:left="2" w:right="15"/>
      </w:pPr>
      <w:r>
        <w:t>2023 AHA/ACC/ACCP/ASPC/NLA/PCNA Guideline for the Management of Patients With Chronic Coronary Disease: A Report of the American Heart Association/American College of Cardiology</w:t>
      </w:r>
    </w:p>
    <w:p w:rsidR="008E3F15" w:rsidRDefault="005F449A">
      <w:pPr>
        <w:ind w:left="2" w:right="120"/>
      </w:pPr>
      <w:r>
        <w:t>Joint Committee on Clinical Practice Guid</w:t>
      </w:r>
      <w:r>
        <w:t>elines // Circulation. 2023. Vol. 148. N. 9. P. e9–e119 2023 Guidelines of the Taiwan Society of Cardiology on the Diagnosis and Management of Chronic Coronary Syndrome // Acta Cardiol. Sin. 2023. Vol. 39. P. 4–96.</w:t>
      </w:r>
    </w:p>
    <w:p w:rsidR="008E3F15" w:rsidRDefault="005F449A">
      <w:pPr>
        <w:ind w:left="2" w:right="15"/>
      </w:pPr>
      <w:r>
        <w:t xml:space="preserve">Farmakis D., Andrikopoulos G., Giamouzis </w:t>
      </w:r>
      <w:r>
        <w:t>G. et al. Practical Recommendations for the Diagnosis and Medical Management of Stable Angina: An Expert Panel Consensus // J. Cardiovasc. Pharmacol. 2019. Vol. 74. P. 308–314</w:t>
      </w:r>
    </w:p>
    <w:p w:rsidR="008E3F15" w:rsidRDefault="005F449A">
      <w:pPr>
        <w:pStyle w:val="Heading2"/>
        <w:spacing w:after="0"/>
        <w:ind w:left="2"/>
      </w:pPr>
      <w:r>
        <w:t>Легочная эмболия</w:t>
      </w:r>
    </w:p>
    <w:p w:rsidR="008E3F15" w:rsidRDefault="005F449A">
      <w:pPr>
        <w:ind w:left="2" w:right="15"/>
      </w:pPr>
      <w:r>
        <w:t>Российские клинические рекомендации по диагностике, лечению и п</w:t>
      </w:r>
      <w:r>
        <w:t>рофилактике венозных тромбоэмболических осложнений // Флебология. 2015. № 4. С. 3–52.</w:t>
      </w:r>
    </w:p>
    <w:p w:rsidR="008E3F15" w:rsidRDefault="005F449A">
      <w:pPr>
        <w:ind w:left="2" w:right="15"/>
      </w:pPr>
      <w:r>
        <w:t>2019 ESC Guidelines for the diagnosis and management of acute pulmonary embolism developed in collaboration with the European Respiratory Society (ERS) // Eur. Heart J. 2020. N. 4. P. 543–603. Handbook of Venous Thromboembolism / Eds. J. Thachil, C. Bagot.</w:t>
      </w:r>
      <w:r>
        <w:t xml:space="preserve"> Chichester, West Sussex ; Hoboken : John Wiley &amp; Sons, 2018. 330 p.</w:t>
      </w:r>
    </w:p>
    <w:p w:rsidR="008E3F15" w:rsidRDefault="005F449A">
      <w:pPr>
        <w:ind w:left="2" w:right="15"/>
      </w:pPr>
      <w:r>
        <w:t>Klok F., Ageno W., Ay C. et al. Optimal follow-up after acute pulmonary embolism: a position paper of the European Society of Cardiology Working Group on Pulmonary Circulation and Right V</w:t>
      </w:r>
      <w:r>
        <w:t>entricular Function, in collaboration with the European Society of Cardiology Working Group on Atherosclerosis and Vascular Biology, endorsed by the European Respiratory Society // Eur. Heart J.</w:t>
      </w:r>
    </w:p>
    <w:p w:rsidR="008E3F15" w:rsidRDefault="005F449A">
      <w:pPr>
        <w:spacing w:after="31"/>
        <w:ind w:left="2" w:right="15"/>
      </w:pPr>
      <w:r>
        <w:t>2022. N. 3. P. 183–189.</w:t>
      </w:r>
    </w:p>
    <w:p w:rsidR="008E3F15" w:rsidRDefault="005F449A">
      <w:pPr>
        <w:ind w:left="2" w:right="15"/>
      </w:pPr>
      <w:r>
        <w:t>Mazzolai L, Ageno W, Alatri A. et al.</w:t>
      </w:r>
      <w:r>
        <w:t xml:space="preserve"> Second consensus document on diagnosis and management of acute deep vein thrombosis: updated document elaborated by the ESC Working Group on aorta and peripheral vascular diseases and the ESC Working Group on pulmonary circulation and right ventricular fu</w:t>
      </w:r>
      <w:r>
        <w:t>nction // Eur. J. Prev. Card. 2022. N. 8. P. 1248–1263.</w:t>
      </w:r>
    </w:p>
    <w:p w:rsidR="008E3F15" w:rsidRDefault="005F449A">
      <w:pPr>
        <w:ind w:left="2" w:right="15"/>
      </w:pPr>
      <w:r>
        <w:t>Ortel T., Neumann I., Ageno W. et al. American Society of Hematology 2020 guidelines for management of venous thromboembolism: treatment of deep vein thrombosis and pulmonary embolism // Blood Adv. 20</w:t>
      </w:r>
      <w:r>
        <w:t>20. N. 19. P. 4693–4738.</w:t>
      </w:r>
    </w:p>
    <w:p w:rsidR="008E3F15" w:rsidRDefault="005F449A">
      <w:pPr>
        <w:spacing w:after="31"/>
        <w:ind w:left="2" w:right="15"/>
      </w:pPr>
      <w:r>
        <w:t>NICE. Venous thromboembolic diseases: diagnosis, management and thrombophilia testing. 2020.</w:t>
      </w:r>
    </w:p>
    <w:p w:rsidR="008E3F15" w:rsidRDefault="005F449A">
      <w:pPr>
        <w:spacing w:after="31"/>
        <w:ind w:left="2" w:right="15"/>
      </w:pPr>
      <w:r>
        <w:t>47 p.</w:t>
      </w:r>
    </w:p>
    <w:p w:rsidR="008E3F15" w:rsidRDefault="005F449A">
      <w:pPr>
        <w:ind w:left="2" w:right="15"/>
      </w:pPr>
      <w:r>
        <w:t>Stevens S., Woller S., Baumann Kreuziger L. et al. Executive Summary: Antithrombotic Therapy for VTE Disease: Second Update of the C</w:t>
      </w:r>
      <w:r>
        <w:t>HEST Guideline and Expert Panel Report // CHEST. 2021. N. 6. P. 2247–2259.</w:t>
      </w:r>
    </w:p>
    <w:p w:rsidR="008E3F15" w:rsidRDefault="005F449A">
      <w:pPr>
        <w:ind w:left="2" w:right="15"/>
      </w:pPr>
      <w:r>
        <w:t>Tran H.A., Gibbs H., Merriman E. et al. New guidelines from the Thrombosis and Haemostasis Society of Australia and New Zealand for the diagnosis and management of venous thromboemb</w:t>
      </w:r>
      <w:r>
        <w:t>olism // Med. J. Aust. 2019. Vol. 210. N. 5. P. 227–235.</w:t>
      </w:r>
    </w:p>
    <w:p w:rsidR="008E3F15" w:rsidRDefault="005F449A">
      <w:pPr>
        <w:ind w:left="2" w:right="15"/>
      </w:pPr>
      <w:r>
        <w:t>Vitamin K antagonists in heart disease: current status and perspectives (Section III). Position paper of the ESC Working Group on Thrombosis-Task Force on Anticoagulants in Heart Disease // Thromb. H</w:t>
      </w:r>
      <w:r>
        <w:t>aemost. 2013. Vol. 110. P. 1087–1107.</w:t>
      </w:r>
    </w:p>
    <w:p w:rsidR="008E3F15" w:rsidRDefault="005F449A">
      <w:pPr>
        <w:ind w:left="2" w:right="15"/>
      </w:pPr>
      <w:r>
        <w:t>Witt D., Nieuwlaat R., Clark N. et al. American Society of Hematology 2018 guidelines for management of venous thromboembolism: optimal management of anticoagulation therapy // Blood Adv. 2018. N. 22. P. 3257–3291.</w:t>
      </w:r>
    </w:p>
    <w:p w:rsidR="008E3F15" w:rsidRDefault="005F449A">
      <w:pPr>
        <w:pStyle w:val="Heading2"/>
        <w:spacing w:after="0"/>
        <w:ind w:left="2"/>
      </w:pPr>
      <w:r>
        <w:t>Фиб</w:t>
      </w:r>
      <w:r>
        <w:t>рилляция предсердий</w:t>
      </w:r>
    </w:p>
    <w:p w:rsidR="008E3F15" w:rsidRDefault="005F449A">
      <w:pPr>
        <w:spacing w:after="31"/>
        <w:ind w:left="2" w:right="15"/>
      </w:pPr>
      <w:r>
        <w:t>Белялов Ф.И. Аритмии сердца. 9-е изд., перераб. и доп. М.: ГЭОТАР-Медиа, 2023. 512 c.</w:t>
      </w:r>
    </w:p>
    <w:p w:rsidR="008E3F15" w:rsidRDefault="005F449A">
      <w:pPr>
        <w:spacing w:after="31"/>
        <w:ind w:left="2" w:right="15"/>
      </w:pPr>
      <w:r>
        <w:t>Российское кардиологическое общество. Фибрилляция и трепетание предсердий.</w:t>
      </w:r>
    </w:p>
    <w:p w:rsidR="008E3F15" w:rsidRDefault="005F449A">
      <w:pPr>
        <w:ind w:left="2" w:right="111"/>
      </w:pPr>
      <w:r>
        <w:t xml:space="preserve">Клинические рекомендации 2020 // Российский кардиологический журнал. 2021. </w:t>
      </w:r>
      <w:r>
        <w:t>Т. 26. № 7. С. 190–260.</w:t>
      </w:r>
    </w:p>
    <w:p w:rsidR="008E3F15" w:rsidRDefault="005F449A">
      <w:pPr>
        <w:ind w:left="2" w:right="271"/>
      </w:pPr>
      <w:r>
        <w:t>ВНОА. Клинические рекомендации по проведению электрофизиологических исследований, катетерной абляции и применению имплантируемых антиаритмических устройств. 2017. 701 с.</w:t>
      </w:r>
    </w:p>
    <w:p w:rsidR="008E3F15" w:rsidRDefault="005F449A">
      <w:pPr>
        <w:ind w:left="2" w:right="15"/>
      </w:pPr>
      <w:r>
        <w:t>2017 HRS/EHRA/ECAS/APHRS/SOLAECE expert consensus statement on</w:t>
      </w:r>
      <w:r>
        <w:t xml:space="preserve"> catheter and surgical ablation of atrial fibrillation // Europace. 2018. Vol. 20. N. 1. P. e1–e160.</w:t>
      </w:r>
    </w:p>
    <w:p w:rsidR="008E3F15" w:rsidRDefault="005F449A">
      <w:pPr>
        <w:numPr>
          <w:ilvl w:val="0"/>
          <w:numId w:val="13"/>
        </w:numPr>
        <w:spacing w:after="31"/>
        <w:ind w:right="15" w:hanging="583"/>
      </w:pPr>
      <w:r>
        <w:t>ESC Guidelines for the management of patients with supraventricular tachycardia // Eur.</w:t>
      </w:r>
    </w:p>
    <w:p w:rsidR="008E3F15" w:rsidRDefault="005F449A">
      <w:pPr>
        <w:spacing w:after="31"/>
        <w:ind w:left="2" w:right="15"/>
      </w:pPr>
      <w:r>
        <w:t>Heart J. 2020. Vol. 41. P. 655–720.</w:t>
      </w:r>
    </w:p>
    <w:p w:rsidR="008E3F15" w:rsidRDefault="005F449A">
      <w:pPr>
        <w:numPr>
          <w:ilvl w:val="0"/>
          <w:numId w:val="13"/>
        </w:numPr>
        <w:ind w:right="15" w:hanging="583"/>
      </w:pPr>
      <w:r>
        <w:t>ACC Expert Consensus Decision Pathway on Management of Bleeding in Patients on OralAnticoagulants // J. Am. Col. Card. 2020. P. 27312.</w:t>
      </w:r>
    </w:p>
    <w:p w:rsidR="008E3F15" w:rsidRDefault="005F449A">
      <w:pPr>
        <w:ind w:left="2" w:right="15"/>
      </w:pPr>
      <w:r>
        <w:t>2020 ESC Guidelines for the diagnosis and management of atrial fibrillation developed in collaboration with the European Association for Cardio-Thoracic Surgery (EACTS) // Eur. Heart J.</w:t>
      </w:r>
    </w:p>
    <w:p w:rsidR="008E3F15" w:rsidRDefault="005F449A">
      <w:pPr>
        <w:spacing w:after="31"/>
        <w:ind w:left="2" w:right="15"/>
      </w:pPr>
      <w:r>
        <w:t>2021. N. 5. P. 373–498.</w:t>
      </w:r>
    </w:p>
    <w:p w:rsidR="008E3F15" w:rsidRDefault="005F449A">
      <w:pPr>
        <w:ind w:left="2" w:right="162"/>
      </w:pPr>
      <w:r>
        <w:t>2021 European Heart Rhythm Association Practic</w:t>
      </w:r>
      <w:r>
        <w:t xml:space="preserve">al Guide on the Use of Non-Vitamin K Antagonist Oral Anticoagulants in Patients with Atrial Fibrillation // Europace. 2021. P. euab065. AHA/ACC/HRS Focused Update of the 2014 AHA/ACC/HRS Guideline for the Management of Patients With Atrial Fibrillation // </w:t>
      </w:r>
      <w:r>
        <w:t>Circulation. 2019. Vol. 74. N. 1. P. 104–132.</w:t>
      </w:r>
    </w:p>
    <w:p w:rsidR="008E3F15" w:rsidRDefault="005F449A">
      <w:pPr>
        <w:spacing w:after="359"/>
        <w:ind w:left="2" w:right="15"/>
      </w:pPr>
      <w:r>
        <w:t>Badhwar V., Rankin J., Damiano R. et al. The Society of Thoracic Surgeons 2017 Clinical Practice Guidelines for the Surgical Treatment of Atrial Fibrillation // Ann. Thoracic Surg. 2017. N. 1. P. 329– 341.</w:t>
      </w:r>
    </w:p>
    <w:p w:rsidR="008E3F15" w:rsidRDefault="005F449A">
      <w:pPr>
        <w:pStyle w:val="Heading1"/>
        <w:ind w:left="2"/>
      </w:pPr>
      <w:r>
        <w:t>Библ</w:t>
      </w:r>
      <w:r>
        <w:t>иографический список</w:t>
      </w:r>
    </w:p>
    <w:p w:rsidR="008E3F15" w:rsidRDefault="005F449A">
      <w:pPr>
        <w:ind w:left="2" w:right="15"/>
      </w:pPr>
      <w:r>
        <w:t>EHRA/EAPCI expert consensus statement on catheter-based left atrial appendage occlusion — an update // EP Europace. 2020. Vol. 22. N. 2. P. 184.</w:t>
      </w:r>
    </w:p>
    <w:p w:rsidR="008E3F15" w:rsidRDefault="005F449A">
      <w:pPr>
        <w:ind w:left="2" w:right="15"/>
      </w:pPr>
      <w:r>
        <w:t xml:space="preserve">Chen L.Y., Chung M.K., Allen L.A. et al. Atrial Fibrillation Burden: Moving Beyond Atrial </w:t>
      </w:r>
      <w:r>
        <w:t>Fibrillation as a Binary Entity: A Scientific Statement From the American Heart Association // Circulation. 2018.</w:t>
      </w:r>
    </w:p>
    <w:p w:rsidR="008E3F15" w:rsidRDefault="005F449A">
      <w:pPr>
        <w:spacing w:after="31"/>
        <w:ind w:left="2" w:right="15"/>
      </w:pPr>
      <w:r>
        <w:t>Vol. 137. N. 20. P. e623–e644.</w:t>
      </w:r>
    </w:p>
    <w:p w:rsidR="008E3F15" w:rsidRDefault="005F449A">
      <w:pPr>
        <w:ind w:left="2" w:right="15"/>
      </w:pPr>
      <w:r>
        <w:t>Chyou J., Barkoudah E., Dukes J. et al. Atrial Fibrillation Occurring During Acute Hospitalization: A Scientifi</w:t>
      </w:r>
      <w:r>
        <w:t>c Statement From the American Heart Association // Circulation. 2023. Vol. 147. P. e676– e698.</w:t>
      </w:r>
    </w:p>
    <w:p w:rsidR="008E3F15" w:rsidRDefault="005F449A">
      <w:pPr>
        <w:spacing w:after="31"/>
        <w:ind w:left="2" w:right="15"/>
      </w:pPr>
      <w:r>
        <w:t>NICE guideline. Atrial fibrillation: diagnosis and management. 2021. 43 p.</w:t>
      </w:r>
    </w:p>
    <w:p w:rsidR="008E3F15" w:rsidRDefault="005F449A">
      <w:pPr>
        <w:ind w:left="2" w:right="172"/>
      </w:pPr>
      <w:r>
        <w:t>Sulzgruber P., Wassmann S., Semb A. et al. Oral Anticoagulation in patients with non-v</w:t>
      </w:r>
      <w:r>
        <w:t>alvular atrial fibrillation and a CHA2DS2-VASc score of 1: A current opinion of the European Society of Cardiology Working Group on Cardiovascular Pharmacotherapy and European Society of Cardiology Council on Stroke // Eur. Heart J. 2019. N. 36. P. 3010–30</w:t>
      </w:r>
      <w:r>
        <w:t xml:space="preserve">12. </w:t>
      </w:r>
      <w:r>
        <w:rPr>
          <w:b/>
        </w:rPr>
        <w:t>Экстрасистолы</w:t>
      </w:r>
    </w:p>
    <w:p w:rsidR="008E3F15" w:rsidRDefault="005F449A">
      <w:pPr>
        <w:ind w:left="2" w:right="226"/>
      </w:pPr>
      <w:r>
        <w:t>Белялов Ф.И. Аритмии сердца. 9-е изд., перераб. и доп. М.: ГЭОТАР-Медиа, 2023. 512 c. ВНОА. Клинические рекомендации по проведению электрофизиологических исследований, катетерной абляции и применению имплантируемых антиаритмических устрой</w:t>
      </w:r>
      <w:r>
        <w:t>ств. 2017.</w:t>
      </w:r>
    </w:p>
    <w:p w:rsidR="008E3F15" w:rsidRDefault="005F449A">
      <w:pPr>
        <w:spacing w:after="31"/>
        <w:ind w:left="2" w:right="15"/>
      </w:pPr>
      <w:r>
        <w:t>701 с.</w:t>
      </w:r>
    </w:p>
    <w:p w:rsidR="008E3F15" w:rsidRDefault="005F449A">
      <w:pPr>
        <w:ind w:left="2" w:right="15"/>
      </w:pPr>
      <w:r>
        <w:t>2019 HRS/EHRA/APHRS/LAHRS expert consensus statement on catheter ablation of ventricular arrhythmias // EP Europace. 2019. N. 8. P. 1143–1144.</w:t>
      </w:r>
    </w:p>
    <w:p w:rsidR="008E3F15" w:rsidRDefault="005F449A">
      <w:pPr>
        <w:ind w:left="2" w:right="15"/>
      </w:pPr>
      <w:r>
        <w:t>Arnar D.O., Mairesse G.H., Boriani G. et al. Management of asymptomatic arrhythmias: a European</w:t>
      </w:r>
      <w:r>
        <w:t xml:space="preserve"> Heart Rhythm Association (EHRA) consensus document, endorsed by the Heart Failure Association (HFA) // Heart Europace. 2019. pii: 5382236.</w:t>
      </w:r>
    </w:p>
    <w:p w:rsidR="008E3F15" w:rsidRDefault="005F449A">
      <w:pPr>
        <w:ind w:left="2" w:right="366"/>
      </w:pPr>
      <w:r>
        <w:t>Clinical Arrhythmology and Electrophysiology: A Companion to Braunwald’s Heart Disease. Third edition. Philadelphia:</w:t>
      </w:r>
      <w:r>
        <w:t xml:space="preserve"> Elsevier, 2019. 1104 p. </w:t>
      </w:r>
      <w:r>
        <w:rPr>
          <w:b/>
        </w:rPr>
        <w:t>Внезапная сердечная смерть</w:t>
      </w:r>
    </w:p>
    <w:p w:rsidR="008E3F15" w:rsidRDefault="005F449A">
      <w:pPr>
        <w:ind w:left="2" w:right="271"/>
      </w:pPr>
      <w:r>
        <w:t>Белялов Ф.И. Аритмии сердца. 9-е изд., перераб. и доп. М.: ГЭОТАР-Медиа, 2023. 512 c. ВНОА. Клинические рекомендации по проведению электрофизиологических исследований, катетерной абляции и применению импл</w:t>
      </w:r>
      <w:r>
        <w:t>антируемых антиаритмических устройств. 2017. 701 с.</w:t>
      </w:r>
    </w:p>
    <w:p w:rsidR="008E3F15" w:rsidRDefault="005F449A">
      <w:pPr>
        <w:ind w:left="2" w:right="15"/>
      </w:pPr>
      <w:r>
        <w:t>Национальные рекомендации по определению риска и профилактике внезапной сердечной смерти. М.: Медпрактика-М, 2018. 247 с.</w:t>
      </w:r>
    </w:p>
    <w:p w:rsidR="008E3F15" w:rsidRDefault="005F449A">
      <w:pPr>
        <w:ind w:left="2" w:right="15"/>
      </w:pPr>
      <w:r>
        <w:t>Российское кардиологическое общество. Желудочковые нарушения ритма. Желудочковые т</w:t>
      </w:r>
      <w:r>
        <w:t>ахикардии и внезапная сердечная смерть. Клинические рекомендации 2020 // Российский кардиологический журнал. 2021. Т. 26. № 7. С. 128–189.</w:t>
      </w:r>
    </w:p>
    <w:p w:rsidR="008E3F15" w:rsidRDefault="005F449A">
      <w:pPr>
        <w:spacing w:after="31"/>
        <w:ind w:left="2" w:right="15"/>
      </w:pPr>
      <w:r>
        <w:t>Российское общество патологоанатомов. Формулировка патологоанатомического диагноза.</w:t>
      </w:r>
    </w:p>
    <w:p w:rsidR="008E3F15" w:rsidRDefault="005F449A">
      <w:pPr>
        <w:spacing w:after="31"/>
        <w:ind w:left="2" w:right="15"/>
      </w:pPr>
      <w:r>
        <w:t>Общие правила. Клинические рекомендации. 2017. 28 c.</w:t>
      </w:r>
    </w:p>
    <w:p w:rsidR="008E3F15" w:rsidRDefault="005F449A">
      <w:pPr>
        <w:ind w:left="2" w:right="15"/>
      </w:pPr>
      <w:r>
        <w:t>2017 AHA/ACC/HRS Guideline for Management of Patients With Ventricular Arrhythmias and the Prevention of Sudden Cardiac Death // Circulation. 2018. Vol. 138. P. e272–e391.</w:t>
      </w:r>
    </w:p>
    <w:p w:rsidR="008E3F15" w:rsidRDefault="005F449A">
      <w:pPr>
        <w:ind w:left="2" w:right="15"/>
      </w:pPr>
      <w:r>
        <w:t>2019 HRS/EHRA/APHRS/LAHRS focus</w:t>
      </w:r>
      <w:r>
        <w:t>ed update to 2015 expert consensus statement on optimal implantable cardioverter-defibrillator programming and testing // EP Europace. 2019. N. 9. P. 1442– 1443.</w:t>
      </w:r>
    </w:p>
    <w:p w:rsidR="008E3F15" w:rsidRDefault="005F449A">
      <w:pPr>
        <w:numPr>
          <w:ilvl w:val="0"/>
          <w:numId w:val="14"/>
        </w:numPr>
        <w:spacing w:after="31"/>
        <w:ind w:right="15" w:hanging="583"/>
      </w:pPr>
      <w:r>
        <w:t>American Heart Association Focused Update on Advanced Cardiovascular Life Support: Use of</w:t>
      </w:r>
    </w:p>
    <w:p w:rsidR="008E3F15" w:rsidRDefault="005F449A">
      <w:pPr>
        <w:ind w:left="2" w:right="15"/>
      </w:pPr>
      <w:r>
        <w:t>Adva</w:t>
      </w:r>
      <w:r>
        <w:t>nced Airways, Vasopressors, and Extracorporeal Cardiopulmonary Resuscitation During Cardiac Arrest: An Update to the American Heart Association Guidelines for Cardiopulmonary Resuscitation and Emergency Cardiovascular Care // Circulation. 2019. N. 24. P. e</w:t>
      </w:r>
      <w:r>
        <w:t>881–e894.</w:t>
      </w:r>
    </w:p>
    <w:p w:rsidR="008E3F15" w:rsidRDefault="005F449A">
      <w:pPr>
        <w:numPr>
          <w:ilvl w:val="0"/>
          <w:numId w:val="14"/>
        </w:numPr>
        <w:ind w:right="15" w:hanging="583"/>
      </w:pPr>
      <w:r>
        <w:t>International Consensus on Cardiopulmonary Resuscitation and Emergency CardiovascularCare Science With Treatment Recommendations // Circulation. 2020. N. 16. Suppl. 1.</w:t>
      </w:r>
    </w:p>
    <w:p w:rsidR="008E3F15" w:rsidRDefault="005F449A">
      <w:pPr>
        <w:ind w:left="2" w:right="15"/>
      </w:pPr>
      <w:r>
        <w:t>2020 American Heart Association Guidelines for Cardiopulmonary Resuscitation a</w:t>
      </w:r>
      <w:r>
        <w:t>nd Emergency Cardiovascular Care // Circulation. 2020. N. 16. Suppl. 2.</w:t>
      </w:r>
    </w:p>
    <w:p w:rsidR="008E3F15" w:rsidRDefault="005F449A">
      <w:pPr>
        <w:ind w:left="2" w:right="15"/>
      </w:pPr>
      <w:r>
        <w:t>2022 ESC Guidelines for the management of patients with ventricular arrhythmias and the prevention of sudden cardiac death: Developed by the task force for the management of patients w</w:t>
      </w:r>
      <w:r>
        <w:t>ith ventricular arrhythmias and the prevention of sudden cardiac death of the European Society of Cardiology (ESC) Endorsed by the Association for European Paediatric and Congenital Cardiology (AEPC) // Eur. Heart J. 2022. N. 40. P. 3997–4126.</w:t>
      </w:r>
    </w:p>
    <w:p w:rsidR="008E3F15" w:rsidRDefault="005F449A">
      <w:pPr>
        <w:numPr>
          <w:ilvl w:val="0"/>
          <w:numId w:val="15"/>
        </w:numPr>
        <w:spacing w:after="31"/>
        <w:ind w:right="15" w:hanging="583"/>
      </w:pPr>
      <w:r>
        <w:t>Internationa</w:t>
      </w:r>
      <w:r>
        <w:t>l Consensus on Cardiopulmonary Resuscitation and Emergency Cardiovascular</w:t>
      </w:r>
    </w:p>
    <w:p w:rsidR="008E3F15" w:rsidRDefault="005F449A">
      <w:pPr>
        <w:ind w:left="2" w:right="15"/>
      </w:pPr>
      <w:r>
        <w:t>Care Science With Treatment Recommendations: Summary From the Basic Life Support; Advanced Life Support; Pediatric Life Support; Neonatal Life Support; Education, Implementation, and</w:t>
      </w:r>
      <w:r>
        <w:t xml:space="preserve"> Teams; and First Aid Task Forces // Circulation. 2022. Vol. 145. N. 9. P. e645–e721.</w:t>
      </w:r>
    </w:p>
    <w:p w:rsidR="008E3F15" w:rsidRDefault="005F449A">
      <w:pPr>
        <w:numPr>
          <w:ilvl w:val="0"/>
          <w:numId w:val="15"/>
        </w:numPr>
        <w:ind w:right="15" w:hanging="583"/>
      </w:pPr>
      <w:r>
        <w:t>ESC Guidelines for the management of cardiomyopathies: Developed by the task force on themanagement of cardiomyopathies of the European Society of Cardiology (ESC) // Eur</w:t>
      </w:r>
      <w:r>
        <w:t>. Heart J. 2023.</w:t>
      </w:r>
    </w:p>
    <w:p w:rsidR="008E3F15" w:rsidRDefault="005F449A">
      <w:pPr>
        <w:spacing w:after="31"/>
        <w:ind w:left="2" w:right="15"/>
      </w:pPr>
      <w:r>
        <w:t>Vol. 44. N. 37. P. 3503–3626.</w:t>
      </w:r>
    </w:p>
    <w:p w:rsidR="008E3F15" w:rsidRDefault="005F449A">
      <w:pPr>
        <w:ind w:left="2" w:right="15"/>
      </w:pPr>
      <w:r>
        <w:t>Clinical Arrhythmology and Electrophysiology: A Companion to Braunwald’s Heart Disease. Third edition. Philadelphia: Elsevier, 2019. 1104 p.</w:t>
      </w:r>
    </w:p>
    <w:p w:rsidR="008E3F15" w:rsidRDefault="005F449A">
      <w:pPr>
        <w:ind w:left="2" w:right="15"/>
      </w:pPr>
      <w:r>
        <w:t>HRS/ACC/AHA Expert Consensus Statement on the Use of Implantable Car</w:t>
      </w:r>
      <w:r>
        <w:t>dioverter-Defibrillator Therapy in Patients Who Are Not Included or Not Well Represented in Clinical Trials // Circulation.</w:t>
      </w:r>
    </w:p>
    <w:p w:rsidR="008E3F15" w:rsidRDefault="005F449A">
      <w:pPr>
        <w:spacing w:after="31"/>
        <w:ind w:left="2" w:right="15"/>
      </w:pPr>
      <w:r>
        <w:t>2014. Vol. 130. P. 94–125.</w:t>
      </w:r>
    </w:p>
    <w:p w:rsidR="008E3F15" w:rsidRDefault="005F449A">
      <w:pPr>
        <w:ind w:left="2" w:right="15"/>
      </w:pPr>
      <w:r>
        <w:t>Galderisi M., Cosyns B., Edvardsen T. et al. Standardization of adult transthoracic echocardiography repo</w:t>
      </w:r>
      <w:r>
        <w:t>rting in agreement with recent chamber quantification, diastolic function, and heart valve disease // Eur. Heart J Cardiovasc. Imaging. 2017. Vol. 18. N. 12. P. 1301–1310.</w:t>
      </w:r>
    </w:p>
    <w:p w:rsidR="008E3F15" w:rsidRDefault="005F449A">
      <w:pPr>
        <w:spacing w:after="359"/>
        <w:ind w:left="2" w:right="15"/>
      </w:pPr>
      <w:r>
        <w:t>Sawyer K., Camp-Rogers T., Kotini-Shah P. et al. Sudden Cardiac Arrest Survivorship:</w:t>
      </w:r>
      <w:r>
        <w:t xml:space="preserve"> A Scientific Statement From the American Heart Association // Circulation. 2020. Vol. 141. P. e654–e685.</w:t>
      </w:r>
    </w:p>
    <w:p w:rsidR="008E3F15" w:rsidRDefault="005F449A">
      <w:pPr>
        <w:pStyle w:val="Heading1"/>
        <w:ind w:left="2"/>
      </w:pPr>
      <w:r>
        <w:t>Библиографический список</w:t>
      </w:r>
    </w:p>
    <w:p w:rsidR="008E3F15" w:rsidRDefault="005F449A">
      <w:pPr>
        <w:pStyle w:val="Heading2"/>
        <w:spacing w:after="0"/>
        <w:ind w:left="2"/>
      </w:pPr>
      <w:r>
        <w:t>Сердечная недостаточность</w:t>
      </w:r>
    </w:p>
    <w:p w:rsidR="008E3F15" w:rsidRDefault="005F449A">
      <w:pPr>
        <w:ind w:left="2" w:right="15"/>
      </w:pPr>
      <w:r>
        <w:t>Клинические рекомендации ОССН-РКО-РНМОТ. Сердечная недостаточность: хроническая (ХСН) и острая декомпенсированная (ОДСН). Диагностика, профилактика и лечение // Кардиология. 2018. Т. 58. №S6. С. 3–164.</w:t>
      </w:r>
    </w:p>
    <w:p w:rsidR="008E3F15" w:rsidRDefault="005F449A">
      <w:pPr>
        <w:spacing w:after="31"/>
        <w:ind w:left="2" w:right="15"/>
      </w:pPr>
      <w:r>
        <w:t>Российское кардиологическое общество. Хроническая серд</w:t>
      </w:r>
      <w:r>
        <w:t>ечная недостаточность.</w:t>
      </w:r>
    </w:p>
    <w:p w:rsidR="008E3F15" w:rsidRDefault="005F449A">
      <w:pPr>
        <w:spacing w:after="31"/>
        <w:ind w:left="2" w:right="15"/>
      </w:pPr>
      <w:r>
        <w:t>Клинические рекомендации 2023 (проект). URL:</w:t>
      </w:r>
    </w:p>
    <w:p w:rsidR="008E3F15" w:rsidRDefault="005F449A">
      <w:pPr>
        <w:spacing w:after="0" w:line="259" w:lineRule="auto"/>
        <w:ind w:left="-5" w:right="0"/>
      </w:pPr>
      <w:hyperlink r:id="rId201">
        <w:r>
          <w:rPr>
            <w:color w:val="0000EE"/>
            <w:u w:val="single" w:color="0000EE"/>
          </w:rPr>
          <w:t>https://scardio.ru/content/Guidelines/pro</w:t>
        </w:r>
      </w:hyperlink>
      <w:hyperlink r:id="rId202">
        <w:r>
          <w:rPr>
            <w:color w:val="0000EE"/>
          </w:rPr>
          <w:t>j</w:t>
        </w:r>
      </w:hyperlink>
      <w:hyperlink r:id="rId203">
        <w:r>
          <w:rPr>
            <w:color w:val="0000EE"/>
            <w:u w:val="single" w:color="0000EE"/>
          </w:rPr>
          <w:t>ect/Pro</w:t>
        </w:r>
      </w:hyperlink>
      <w:hyperlink r:id="rId204">
        <w:r>
          <w:rPr>
            <w:color w:val="0000EE"/>
          </w:rPr>
          <w:t>j</w:t>
        </w:r>
      </w:hyperlink>
      <w:hyperlink r:id="rId205">
        <w:r>
          <w:rPr>
            <w:color w:val="0000EE"/>
            <w:u w:val="single" w:color="0000EE"/>
          </w:rPr>
          <w:t>ect_HSN_2023.pdf</w:t>
        </w:r>
      </w:hyperlink>
      <w:hyperlink r:id="rId206">
        <w:r>
          <w:t xml:space="preserve"> </w:t>
        </w:r>
      </w:hyperlink>
      <w:r>
        <w:t>(дата обращения: 15.09.2023).</w:t>
      </w:r>
    </w:p>
    <w:p w:rsidR="008E3F15" w:rsidRDefault="005F449A">
      <w:pPr>
        <w:ind w:left="2" w:right="496"/>
      </w:pPr>
      <w:r>
        <w:t>РТО. Трансплантация сердца и</w:t>
      </w:r>
      <w:r>
        <w:t xml:space="preserve"> механическая поддержка кровообращения. 2016. 92 с. 2023 Focused Update of the 2021 ESC Guidelines for the diagnosis and treatment of acute and chronic heart failure // Eur. Heart J. 2023. Vol. 44. P. 3627–3639.</w:t>
      </w:r>
    </w:p>
    <w:p w:rsidR="008E3F15" w:rsidRDefault="005F449A">
      <w:pPr>
        <w:ind w:left="2" w:right="15"/>
      </w:pPr>
      <w:r>
        <w:t>2023 ACC Expert Consensus Decision Pathway o</w:t>
      </w:r>
      <w:r>
        <w:t>n Management of Heart Failure With Preserved Ejection Fraction // J. Am. Col. Card. 2023. N. 18. P. 1835–1878.</w:t>
      </w:r>
    </w:p>
    <w:p w:rsidR="008E3F15" w:rsidRDefault="005F449A">
      <w:pPr>
        <w:spacing w:after="31"/>
        <w:ind w:left="2" w:right="15"/>
      </w:pPr>
      <w:r>
        <w:t>2022 AHA/ACC/HFSA Guideline for the Management of Heart Failure // J. Am. Col. Card. 2022.</w:t>
      </w:r>
    </w:p>
    <w:p w:rsidR="008E3F15" w:rsidRDefault="005F449A">
      <w:pPr>
        <w:spacing w:after="31"/>
        <w:ind w:left="2" w:right="15"/>
      </w:pPr>
      <w:r>
        <w:t>Vol. 79. N. 17. P. e263–e421.</w:t>
      </w:r>
    </w:p>
    <w:p w:rsidR="008E3F15" w:rsidRDefault="005F449A">
      <w:pPr>
        <w:spacing w:after="31"/>
        <w:ind w:left="2" w:right="15"/>
      </w:pPr>
      <w:r>
        <w:t xml:space="preserve">2021 ESC Guidelines for </w:t>
      </w:r>
      <w:r>
        <w:t>the diagnosis and treatment of acute and chronic heart failure // Eur.</w:t>
      </w:r>
    </w:p>
    <w:p w:rsidR="008E3F15" w:rsidRDefault="005F449A">
      <w:pPr>
        <w:spacing w:after="31"/>
        <w:ind w:left="2" w:right="15"/>
      </w:pPr>
      <w:r>
        <w:t>Heart J. 2021. N. 42. P. 3599–726.</w:t>
      </w:r>
    </w:p>
    <w:p w:rsidR="008E3F15" w:rsidRDefault="005F449A">
      <w:pPr>
        <w:ind w:left="2" w:right="15"/>
      </w:pPr>
      <w:r>
        <w:t>2021 ESC Guidelines on cardiac pacing and cardiac resynchronization therapy // Eur Heart J. 2021. Vol. 42. N. 35. P. 3427–3520.</w:t>
      </w:r>
    </w:p>
    <w:p w:rsidR="008E3F15" w:rsidRDefault="005F449A">
      <w:pPr>
        <w:ind w:left="2" w:right="15"/>
      </w:pPr>
      <w:r>
        <w:t xml:space="preserve">Bozkurt B., Coats A., </w:t>
      </w:r>
      <w:r>
        <w:t>Tsutsui H. et al. Universal Definition and Classification of Heart Failure: A Report of the Heart Failure Society of America, Heart Failure Association of the European Society of Cardiology, Japanese Heart Failure Society and Writing Committee of the Unive</w:t>
      </w:r>
      <w:r>
        <w:t>rsal Definition of Heart Failure // J. Cardiac. Failure. 2021. N. 3. P. 352–380.</w:t>
      </w:r>
    </w:p>
    <w:p w:rsidR="008E3F15" w:rsidRDefault="005F449A">
      <w:pPr>
        <w:ind w:left="2" w:right="15"/>
      </w:pPr>
      <w:r>
        <w:t>Heart Failure: A Companion to Braunwald’s Heart Disease / Eds. G.M. Felker, D.L. Mann. 2020. 760 p. Mueller C., McDonald K., de Boer R.A. et al. Heart Failure Association of t</w:t>
      </w:r>
      <w:r>
        <w:t>he European Society of Cardiology practical guidance on the use of natriuretic peptide concentrations // Eur. J. Heart Fail.</w:t>
      </w:r>
    </w:p>
    <w:p w:rsidR="008E3F15" w:rsidRDefault="005F449A">
      <w:pPr>
        <w:spacing w:after="31"/>
        <w:ind w:left="2" w:right="15"/>
      </w:pPr>
      <w:r>
        <w:t>2019. Vol. 21. N. 6. P. 715–731.</w:t>
      </w:r>
    </w:p>
    <w:p w:rsidR="008E3F15" w:rsidRDefault="005F449A">
      <w:pPr>
        <w:ind w:left="2" w:right="15"/>
      </w:pPr>
      <w:r>
        <w:t>Mullens W., Damman K., Harjola V. et al. The use of diuretics in heart failure with congestion — a</w:t>
      </w:r>
      <w:r>
        <w:t xml:space="preserve"> position statement from the Heart Failure Association of the European Society of Cardiology // Eur. J. Heart Failure. 2019. N. 2. P. 137–155.</w:t>
      </w:r>
    </w:p>
    <w:p w:rsidR="008E3F15" w:rsidRDefault="005F449A">
      <w:pPr>
        <w:ind w:left="2" w:right="15"/>
      </w:pPr>
      <w:r>
        <w:t>Recommendations for Cardiac Chamber Quantification by Echocardiography in Adults: An Update from the American Soc</w:t>
      </w:r>
      <w:r>
        <w:t>iety of Echocardiography and the European Association of Cardiovascular Imaging // J. Am. Soc. Echocardiogr. 2015. Vol. 28. N. 1. P. 1–39.e14.</w:t>
      </w:r>
    </w:p>
    <w:p w:rsidR="008E3F15" w:rsidRDefault="005F449A">
      <w:pPr>
        <w:ind w:left="2" w:right="15"/>
      </w:pPr>
      <w:r>
        <w:t>Recommendations for the Evaluation of Left Ventricular Diastolic Function by Echocardiography: An Update from the</w:t>
      </w:r>
      <w:r>
        <w:t xml:space="preserve"> American Society of Echocardiography and the European Association of Cardiovascular Imaging // J. Am. Soc. Echocardiogr. 2016. Vol. 29. N. 4. P. 277–314.</w:t>
      </w:r>
    </w:p>
    <w:p w:rsidR="008E3F15" w:rsidRDefault="005F449A">
      <w:pPr>
        <w:pStyle w:val="Heading2"/>
        <w:spacing w:after="0"/>
        <w:ind w:left="2"/>
      </w:pPr>
      <w:r>
        <w:t>Болезни клапанов сердца</w:t>
      </w:r>
    </w:p>
    <w:p w:rsidR="008E3F15" w:rsidRDefault="005F449A">
      <w:pPr>
        <w:spacing w:after="31"/>
        <w:ind w:left="2" w:right="15"/>
      </w:pPr>
      <w:r>
        <w:t>Куклин С.Г. Клапанные пороки сердца у взрослых. Иркутск: РИО ГБОУ ДПО ИГМАПО,</w:t>
      </w:r>
      <w:r>
        <w:t xml:space="preserve"> 2015.</w:t>
      </w:r>
    </w:p>
    <w:p w:rsidR="008E3F15" w:rsidRDefault="005F449A">
      <w:pPr>
        <w:spacing w:after="31"/>
        <w:ind w:left="2" w:right="15"/>
      </w:pPr>
      <w:r>
        <w:t>82 с.</w:t>
      </w:r>
    </w:p>
    <w:p w:rsidR="008E3F15" w:rsidRDefault="005F449A">
      <w:pPr>
        <w:ind w:left="2" w:right="15"/>
      </w:pPr>
      <w:r>
        <w:t xml:space="preserve">Ассоциация сердечно-сосудистых хирургов России. Клинические рекомендации. Митральный стеноз. </w:t>
      </w:r>
      <w:hyperlink r:id="rId207">
        <w:r>
          <w:rPr>
            <w:color w:val="0000EE"/>
            <w:u w:val="single" w:color="0000EE"/>
          </w:rPr>
          <w:t>https://racvs.ru/upload/iblock/937/9378fe358ba0d2b84cde6795dd802d9d.pdf</w:t>
        </w:r>
      </w:hyperlink>
      <w:r>
        <w:t>. (дата обращения: 01.06.2023).</w:t>
      </w:r>
    </w:p>
    <w:p w:rsidR="008E3F15" w:rsidRDefault="005F449A">
      <w:pPr>
        <w:ind w:left="2" w:right="15"/>
      </w:pPr>
      <w:r>
        <w:t xml:space="preserve">Ассоциация сердечно-сосудистых хирургов России. Клинические рекомендации. Митральная регургитация. </w:t>
      </w:r>
      <w:hyperlink r:id="rId208">
        <w:r>
          <w:rPr>
            <w:color w:val="0000EE"/>
            <w:u w:val="single" w:color="0000EE"/>
          </w:rPr>
          <w:t>https://racvs.ru/upload/iblock/b4e/b4e1957197feea4acb0a7f39c89c6453.pdf</w:t>
        </w:r>
      </w:hyperlink>
      <w:hyperlink r:id="rId209">
        <w:r>
          <w:t>.</w:t>
        </w:r>
      </w:hyperlink>
      <w:r>
        <w:t xml:space="preserve"> (дата обращения: 01.06.2023).</w:t>
      </w:r>
    </w:p>
    <w:p w:rsidR="008E3F15" w:rsidRDefault="005F449A">
      <w:pPr>
        <w:ind w:left="2" w:right="15"/>
      </w:pPr>
      <w:r>
        <w:t>Ассоциация сердечно-сосуд</w:t>
      </w:r>
      <w:r>
        <w:t xml:space="preserve">истых хирургов России. Клинические рекомендации. Аортальный стеноз. </w:t>
      </w:r>
      <w:hyperlink r:id="rId210">
        <w:r>
          <w:rPr>
            <w:color w:val="0000EE"/>
            <w:u w:val="single" w:color="0000EE"/>
          </w:rPr>
          <w:t>https://racvs.ru/clinic/files/2016/Aortic-stenosis.pdf</w:t>
        </w:r>
      </w:hyperlink>
      <w:hyperlink r:id="rId211">
        <w:r>
          <w:t>.</w:t>
        </w:r>
      </w:hyperlink>
      <w:r>
        <w:t xml:space="preserve"> (дата обращения: 01.06.2023). Ассоциация сердечно-сосудистых хирургов России. Клинические рекомендации. Аортальная регургитация. </w:t>
      </w:r>
      <w:hyperlink r:id="rId212">
        <w:r>
          <w:rPr>
            <w:color w:val="0000EE"/>
            <w:u w:val="single" w:color="0000EE"/>
          </w:rPr>
          <w:t>https://racvs.ru/clinic/files/2016/Aort</w:t>
        </w:r>
        <w:r>
          <w:rPr>
            <w:color w:val="0000EE"/>
            <w:u w:val="single" w:color="0000EE"/>
          </w:rPr>
          <w:t>ic-re</w:t>
        </w:r>
      </w:hyperlink>
      <w:hyperlink r:id="rId213">
        <w:r>
          <w:rPr>
            <w:color w:val="0000EE"/>
          </w:rPr>
          <w:t>g</w:t>
        </w:r>
      </w:hyperlink>
      <w:hyperlink r:id="rId214">
        <w:r>
          <w:rPr>
            <w:color w:val="0000EE"/>
            <w:u w:val="single" w:color="0000EE"/>
          </w:rPr>
          <w:t>ur</w:t>
        </w:r>
      </w:hyperlink>
      <w:hyperlink r:id="rId215">
        <w:r>
          <w:rPr>
            <w:color w:val="0000EE"/>
          </w:rPr>
          <w:t>g</w:t>
        </w:r>
      </w:hyperlink>
      <w:hyperlink r:id="rId216">
        <w:r>
          <w:rPr>
            <w:color w:val="0000EE"/>
            <w:u w:val="single" w:color="0000EE"/>
          </w:rPr>
          <w:t>.pdf</w:t>
        </w:r>
      </w:hyperlink>
      <w:r>
        <w:t>. (дата обращения: 01.06.2023). 2018 ESC Guidelines for the management of cardiovascular diseases during pregnancy // Eur.</w:t>
      </w:r>
    </w:p>
    <w:p w:rsidR="008E3F15" w:rsidRDefault="005F449A">
      <w:pPr>
        <w:spacing w:after="31"/>
        <w:ind w:left="2" w:right="15"/>
      </w:pPr>
      <w:r>
        <w:t>Heart J. 2018. Vol. 39. P. 3165–3241.</w:t>
      </w:r>
    </w:p>
    <w:p w:rsidR="008E3F15" w:rsidRDefault="005F449A">
      <w:pPr>
        <w:numPr>
          <w:ilvl w:val="0"/>
          <w:numId w:val="16"/>
        </w:numPr>
        <w:spacing w:after="31"/>
        <w:ind w:right="181" w:hanging="583"/>
      </w:pPr>
      <w:r>
        <w:t>ACC/AHA Guideline for</w:t>
      </w:r>
      <w:r>
        <w:t xml:space="preserve"> the Management of Patients With Valvular Heart Disease // J. Am. Col.</w:t>
      </w:r>
    </w:p>
    <w:p w:rsidR="008E3F15" w:rsidRDefault="005F449A">
      <w:pPr>
        <w:spacing w:after="31"/>
        <w:ind w:left="2" w:right="15"/>
      </w:pPr>
      <w:r>
        <w:t>Card. 2021. N. 77. P. e25–e197.</w:t>
      </w:r>
    </w:p>
    <w:p w:rsidR="008E3F15" w:rsidRDefault="005F449A">
      <w:pPr>
        <w:numPr>
          <w:ilvl w:val="0"/>
          <w:numId w:val="16"/>
        </w:numPr>
        <w:ind w:right="181" w:hanging="583"/>
      </w:pPr>
      <w:r>
        <w:t>ESC/EACTS Guidelines for the management of valvular heart disease // Eur. Heart J. 2022. N. 43. P. 561–632.</w:t>
      </w:r>
    </w:p>
    <w:p w:rsidR="008E3F15" w:rsidRDefault="005F449A">
      <w:pPr>
        <w:ind w:left="2" w:right="15"/>
      </w:pPr>
      <w:r>
        <w:t>Baumgartner H., Hung J., Bermejo J. et al. Re</w:t>
      </w:r>
      <w:r>
        <w:t>commendations on the echocardiographic assessment of aortic valve stenosis: a focused update from the European Association of Cardiovascular Imaging and the American Society of Echocardiography // Eur. Heart J. — Cardiovascular Imaging. 2016. N. 3. P. 254–</w:t>
      </w:r>
      <w:r>
        <w:t>275.</w:t>
      </w:r>
    </w:p>
    <w:p w:rsidR="008E3F15" w:rsidRDefault="005F449A">
      <w:pPr>
        <w:ind w:left="2" w:right="15"/>
      </w:pPr>
      <w:r>
        <w:t>Bonow R., O’Gara P., Adams D. et al. 2020 Focused Update of the 2017 ACC Expert Consensus Decision Pathway on the Management of Mitral Regurgitation // J. Am. Col. Card. 2020. Vol. 75.</w:t>
      </w:r>
    </w:p>
    <w:p w:rsidR="008E3F15" w:rsidRDefault="005F449A">
      <w:pPr>
        <w:spacing w:after="31"/>
        <w:ind w:left="2" w:right="15"/>
      </w:pPr>
      <w:r>
        <w:t>Issue 17. P. 27082.</w:t>
      </w:r>
    </w:p>
    <w:p w:rsidR="008E3F15" w:rsidRDefault="005F449A">
      <w:pPr>
        <w:ind w:left="2" w:right="15"/>
      </w:pPr>
      <w:r>
        <w:t>Echocardiographic Assessment of Valve Stenosis</w:t>
      </w:r>
      <w:r>
        <w:t>: EAE/ASE Recommendations for Clinical Practice // J. Am. Soc. Echocardiogr. 2009. Vol. 22. N. 5. P. 442.</w:t>
      </w:r>
    </w:p>
    <w:p w:rsidR="008E3F15" w:rsidRDefault="005F449A">
      <w:pPr>
        <w:spacing w:after="359"/>
        <w:ind w:left="2" w:right="198"/>
      </w:pPr>
      <w:r>
        <w:t>Coats A., Anker S., Baumbach A. et al. The management of secondary mitral regurgitation in patients with heart failure: a joint position statement fro</w:t>
      </w:r>
      <w:r>
        <w:t xml:space="preserve">m the Heart Failure Association (HFA), European Association of Cardiovascular Imaging (EACVI), European Heart Rhythm Association (EHRA), and European Association of Percutaneous Cardiovascular Interventions (EAPCI) of the ESC // Eur. Heart J. 2021. N. 13. </w:t>
      </w:r>
      <w:r>
        <w:t>P. 1254–1269.</w:t>
      </w:r>
    </w:p>
    <w:p w:rsidR="008E3F15" w:rsidRDefault="005F449A">
      <w:pPr>
        <w:pStyle w:val="Heading1"/>
        <w:ind w:left="2"/>
      </w:pPr>
      <w:r>
        <w:t>Библиографический список</w:t>
      </w:r>
    </w:p>
    <w:p w:rsidR="008E3F15" w:rsidRDefault="005F449A">
      <w:pPr>
        <w:ind w:left="2" w:right="15"/>
      </w:pPr>
      <w:r>
        <w:t>Surgical and interventional management of mitral valve regurgitation: a position statement from the ESC Working Groups on Cardiovascular Surgery and Valvular Heart Disease // Eur Heart J. 2016.</w:t>
      </w:r>
    </w:p>
    <w:p w:rsidR="008E3F15" w:rsidRDefault="005F449A">
      <w:pPr>
        <w:ind w:left="2" w:right="527"/>
      </w:pPr>
      <w:r>
        <w:t>Vol. 37. N. 2. P. 133–1</w:t>
      </w:r>
      <w:r>
        <w:t>39. ten Berg J., Sibbing D., Rocca B. et al. Management of antithrombotic therapy in patients undergoing transcatheter aortic valve implantation: a consensus document of the ESC Working</w:t>
      </w:r>
    </w:p>
    <w:p w:rsidR="008E3F15" w:rsidRDefault="005F449A">
      <w:pPr>
        <w:ind w:left="2" w:right="15"/>
      </w:pPr>
      <w:r>
        <w:t>Group on Thrombosis and the European Association of Percutaneous Cardi</w:t>
      </w:r>
      <w:r>
        <w:t>ovascular Interventions (EAPCI), in collaboration with the ESC Council on Valvular Heart Disease // Eur. Heart J. 2021. N. 23. P. 2265–2269.</w:t>
      </w:r>
    </w:p>
    <w:p w:rsidR="008E3F15" w:rsidRDefault="005F449A">
      <w:pPr>
        <w:ind w:left="2" w:right="15"/>
      </w:pPr>
      <w:r>
        <w:t>Valvular Heart Disease A Companion to Braunwald’s Heart Disease / Eds. C. Otto, R. Bonow. 2021. 668 p.</w:t>
      </w:r>
    </w:p>
    <w:p w:rsidR="008E3F15" w:rsidRDefault="005F449A">
      <w:pPr>
        <w:pStyle w:val="Heading2"/>
        <w:ind w:left="2"/>
      </w:pPr>
      <w:r>
        <w:t>Инфекционный</w:t>
      </w:r>
      <w:r>
        <w:t xml:space="preserve"> эндокардит</w:t>
      </w:r>
    </w:p>
    <w:p w:rsidR="008E3F15" w:rsidRDefault="005F449A">
      <w:pPr>
        <w:ind w:left="2" w:right="15"/>
      </w:pPr>
      <w:r>
        <w:t>2023 ESC Guidelines for the management of endocarditis: Developed by the task force on the management of endocarditis of the European Society of Cardiology (ESC) Endorsed by the</w:t>
      </w:r>
    </w:p>
    <w:p w:rsidR="008E3F15" w:rsidRDefault="005F449A">
      <w:pPr>
        <w:ind w:left="2" w:right="15"/>
      </w:pPr>
      <w:r>
        <w:t>European Association for Cardio-Thoracic Surgery (EACTS) and the European Association of Nuclear Medicine (EANM) // Eur. Heart J. 2023. Vol. 39. P. 3948–4042.</w:t>
      </w:r>
    </w:p>
    <w:p w:rsidR="008E3F15" w:rsidRDefault="005F449A">
      <w:pPr>
        <w:ind w:left="2" w:right="15"/>
      </w:pPr>
      <w:r>
        <w:t>Baddour L. Janszky I. Thornhill M. et al. Nondental Invasive Procedures and Risk of Infective End</w:t>
      </w:r>
      <w:r>
        <w:t>ocarditis: Time for a Revisit: A Science Advisory From the American Heart Association // Circulation. 2023. Vol. 148. P. 1529–1541.</w:t>
      </w:r>
    </w:p>
    <w:p w:rsidR="008E3F15" w:rsidRDefault="005F449A">
      <w:pPr>
        <w:spacing w:after="31"/>
        <w:ind w:left="2" w:right="15"/>
      </w:pPr>
      <w:r>
        <w:t>Infective Endocarditis in Adults: Diagnosis, Antimicrobial Therapy, and Management of</w:t>
      </w:r>
    </w:p>
    <w:p w:rsidR="008E3F15" w:rsidRDefault="005F449A">
      <w:pPr>
        <w:spacing w:after="31"/>
        <w:ind w:left="2" w:right="15"/>
      </w:pPr>
      <w:r>
        <w:t xml:space="preserve">Complications. A Scientific Statement </w:t>
      </w:r>
      <w:r>
        <w:t>for Healthcare Professionals From the AHA // Circulation.</w:t>
      </w:r>
    </w:p>
    <w:p w:rsidR="008E3F15" w:rsidRDefault="005F449A">
      <w:pPr>
        <w:spacing w:after="31"/>
        <w:ind w:left="2" w:right="15"/>
      </w:pPr>
      <w:r>
        <w:t>2015. Vol. 132. N. 15. P. 1435–1486.</w:t>
      </w:r>
    </w:p>
    <w:p w:rsidR="008E3F15" w:rsidRDefault="005F449A">
      <w:pPr>
        <w:ind w:left="2" w:right="15"/>
      </w:pPr>
      <w:r>
        <w:t>Wilson Walter R, Gewitz Michael, Lockhart Peter B. et al. Prevention of Viridans Group Streptococcal Infective Endocarditis: A Scientific Statement From the Amer</w:t>
      </w:r>
      <w:r>
        <w:t>ican Heart Association // Circulation. 2021. Vol. 143. N 20. P. e963–e978</w:t>
      </w:r>
    </w:p>
    <w:p w:rsidR="008E3F15" w:rsidRDefault="005F449A">
      <w:pPr>
        <w:pStyle w:val="Heading2"/>
        <w:spacing w:after="0"/>
        <w:ind w:left="2"/>
      </w:pPr>
      <w:r>
        <w:t>Мио кардиты</w:t>
      </w:r>
    </w:p>
    <w:p w:rsidR="008E3F15" w:rsidRDefault="005F449A">
      <w:pPr>
        <w:ind w:left="2" w:right="15"/>
      </w:pPr>
      <w:r>
        <w:t xml:space="preserve">Российское кардиологическое общество. Мио кардиты. Клинические рекомендации. 2020. </w:t>
      </w:r>
      <w:hyperlink r:id="rId217">
        <w:r>
          <w:rPr>
            <w:color w:val="0000EE"/>
            <w:u w:val="single" w:color="0000EE"/>
          </w:rPr>
          <w:t>https://cr.minzdrav.</w:t>
        </w:r>
      </w:hyperlink>
      <w:hyperlink r:id="rId218">
        <w:r>
          <w:rPr>
            <w:color w:val="0000EE"/>
          </w:rPr>
          <w:t>g</w:t>
        </w:r>
      </w:hyperlink>
      <w:hyperlink r:id="rId219">
        <w:r>
          <w:rPr>
            <w:color w:val="0000EE"/>
            <w:u w:val="single" w:color="0000EE"/>
          </w:rPr>
          <w:t>ov.ru/recomend/153_1</w:t>
        </w:r>
      </w:hyperlink>
      <w:r>
        <w:t>. (дата обращения: 01.06.2023).</w:t>
      </w:r>
    </w:p>
    <w:p w:rsidR="008E3F15" w:rsidRDefault="005F449A">
      <w:pPr>
        <w:ind w:left="2" w:right="15"/>
      </w:pPr>
      <w:r>
        <w:t>Caforio A., Adler Y., Agostini C. et al. Diagnosis and management of myocardial involve</w:t>
      </w:r>
      <w:r>
        <w:t>ment in systemic immune-mediated diseases: a position statement of the ESC Working Group on Myocardial and Pericardial Disease // Eur. Heart J. 2017. Vol. 38. N. 35. P. 2649–2662.</w:t>
      </w:r>
    </w:p>
    <w:p w:rsidR="008E3F15" w:rsidRDefault="005F449A">
      <w:pPr>
        <w:ind w:left="2" w:right="281"/>
      </w:pPr>
      <w:r>
        <w:t>Caforio A.L.P., Pankuweit S., Arbustini E. et al. Current state of knowledge</w:t>
      </w:r>
      <w:r>
        <w:t xml:space="preserve"> on aetiology, diagnosis, management, and therapy of myocarditis: a position statement of the European Society of Cardiology Working Group on Myocardial and Pericardial Diseases // Eur. Heart J. 2013. Vol. 34. N. 33. P. 2636–2648.</w:t>
      </w:r>
    </w:p>
    <w:p w:rsidR="008E3F15" w:rsidRDefault="005F449A">
      <w:pPr>
        <w:ind w:left="2" w:right="15"/>
      </w:pPr>
      <w:r>
        <w:t>Kociol R., Cooper L., Fan</w:t>
      </w:r>
      <w:r>
        <w:t>g J. et al. Recognition and Initial Management of Fulminant Myocarditis: A Scientific Statement From the American Heart Association // Circulation. 2020. Vol. 141. N. 6.</w:t>
      </w:r>
    </w:p>
    <w:p w:rsidR="008E3F15" w:rsidRDefault="005F449A">
      <w:pPr>
        <w:spacing w:after="31"/>
        <w:ind w:left="2" w:right="15"/>
      </w:pPr>
      <w:r>
        <w:t>P. e69–e92</w:t>
      </w:r>
    </w:p>
    <w:p w:rsidR="008E3F15" w:rsidRDefault="005F449A">
      <w:pPr>
        <w:ind w:left="2" w:right="15"/>
      </w:pPr>
      <w:r>
        <w:t>Seferović P., Tsutsui H., McNamara D. et al. Heart Failure Association of t</w:t>
      </w:r>
      <w:r>
        <w:t>he ESC, Heart Failure Society of America and Japanese Heart Failure Society Position statement on endomyocardial biopsy // Eur. J. Heart Failure. 2021. N. 6. P. 854–871.</w:t>
      </w:r>
    </w:p>
    <w:p w:rsidR="008E3F15" w:rsidRDefault="005F449A">
      <w:pPr>
        <w:ind w:left="2" w:right="345"/>
      </w:pPr>
      <w:r>
        <w:t>Wang D., Li S., Jiang J. et al. Chinese society of cardiology expert consensus stateme</w:t>
      </w:r>
      <w:r>
        <w:t>nt on the diagnosis and treatment of adult fulminant myocarditis // Sci. China Life Sci. 2019. Vol. 62. N. 2. P. 187–202.</w:t>
      </w:r>
    </w:p>
    <w:p w:rsidR="008E3F15" w:rsidRDefault="005F449A">
      <w:pPr>
        <w:pStyle w:val="Heading2"/>
        <w:spacing w:after="0"/>
        <w:ind w:left="2"/>
      </w:pPr>
      <w:r>
        <w:t>Артериальная гипертензия</w:t>
      </w:r>
    </w:p>
    <w:p w:rsidR="008E3F15" w:rsidRDefault="005F449A">
      <w:pPr>
        <w:ind w:left="2" w:right="131"/>
      </w:pPr>
      <w:r>
        <w:t>Российское кардиологическое обществj. Артериальная гипертензия у взрослых. Клинические рекомендации 2020. Рос</w:t>
      </w:r>
      <w:r>
        <w:t>сийский кардиологический журнал 2020. T. 25.№ 3. С. 150–218. 2017 ACC/AHA/AAPA/ABC/ACPM/AGS/APhA/ASH/ASPC/NMA/PCNA Guideline for the Prevention, Detection, Evaluation, and Management of High Blood Pressure in Adults. J Am Coll Card. 2018.</w:t>
      </w:r>
    </w:p>
    <w:p w:rsidR="008E3F15" w:rsidRDefault="005F449A">
      <w:pPr>
        <w:spacing w:after="31"/>
        <w:ind w:left="2" w:right="15"/>
      </w:pPr>
      <w:r>
        <w:t>Vol. 71. N. 19. P</w:t>
      </w:r>
      <w:r>
        <w:t>. 2199–2269.</w:t>
      </w:r>
    </w:p>
    <w:p w:rsidR="008E3F15" w:rsidRDefault="005F449A">
      <w:pPr>
        <w:ind w:left="2" w:right="15"/>
      </w:pPr>
      <w:r>
        <w:t>2021 ESC Guidelines on cardiovascular disease prevention in clinical practice // Eur. Heart J. 2021. N. 34: 3227–3237.</w:t>
      </w:r>
    </w:p>
    <w:p w:rsidR="008E3F15" w:rsidRDefault="005F449A">
      <w:pPr>
        <w:ind w:left="2" w:right="15"/>
      </w:pPr>
      <w:r>
        <w:t>2023 ESH Guidelines for the management of arterial hypertension The Task Force for the management of arterial hypertension of the European Society of Hypertension Endorsed by the European Renal Association (ERA) and the International Society of Hypertensio</w:t>
      </w:r>
      <w:r>
        <w:t>n (ISH) // J Hypert.</w:t>
      </w:r>
    </w:p>
    <w:p w:rsidR="008E3F15" w:rsidRDefault="005F449A">
      <w:pPr>
        <w:spacing w:after="31"/>
        <w:ind w:left="2" w:right="15"/>
      </w:pPr>
      <w:r>
        <w:t>2023. Vol. 41. P. 1874–2071.</w:t>
      </w:r>
    </w:p>
    <w:p w:rsidR="008E3F15" w:rsidRDefault="005F449A">
      <w:pPr>
        <w:ind w:left="2" w:right="15"/>
      </w:pPr>
      <w:r>
        <w:t>Manual of Hypertension of the European Society of Hypertension //Eds. G. Mancia, G. Grassi. Boca Raton:Taylor &amp; Francis Group, 2019. 650 p.</w:t>
      </w:r>
    </w:p>
    <w:p w:rsidR="008E3F15" w:rsidRDefault="005F449A">
      <w:pPr>
        <w:spacing w:after="31"/>
        <w:ind w:left="2" w:right="15"/>
      </w:pPr>
      <w:r>
        <w:t>Muntner P., Shimbo D., Carey R. et al. Measurement of Blood Pressu</w:t>
      </w:r>
      <w:r>
        <w:t>re in Humans: A Scientific</w:t>
      </w:r>
    </w:p>
    <w:p w:rsidR="008E3F15" w:rsidRDefault="005F449A">
      <w:pPr>
        <w:ind w:left="2" w:right="409"/>
      </w:pPr>
      <w:r>
        <w:t>Statement From the American Heart Association // Hypertension. 2019. Vol. 73. N. 5. P. e35–e66. Mulatero P., Monticone S., Deinum J. et al. Genetics, prevalence, screening and confirmation of primary aldosteronism: a position statement and consensus of the</w:t>
      </w:r>
      <w:r>
        <w:t xml:space="preserve"> Working Group on Endocrine Hypertension of The European Society of Hypertension // J. Hypertens. 2020. Vol. 38. N. 10. P. 1919–1928.</w:t>
      </w:r>
    </w:p>
    <w:p w:rsidR="008E3F15" w:rsidRDefault="005F449A">
      <w:pPr>
        <w:ind w:left="2" w:right="15"/>
      </w:pPr>
      <w:r>
        <w:t>Mulatero P., Sechi L.A., Williams T.A. et al. Subtype diagnosis, treatment, complications and outcomes of primary aldoster</w:t>
      </w:r>
      <w:r>
        <w:t>onism and future direction of research: a position statement and consensus of the Working Group on Endocrine Hypertension of the European Society of Hypertension // J. Hypertens. 2020. Vol. 38. N. 10. P. 1929–1936.</w:t>
      </w:r>
    </w:p>
    <w:p w:rsidR="008E3F15" w:rsidRDefault="005F449A">
      <w:pPr>
        <w:spacing w:after="359"/>
        <w:ind w:left="2" w:right="15"/>
      </w:pPr>
      <w:r>
        <w:t>Stergiou G.S., Alpert B., Mieke S. et al.</w:t>
      </w:r>
      <w:r>
        <w:t xml:space="preserve"> A universal standard for the validation of blood pressure measuring devices: Association for the Advancement of Medical Instrumentation/European Society of Hypertension/International Organization for Standardization (AAMI/ESH/ISO) Collaboration Statement </w:t>
      </w:r>
      <w:r>
        <w:t>// J. Hypertens. 2018. Vol. 36. N. 3. P. 472–478.</w:t>
      </w:r>
    </w:p>
    <w:p w:rsidR="008E3F15" w:rsidRDefault="005F449A">
      <w:pPr>
        <w:pStyle w:val="Heading1"/>
        <w:ind w:left="2"/>
      </w:pPr>
      <w:r>
        <w:t>Библиографический список</w:t>
      </w:r>
    </w:p>
    <w:p w:rsidR="008E3F15" w:rsidRDefault="005F449A">
      <w:pPr>
        <w:ind w:left="2" w:right="15"/>
      </w:pPr>
      <w:r>
        <w:t>Resistant Hypertension: Detection, Evaluation, and Management: A Scientific Statement From the American Heart Association // Hypertension. 2018. Vol. 72. P. e53–e90.</w:t>
      </w:r>
    </w:p>
    <w:p w:rsidR="008E3F15" w:rsidRDefault="005F449A">
      <w:pPr>
        <w:ind w:left="2" w:right="15"/>
      </w:pPr>
      <w:r>
        <w:t>Unger T., Borgh</w:t>
      </w:r>
      <w:r>
        <w:t>i C., Charchar F. et al. 2020 International Society of Hypertension Global Hypertension Practice Guidelines // Hypertension. 2020. N. 6. P. 1334–1357.</w:t>
      </w:r>
    </w:p>
    <w:p w:rsidR="008E3F15" w:rsidRDefault="005F449A">
      <w:pPr>
        <w:ind w:left="2" w:right="15"/>
      </w:pPr>
      <w:r>
        <w:t>World Health Organization. Guideline for the pharmacological treatment of hypertension in adults. 2021. 4</w:t>
      </w:r>
      <w:r>
        <w:t>8 p.</w:t>
      </w:r>
    </w:p>
    <w:p w:rsidR="008E3F15" w:rsidRDefault="005F449A">
      <w:pPr>
        <w:pStyle w:val="Heading2"/>
        <w:spacing w:after="0"/>
        <w:ind w:left="2"/>
      </w:pPr>
      <w:r>
        <w:t>Периоперационное ведение</w:t>
      </w:r>
    </w:p>
    <w:p w:rsidR="008E3F15" w:rsidRDefault="005F449A">
      <w:pPr>
        <w:ind w:left="2" w:right="15"/>
      </w:pPr>
      <w:r>
        <w:t>Сумин А.Н., Дупляков Д.В., Белялов Ф.И., и др. Рекомендации по оценке и коррекции сердечно-сосудистых рисков при несердечных операциях 2023 // Российский кардиологический журнал. 2023. №. 8. С. 136–208.</w:t>
      </w:r>
    </w:p>
    <w:p w:rsidR="008E3F15" w:rsidRDefault="005F449A">
      <w:pPr>
        <w:ind w:left="2" w:right="15"/>
      </w:pPr>
      <w:r>
        <w:t>Сумин А.Н., Барбараш О.</w:t>
      </w:r>
      <w:r>
        <w:t>Л., Барбараш Л.С. Кардиологические осложнения при некардиальных хирургических операциях. Кемерово : Кузбассвузиздат, 2013. 175 с.</w:t>
      </w:r>
    </w:p>
    <w:p w:rsidR="008E3F15" w:rsidRDefault="005F449A">
      <w:pPr>
        <w:ind w:left="2" w:right="15"/>
      </w:pPr>
      <w:r>
        <w:t xml:space="preserve">2014 ACC/AHA Guideline on Perioperative Cardiovascular Evaluation and Management of Patients Undergoing Noncardiac Surgery // </w:t>
      </w:r>
      <w:r>
        <w:t>Circulation. 2014. Vol. 130. P. e278–e333.</w:t>
      </w:r>
    </w:p>
    <w:p w:rsidR="008E3F15" w:rsidRDefault="005F449A">
      <w:pPr>
        <w:numPr>
          <w:ilvl w:val="0"/>
          <w:numId w:val="17"/>
        </w:numPr>
        <w:ind w:right="80"/>
      </w:pPr>
      <w:r>
        <w:t>ACC/AHA Guideline Focused Update on Duration of Dual Antiplatelet Therapy in Patients WithCoronary Artery Disease // J. Am. Col. Card. 2016. Vol. 68. N. 10. P. 1082–1115.</w:t>
      </w:r>
    </w:p>
    <w:p w:rsidR="008E3F15" w:rsidRDefault="005F449A">
      <w:pPr>
        <w:numPr>
          <w:ilvl w:val="0"/>
          <w:numId w:val="17"/>
        </w:numPr>
        <w:ind w:right="80"/>
      </w:pPr>
      <w:r>
        <w:t xml:space="preserve">ACC Expert Consensus Decision Pathway for </w:t>
      </w:r>
      <w:r>
        <w:t>Periprocedural Management of Anticoagulationin Patients With Nonvalvular Atrial Fibrillation // J. Am. Col. Card. 2017. Vol. 69. N. 7. P. 871. 2018 ESC/EACTS Guidelines on myocardial revascularization // Eur.Heart J. 2019. N. 2. P. 87–165. 2022 ESC Guideli</w:t>
      </w:r>
      <w:r>
        <w:t>nes on cardiovascular assessment and management of patients undergoing noncardiac surgery: Developed by the task force for cardiovascular assessment and management of patients undergoing non-cardiac surgery of the European Society of Cardiology (ESC) Endor</w:t>
      </w:r>
      <w:r>
        <w:t>sed by the European Society of Anaesthesiology and Intensive Care (ESAIC) // Eur. Heart J. 2022. P. ehac270.</w:t>
      </w:r>
    </w:p>
    <w:p w:rsidR="008E3F15" w:rsidRDefault="005F449A">
      <w:pPr>
        <w:spacing w:after="31"/>
        <w:ind w:left="2" w:right="15"/>
      </w:pPr>
      <w:r>
        <w:t>ICSI Perioperative Guideline. 2020. 86 p.</w:t>
      </w:r>
    </w:p>
    <w:p w:rsidR="008E3F15" w:rsidRDefault="005F449A">
      <w:pPr>
        <w:ind w:left="2" w:right="15"/>
      </w:pPr>
      <w:r>
        <w:t>Bulluck H., Paradies V., Barbato E. et al. Prognostically relevant periprocedural myocardial injury and i</w:t>
      </w:r>
      <w:r>
        <w:t>nfarction associated with percutaneous coronary interventions: a Consensus Document of the ESC Working Group on Cellular Biology of the Heart and European Association of Percutaneous Cardiovascular Interventions (EAPCI) // Eur. Heart J. 2021. N. 27. P. 263</w:t>
      </w:r>
      <w:r>
        <w:t>0–2642.</w:t>
      </w:r>
    </w:p>
    <w:p w:rsidR="008E3F15" w:rsidRDefault="005F449A">
      <w:pPr>
        <w:pStyle w:val="Heading2"/>
        <w:spacing w:after="0"/>
        <w:ind w:left="2"/>
      </w:pPr>
      <w:r>
        <w:t>Гипотиреоз</w:t>
      </w:r>
    </w:p>
    <w:p w:rsidR="008E3F15" w:rsidRDefault="005F449A">
      <w:pPr>
        <w:spacing w:after="31"/>
        <w:ind w:left="2" w:right="15"/>
      </w:pPr>
      <w:r>
        <w:t>Российская ассоциация эндокринологов. Клинические рекомендации по гипотиреозу.2021.</w:t>
      </w:r>
    </w:p>
    <w:p w:rsidR="008E3F15" w:rsidRDefault="005F449A">
      <w:pPr>
        <w:ind w:left="2" w:right="1049"/>
      </w:pPr>
      <w:r>
        <w:t xml:space="preserve">URL: </w:t>
      </w:r>
      <w:hyperlink r:id="rId220">
        <w:r>
          <w:rPr>
            <w:color w:val="0000EE"/>
            <w:u w:val="single" w:color="0000EE"/>
          </w:rPr>
          <w:t>https://cr.minzdrav.</w:t>
        </w:r>
      </w:hyperlink>
      <w:hyperlink r:id="rId221">
        <w:r>
          <w:rPr>
            <w:color w:val="0000EE"/>
          </w:rPr>
          <w:t>g</w:t>
        </w:r>
      </w:hyperlink>
      <w:hyperlink r:id="rId222">
        <w:r>
          <w:rPr>
            <w:color w:val="0000EE"/>
            <w:u w:val="single" w:color="0000EE"/>
          </w:rPr>
          <w:t>ov.ru/recomend/531_3</w:t>
        </w:r>
      </w:hyperlink>
      <w:r>
        <w:t>. (дата обращения: 01.06.2023). Руяткина Л.А., Руяткин Д.С. Субклинический гипотиреоз и метаболический синдром:</w:t>
      </w:r>
    </w:p>
    <w:p w:rsidR="008E3F15" w:rsidRDefault="005F449A">
      <w:pPr>
        <w:ind w:left="2" w:right="15"/>
      </w:pPr>
      <w:r>
        <w:t>основания для медикаментозного вмешательства // Ожирение и метаболиз</w:t>
      </w:r>
      <w:r>
        <w:t>м. 2020. Т. 17. № 1. С. 41–47.</w:t>
      </w:r>
    </w:p>
    <w:p w:rsidR="008E3F15" w:rsidRDefault="005F449A">
      <w:pPr>
        <w:ind w:left="2" w:right="15"/>
      </w:pPr>
      <w:r>
        <w:t>Эндокринология. Национальное руководство / Под ред. И.И. Дедова, Г.А.Мельниченко. 2-е изд. , перераб. и доп. М.: ГЭОТАР-Медиа, 2021. 1112 с.</w:t>
      </w:r>
    </w:p>
    <w:p w:rsidR="008E3F15" w:rsidRDefault="005F449A">
      <w:pPr>
        <w:ind w:left="2" w:right="15"/>
      </w:pPr>
      <w:r>
        <w:t>2013 ETA Guideline: Management of Subclinical Hypothyroidism // Eur. Thyroid. J. 2013. Vol. 2. N. 4. P. 215–228.</w:t>
      </w:r>
    </w:p>
    <w:p w:rsidR="008E3F15" w:rsidRDefault="005F449A">
      <w:pPr>
        <w:ind w:left="2" w:right="111"/>
      </w:pPr>
      <w:r>
        <w:t>American Association of Clinical Endocrinologists, American Thyroid Association. Clinical Practice Guidelines for Hypothyroidism In Adults // E</w:t>
      </w:r>
      <w:r>
        <w:t>ndocr. Pract. 2012. Vol. 18. N. 6. P. 988–1028. Bekkering G., Agoritsas T., Lytvyn L. et al. Thyroid hormones treatment for subclinical hypothyroidism: a clinical practice guideline // BMJ. 2019. Vol. 365. P. l2006.</w:t>
      </w:r>
    </w:p>
    <w:p w:rsidR="008E3F15" w:rsidRDefault="005F449A">
      <w:pPr>
        <w:ind w:left="2" w:right="15"/>
      </w:pPr>
      <w:r>
        <w:t xml:space="preserve">Jonklaas J., Bianco A.C., Bauer A.J. et </w:t>
      </w:r>
      <w:r>
        <w:t>al. Guidelines for the Treatment of Hypothyroidism: Prepared by the American Thyroid Association Task Force on Thyroid Hormone Replacement // Thyroid. 2014.</w:t>
      </w:r>
    </w:p>
    <w:p w:rsidR="008E3F15" w:rsidRDefault="005F449A">
      <w:pPr>
        <w:spacing w:after="31"/>
        <w:ind w:left="2" w:right="15"/>
      </w:pPr>
      <w:r>
        <w:t>Vol. 24. N. 12. P. 1670–1751.</w:t>
      </w:r>
    </w:p>
    <w:p w:rsidR="008E3F15" w:rsidRDefault="005F449A">
      <w:pPr>
        <w:ind w:left="2" w:right="215"/>
      </w:pPr>
      <w:r>
        <w:t>Okosieme O., Gilbert J., Abraham P. et al. Management of primary hypo</w:t>
      </w:r>
      <w:r>
        <w:t>thyroidism: statement by the British Thyroid Association Executive Committee // Clin. Endocrinol. (Oxf). 2016. Vol. 84. N. 6. P. 799–808.</w:t>
      </w:r>
    </w:p>
    <w:p w:rsidR="008E3F15" w:rsidRDefault="005F449A">
      <w:pPr>
        <w:spacing w:after="31"/>
        <w:ind w:left="2" w:right="15"/>
      </w:pPr>
      <w:r>
        <w:t>Williams Textbook of Endocrinology. 2020. 1724 p.</w:t>
      </w:r>
    </w:p>
    <w:p w:rsidR="008E3F15" w:rsidRDefault="005F449A">
      <w:pPr>
        <w:pStyle w:val="Heading2"/>
        <w:spacing w:after="0"/>
        <w:ind w:left="2"/>
      </w:pPr>
      <w:r>
        <w:t>Гипертиреоз</w:t>
      </w:r>
    </w:p>
    <w:p w:rsidR="008E3F15" w:rsidRDefault="005F449A">
      <w:pPr>
        <w:ind w:left="2" w:right="235"/>
      </w:pPr>
      <w:r>
        <w:t>Российская ассоциация эндокринологов. Клинические рекоме</w:t>
      </w:r>
      <w:r>
        <w:t xml:space="preserve">ндации по диагностике и лечению тиреотоксикоза с диффузным зобом (болезнь Грейвса), узловым/многоузловым зобом. 2021. URL: </w:t>
      </w:r>
      <w:hyperlink r:id="rId223">
        <w:r>
          <w:rPr>
            <w:color w:val="0000EE"/>
            <w:u w:val="single" w:color="0000EE"/>
          </w:rPr>
          <w:t>https://rae-or</w:t>
        </w:r>
      </w:hyperlink>
      <w:hyperlink r:id="rId224">
        <w:r>
          <w:rPr>
            <w:color w:val="0000EE"/>
          </w:rPr>
          <w:t>g</w:t>
        </w:r>
      </w:hyperlink>
      <w:hyperlink r:id="rId225">
        <w:r>
          <w:rPr>
            <w:color w:val="0000EE"/>
            <w:u w:val="single" w:color="0000EE"/>
          </w:rPr>
          <w:t>.ru/librar</w:t>
        </w:r>
      </w:hyperlink>
      <w:hyperlink r:id="rId226">
        <w:r>
          <w:rPr>
            <w:color w:val="0000EE"/>
          </w:rPr>
          <w:t>y</w:t>
        </w:r>
      </w:hyperlink>
      <w:hyperlink r:id="rId227">
        <w:r>
          <w:rPr>
            <w:color w:val="0000EE"/>
            <w:u w:val="single" w:color="0000EE"/>
          </w:rPr>
          <w:t>/recommendations</w:t>
        </w:r>
      </w:hyperlink>
      <w:hyperlink r:id="rId228">
        <w:r>
          <w:t xml:space="preserve"> </w:t>
        </w:r>
      </w:hyperlink>
      <w:r>
        <w:t>(дата обращения: 01.06.2023). Руяткина Л.А., Руяткин Д.С. Гипертиреозы и фибрилляция предсердий: клубок междисциплинарных проблем на фоне пандемии COVID-19 // Терапия. 2022. № 8. С. 95–106. Эндок</w:t>
      </w:r>
      <w:r>
        <w:t>ринология. Национальное руководство / Под ред. И.И. Дедова, Г.А.Мельниченко. 2-е изд. , перераб. и доп. М.: ГЭОТАР-Медиа, 2021. 1112 с.</w:t>
      </w:r>
    </w:p>
    <w:p w:rsidR="008E3F15" w:rsidRDefault="005F449A">
      <w:pPr>
        <w:ind w:left="2" w:right="15"/>
      </w:pPr>
      <w:r>
        <w:t>Biondi B., Bartalena L., Cooper D. et al. The 2015 European Thyroid Association Guidelines on Diagnosis and Treatment of</w:t>
      </w:r>
      <w:r>
        <w:t xml:space="preserve"> Endogenous Subclinical Hyperthyroidism // Eur. Thyroid. J. 2015. Vol. 4. N. 3. P. 149–163.</w:t>
      </w:r>
    </w:p>
    <w:p w:rsidR="008E3F15" w:rsidRDefault="005F449A">
      <w:pPr>
        <w:ind w:left="2" w:right="15"/>
      </w:pPr>
      <w:r>
        <w:t>2016 American Thyroid Association Guidelines for Diagnosis and Management of Hyperthyroidism and Other Causes of Thyrotoxicosis // Thyroid. 2016. N. 26. P. 1343–442</w:t>
      </w:r>
      <w:r>
        <w:t>.</w:t>
      </w:r>
    </w:p>
    <w:p w:rsidR="008E3F15" w:rsidRDefault="005F449A">
      <w:pPr>
        <w:ind w:left="2" w:right="15"/>
      </w:pPr>
      <w:r>
        <w:t>Taylor P., Okosieme O., Chatterjee K. et al. Joint statement from the Society for Endocrinology and the British Thyroid Association regarding ‘Association of Radioactive Iodine Treatment with cancer mortality in patients with hyperthyroidism // Clin. End</w:t>
      </w:r>
      <w:r>
        <w:t>ocrinol. 2020. N. 3. P. 266–267. Williams Textbook of Endocrinology. Philadelphia. Elsevier, 2020. 1724 p.</w:t>
      </w:r>
    </w:p>
    <w:p w:rsidR="008E3F15" w:rsidRDefault="005F449A">
      <w:pPr>
        <w:pStyle w:val="Heading2"/>
        <w:spacing w:after="0"/>
        <w:ind w:left="2"/>
      </w:pPr>
      <w:r>
        <w:t>Сахарный диабет</w:t>
      </w:r>
    </w:p>
    <w:p w:rsidR="008E3F15" w:rsidRDefault="005F449A">
      <w:pPr>
        <w:spacing w:after="359"/>
        <w:ind w:left="2" w:right="413"/>
      </w:pPr>
      <w:r>
        <w:t>Алгоритмы специализированной медицинской помощи больным сахарным диабетом. Вып. 11. Сахарный диабет.2023.</w:t>
      </w:r>
    </w:p>
    <w:p w:rsidR="008E3F15" w:rsidRDefault="005F449A">
      <w:pPr>
        <w:pStyle w:val="Heading1"/>
        <w:ind w:left="2"/>
      </w:pPr>
      <w:r>
        <w:t>Библиографический список</w:t>
      </w:r>
    </w:p>
    <w:p w:rsidR="008E3F15" w:rsidRDefault="005F449A">
      <w:pPr>
        <w:ind w:left="2" w:right="15"/>
      </w:pPr>
      <w:r>
        <w:t>Ру</w:t>
      </w:r>
      <w:r>
        <w:t>яткина Л.А., Руяткин Д.С., Коваренко М.А. Диабетические метаболические неотложные состояния: от особенностей патогенеза к дифференцированной терапии: учебное пособие для врачей. Новосибирск: ИПЦ НГМУ, 2017. 140 с.</w:t>
      </w:r>
    </w:p>
    <w:p w:rsidR="008E3F15" w:rsidRDefault="005F449A">
      <w:pPr>
        <w:ind w:left="2" w:right="15"/>
      </w:pPr>
      <w:r>
        <w:t xml:space="preserve">Руяткина Л.А., Руяткин Д.С. Многоплановые </w:t>
      </w:r>
      <w:r>
        <w:t>эффекты метформина у пациентов с сахарным диабетом 2 типа // Сахарный диабет. 2017. Т. 20. № 3. С. 210–219.</w:t>
      </w:r>
    </w:p>
    <w:p w:rsidR="008E3F15" w:rsidRDefault="005F449A">
      <w:pPr>
        <w:ind w:left="2" w:right="1493"/>
      </w:pPr>
      <w:r>
        <w:t>Руяткина Л.А., Руяткин Д.С., Кривошеева И.А. COVID-19, сахарный диабет 2 типа и возможности аналогов глюкагоноподобного пептида-1 // Клинические обз</w:t>
      </w:r>
      <w:r>
        <w:t>оры в эндокринологии. 2022. № 1. С. 2–12.</w:t>
      </w:r>
    </w:p>
    <w:p w:rsidR="008E3F15" w:rsidRDefault="005F449A">
      <w:pPr>
        <w:ind w:left="2" w:right="15"/>
      </w:pPr>
      <w:r>
        <w:t>Эндокринология. Национальное руководство / Под ред. И.И. Дедова, Г.А. Мельниченко. 2-е изд. , перераб. и доп. М.: ГЭОТАР-Медиа, 2021. 1112 с.</w:t>
      </w:r>
    </w:p>
    <w:p w:rsidR="008E3F15" w:rsidRDefault="005F449A">
      <w:pPr>
        <w:ind w:left="2" w:right="15"/>
      </w:pPr>
      <w:r>
        <w:t>2023 ESC Guidelines for the management of cardiovascular disease in pati</w:t>
      </w:r>
      <w:r>
        <w:t>ents with diabetes: Developed by the task force on the management of cardiovascular disease in patients with diabetes of the European Society of Cardiology (ESC) // Eur. Heart J. 2023. Vol. 39. P. 4043–4140.</w:t>
      </w:r>
    </w:p>
    <w:p w:rsidR="008E3F15" w:rsidRDefault="005F449A">
      <w:pPr>
        <w:spacing w:after="31"/>
        <w:ind w:left="2" w:right="15"/>
      </w:pPr>
      <w:r>
        <w:t>American Diabetes Association. Standards of Medical Care in Diabetes — 2023 // Diabetes Care.</w:t>
      </w:r>
    </w:p>
    <w:p w:rsidR="008E3F15" w:rsidRDefault="005F449A">
      <w:pPr>
        <w:spacing w:after="31"/>
        <w:ind w:left="2" w:right="15"/>
      </w:pPr>
      <w:r>
        <w:t>2023. Vol. 46. Suppl. 1. Update 25 June 2023</w:t>
      </w:r>
    </w:p>
    <w:p w:rsidR="008E3F15" w:rsidRDefault="005F449A">
      <w:pPr>
        <w:ind w:left="2" w:right="15"/>
      </w:pPr>
      <w:r>
        <w:t>de Boer I., Khunti K., Sadusky T. et al. Diabetes Management in Chronic Kidney Disease: A Consensus Report by the Ame</w:t>
      </w:r>
      <w:r>
        <w:t>rican Diabetes Association (ADA) and Kidney Disease: Improving Global Outcomes (KDIGO) // Diabetes Care. 2022. P. dci220027.</w:t>
      </w:r>
    </w:p>
    <w:p w:rsidR="008E3F15" w:rsidRDefault="005F449A">
      <w:pPr>
        <w:ind w:left="2" w:right="15"/>
      </w:pPr>
      <w:r>
        <w:t>Joseph J., Deedwania P., Acharya T. et al. Comprehensive Management of Cardiovascular Risk Factors for Adults With Type 2 Diabetes:</w:t>
      </w:r>
      <w:r>
        <w:t xml:space="preserve"> A Scientific Statement From the American Heart Association // Circulation. 2022. Vol. 145. P. e722–e759.</w:t>
      </w:r>
    </w:p>
    <w:p w:rsidR="008E3F15" w:rsidRDefault="005F449A">
      <w:pPr>
        <w:ind w:left="2" w:right="15"/>
      </w:pPr>
      <w:r>
        <w:t>KDIGO 2022 Clinical Practice Guideline for Diabetes Management in Chronic Kidney Disease // Kidney International. 2022. N. 5. P. S1–S127.</w:t>
      </w:r>
    </w:p>
    <w:p w:rsidR="008E3F15" w:rsidRDefault="005F449A">
      <w:pPr>
        <w:ind w:left="2" w:right="15"/>
      </w:pPr>
      <w:r>
        <w:t xml:space="preserve">Korytkowski </w:t>
      </w:r>
      <w:r>
        <w:t>M., Muniyappa R., Antinori-Lent K. et al. Management of Hyperglycemia in Hospitalized Adult Patients in Non-Critical Care Settings: An Endocrine Society Clinical Practice Guideline // J. Clin. Endocrin. Metab. 2022. Vol. 8. P.2101–2128.</w:t>
      </w:r>
    </w:p>
    <w:p w:rsidR="008E3F15" w:rsidRDefault="005F449A">
      <w:pPr>
        <w:ind w:left="2" w:right="15"/>
      </w:pPr>
      <w:r>
        <w:t>Price R., Smith D.,</w:t>
      </w:r>
      <w:r>
        <w:t xml:space="preserve"> Franklin G. et al. Oral and Topical Treatment of Painful Diabetic Polyneuropathy: Practice Guideline Update Summary. Report of the AAN Guideline Subcommittee // Neurology.</w:t>
      </w:r>
    </w:p>
    <w:p w:rsidR="008E3F15" w:rsidRDefault="005F449A">
      <w:pPr>
        <w:spacing w:after="31"/>
        <w:ind w:left="2" w:right="15"/>
      </w:pPr>
      <w:r>
        <w:t>2022. N. 1. P. 31–43.</w:t>
      </w:r>
    </w:p>
    <w:p w:rsidR="008E3F15" w:rsidRDefault="005F449A">
      <w:pPr>
        <w:ind w:left="2" w:right="15"/>
      </w:pPr>
      <w:r>
        <w:t>Riddle M., Cefalu W., Evans P. et al. Consensus Report: Defin</w:t>
      </w:r>
      <w:r>
        <w:t>ition and Interpretation of Remission in Type 2 Diabetes // Diabetes Care. 2021. P. dci210034.</w:t>
      </w:r>
    </w:p>
    <w:p w:rsidR="008E3F15" w:rsidRDefault="005F449A">
      <w:pPr>
        <w:ind w:left="2" w:right="15"/>
      </w:pPr>
      <w:r>
        <w:t>Sacks D.B., Arnold M., Bakris G.L., et al. Guidelines and Recommendations for Laboratory Analysis in the Diagnosis and Management of Diabetes Mellitus // Diabete</w:t>
      </w:r>
      <w:r>
        <w:t>s Care. 2023. Vol. 46. P. e151–e199. Samson S., Vellanki P., Blonde L. et al. American Association of Clinical Endocrinology Consensus Statement: Comprehensive Type 2 Diabetes Management Algorithm. 2023 Update // Endocrine Practice. 2023. N. 5. P. 305–340.</w:t>
      </w:r>
    </w:p>
    <w:p w:rsidR="008E3F15" w:rsidRDefault="005F449A">
      <w:pPr>
        <w:ind w:left="2" w:right="404"/>
      </w:pPr>
      <w:r>
        <w:t>US Preventive Services Task Force. Screening for Prediabetes and Type 2 Diabetes: US Preventive Services Task Force Recommendation Statement // JAMA. 2021. Vol. 326. N. 8. P. 736–743. Williams Textbook of Endocrinology. 14th ed. Philadelphia. Elsevier, 20</w:t>
      </w:r>
      <w:r>
        <w:t xml:space="preserve">20. 1724 p. </w:t>
      </w:r>
      <w:r>
        <w:rPr>
          <w:b/>
        </w:rPr>
        <w:t>Психические расстройства</w:t>
      </w:r>
    </w:p>
    <w:p w:rsidR="008E3F15" w:rsidRDefault="005F449A">
      <w:pPr>
        <w:spacing w:after="31"/>
        <w:ind w:left="2" w:right="15"/>
      </w:pPr>
      <w:r>
        <w:t>Белялов Ф.И. Психосоматика. 9-е изд., перераб. и доп. М.: ГЭОТАР-Медиа, 2022. 400 с.</w:t>
      </w:r>
    </w:p>
    <w:p w:rsidR="008E3F15" w:rsidRDefault="005F449A">
      <w:pPr>
        <w:spacing w:after="31"/>
        <w:ind w:left="2" w:right="15"/>
      </w:pPr>
      <w:r>
        <w:t>Байкальская психосоматическая ассоциация. Клинические рекомендации</w:t>
      </w:r>
    </w:p>
    <w:p w:rsidR="008E3F15" w:rsidRDefault="005F449A">
      <w:pPr>
        <w:ind w:left="2" w:right="15"/>
      </w:pPr>
      <w:r>
        <w:t xml:space="preserve">по психосоматической медицине. 2023. 36 c. </w:t>
      </w:r>
      <w:hyperlink r:id="rId229">
        <w:r>
          <w:rPr>
            <w:color w:val="0000EE"/>
            <w:u w:val="single" w:color="0000EE"/>
          </w:rPr>
          <w:t>https://therap</w:t>
        </w:r>
      </w:hyperlink>
      <w:hyperlink r:id="rId230">
        <w:r>
          <w:rPr>
            <w:color w:val="0000EE"/>
          </w:rPr>
          <w:t>y</w:t>
        </w:r>
      </w:hyperlink>
      <w:hyperlink r:id="rId231">
        <w:r>
          <w:rPr>
            <w:color w:val="0000EE"/>
            <w:u w:val="single" w:color="0000EE"/>
          </w:rPr>
          <w:t>.irkutsk.ru/ispm/psomatic5.pdf</w:t>
        </w:r>
      </w:hyperlink>
      <w:hyperlink r:id="rId232">
        <w:r>
          <w:t>.</w:t>
        </w:r>
      </w:hyperlink>
      <w:r>
        <w:t xml:space="preserve"> (дата обращения: 01.06.2023).</w:t>
      </w:r>
    </w:p>
    <w:p w:rsidR="008E3F15" w:rsidRDefault="005F449A">
      <w:pPr>
        <w:ind w:left="2" w:right="85"/>
      </w:pPr>
      <w:r>
        <w:t xml:space="preserve">Всемирная организация здравоохранения. Краткое профилактическое консультирование в отношении употребления алкоголя: учебное пособие ВОЗ для первичного звена медикосанитарной помощи. 2017. </w:t>
      </w:r>
      <w:hyperlink r:id="rId233">
        <w:r>
          <w:rPr>
            <w:color w:val="0000EE"/>
            <w:u w:val="single" w:color="0000EE"/>
          </w:rPr>
          <w:t>http://www.euro.who.int/ru/health-topics/disease-prevention/alcohol</w:t>
        </w:r>
      </w:hyperlink>
      <w:hyperlink r:id="rId234">
        <w:r>
          <w:rPr>
            <w:color w:val="0000EE"/>
            <w:u w:val="single" w:color="0000EE"/>
          </w:rPr>
          <w:t>use/publications/2017/who-alcohol-brief-intervention-trainin</w:t>
        </w:r>
      </w:hyperlink>
      <w:hyperlink r:id="rId235">
        <w:r>
          <w:rPr>
            <w:color w:val="0000EE"/>
          </w:rPr>
          <w:t>g</w:t>
        </w:r>
      </w:hyperlink>
      <w:hyperlink r:id="rId236">
        <w:r>
          <w:rPr>
            <w:color w:val="0000EE"/>
            <w:u w:val="single" w:color="0000EE"/>
          </w:rPr>
          <w:t>-manual-for-primar</w:t>
        </w:r>
      </w:hyperlink>
      <w:hyperlink r:id="rId237">
        <w:r>
          <w:rPr>
            <w:color w:val="0000EE"/>
          </w:rPr>
          <w:t>y</w:t>
        </w:r>
      </w:hyperlink>
      <w:hyperlink r:id="rId238">
        <w:r>
          <w:rPr>
            <w:color w:val="0000EE"/>
            <w:u w:val="single" w:color="0000EE"/>
          </w:rPr>
          <w:t>-care-2017</w:t>
        </w:r>
      </w:hyperlink>
      <w:r>
        <w:t>.</w:t>
      </w:r>
    </w:p>
    <w:p w:rsidR="008E3F15" w:rsidRDefault="005F449A">
      <w:pPr>
        <w:spacing w:after="31"/>
        <w:ind w:left="2" w:right="15"/>
      </w:pPr>
      <w:r>
        <w:t>(дата обращения: 01.12.202</w:t>
      </w:r>
      <w:r>
        <w:t>2).</w:t>
      </w:r>
    </w:p>
    <w:p w:rsidR="008E3F15" w:rsidRDefault="005F449A">
      <w:pPr>
        <w:ind w:left="2" w:right="15"/>
      </w:pPr>
      <w:r>
        <w:t>Всемирная организация здравоохранения. Руководство mhGAP-IG по оказанию помощи в связи с психическими и неврологическими расстройствами, а также расстройствами, связанными с употреблением психоактивных веществ, в неспециализированных учреждениях здраво</w:t>
      </w:r>
      <w:r>
        <w:t>охранения. Версия 2.0. 2016. 173 с.</w:t>
      </w:r>
    </w:p>
    <w:p w:rsidR="008E3F15" w:rsidRDefault="005F449A">
      <w:pPr>
        <w:spacing w:after="0" w:line="259" w:lineRule="auto"/>
        <w:ind w:left="-5" w:right="0"/>
      </w:pPr>
      <w:hyperlink r:id="rId239">
        <w:r>
          <w:rPr>
            <w:color w:val="0000EE"/>
            <w:u w:val="single" w:color="0000EE"/>
          </w:rPr>
          <w:t>https://www.who.int/publications/i/item/9789241549790</w:t>
        </w:r>
      </w:hyperlink>
      <w:r>
        <w:t>. (дата обращения: 01.06.2023).</w:t>
      </w:r>
    </w:p>
    <w:p w:rsidR="008E3F15" w:rsidRDefault="005F449A">
      <w:pPr>
        <w:ind w:left="2" w:right="15"/>
      </w:pPr>
      <w:r>
        <w:t>Гарганеева Н.П., Петрова М.М., Евсюков А.А. и др. Влияние депр</w:t>
      </w:r>
      <w:r>
        <w:t>ессии на особенности течения ишемической болезни сердца и качество жизни пациентов // Клиническая медицина. 2014.</w:t>
      </w:r>
    </w:p>
    <w:p w:rsidR="008E3F15" w:rsidRDefault="005F449A">
      <w:pPr>
        <w:spacing w:after="31"/>
        <w:ind w:left="2" w:right="15"/>
      </w:pPr>
      <w:r>
        <w:t>Т. 92. № 12. С. 30–37.</w:t>
      </w:r>
    </w:p>
    <w:p w:rsidR="008E3F15" w:rsidRDefault="005F449A">
      <w:pPr>
        <w:ind w:left="2" w:right="15"/>
      </w:pPr>
      <w:r>
        <w:t>Программа профилактики, раннего выявления, диагностики и лечения когнитивных расстройств у лиц пожилого и старческого в</w:t>
      </w:r>
      <w:r>
        <w:t>озраста: Методические рекомендации / Под ред. О.Н. Ткачевой. М.: Прометей, 2019. 72 с.</w:t>
      </w:r>
    </w:p>
    <w:p w:rsidR="008E3F15" w:rsidRDefault="005F449A">
      <w:pPr>
        <w:spacing w:after="31"/>
        <w:ind w:left="2" w:right="15"/>
      </w:pPr>
      <w:r>
        <w:t>Петрунько О.В. Транквилизаторы: пособие для врачей. Иркутск: РИО ИГМАПО, 2014. 52 с.</w:t>
      </w:r>
    </w:p>
    <w:p w:rsidR="008E3F15" w:rsidRDefault="005F449A">
      <w:pPr>
        <w:ind w:left="2" w:right="15"/>
      </w:pPr>
      <w:r>
        <w:t>Психиатрия. Национальное руководство / Под ред. Ю.А. Александровского, Н.Г. Незнанов</w:t>
      </w:r>
      <w:r>
        <w:t>а. М.: ГЭОТАР-Медиа, 2020. 1008 с.</w:t>
      </w:r>
    </w:p>
    <w:p w:rsidR="008E3F15" w:rsidRDefault="005F449A">
      <w:pPr>
        <w:ind w:left="2" w:right="15"/>
      </w:pPr>
      <w:r>
        <w:t>Психосоматические расстройства / Под А.Б. Смулевича. М.: МЕДпресс-информ, 2019. 496 с. Психосоматические расстройства в практике терапевта / Под ред. В.И. Симаненкова. СПб.:</w:t>
      </w:r>
    </w:p>
    <w:p w:rsidR="008E3F15" w:rsidRDefault="005F449A">
      <w:pPr>
        <w:spacing w:after="31"/>
        <w:ind w:left="2" w:right="15"/>
      </w:pPr>
      <w:r>
        <w:t>СпецЛит, 2008. 335 c.</w:t>
      </w:r>
    </w:p>
    <w:p w:rsidR="008E3F15" w:rsidRDefault="005F449A">
      <w:pPr>
        <w:spacing w:after="31"/>
        <w:ind w:left="2" w:right="15"/>
      </w:pPr>
      <w:r>
        <w:t>Российское общество психиатров. Генерализованное тревожное расстройство. 2021.</w:t>
      </w:r>
    </w:p>
    <w:p w:rsidR="008E3F15" w:rsidRDefault="005F449A">
      <w:pPr>
        <w:spacing w:after="313" w:line="259" w:lineRule="auto"/>
        <w:ind w:left="-5" w:right="0"/>
      </w:pPr>
      <w:hyperlink r:id="rId240">
        <w:r>
          <w:rPr>
            <w:color w:val="0000EE"/>
            <w:u w:val="single" w:color="0000EE"/>
          </w:rPr>
          <w:t>https://cr.minzdrav.</w:t>
        </w:r>
      </w:hyperlink>
      <w:hyperlink r:id="rId241">
        <w:r>
          <w:rPr>
            <w:color w:val="0000EE"/>
          </w:rPr>
          <w:t>g</w:t>
        </w:r>
      </w:hyperlink>
      <w:hyperlink r:id="rId242">
        <w:r>
          <w:rPr>
            <w:color w:val="0000EE"/>
            <w:u w:val="single" w:color="0000EE"/>
          </w:rPr>
          <w:t>ov.ru/recomend/457_2</w:t>
        </w:r>
      </w:hyperlink>
      <w:r>
        <w:t>. (дата обращения: 01.06.2023).</w:t>
      </w:r>
    </w:p>
    <w:p w:rsidR="008E3F15" w:rsidRDefault="005F449A">
      <w:pPr>
        <w:pStyle w:val="Heading1"/>
        <w:ind w:left="2"/>
      </w:pPr>
      <w:r>
        <w:t>Библиографический список</w:t>
      </w:r>
    </w:p>
    <w:p w:rsidR="008E3F15" w:rsidRDefault="005F449A">
      <w:pPr>
        <w:ind w:left="2" w:right="15"/>
      </w:pPr>
      <w:r>
        <w:t xml:space="preserve">Российское общество психиатров. Депрессивный эпизод. Рекуррентное депрессивное расстройство. 2021. </w:t>
      </w:r>
      <w:hyperlink r:id="rId243">
        <w:r>
          <w:rPr>
            <w:color w:val="0000EE"/>
            <w:u w:val="single" w:color="0000EE"/>
          </w:rPr>
          <w:t>https://cr.minzdrav.</w:t>
        </w:r>
      </w:hyperlink>
      <w:hyperlink r:id="rId244">
        <w:r>
          <w:rPr>
            <w:color w:val="0000EE"/>
          </w:rPr>
          <w:t>g</w:t>
        </w:r>
      </w:hyperlink>
      <w:hyperlink r:id="rId245">
        <w:r>
          <w:rPr>
            <w:color w:val="0000EE"/>
            <w:u w:val="single" w:color="0000EE"/>
          </w:rPr>
          <w:t>ov.ru/recomend/301_2</w:t>
        </w:r>
      </w:hyperlink>
      <w:r>
        <w:t>. (дата обращения: 01.06.2023).</w:t>
      </w:r>
    </w:p>
    <w:p w:rsidR="008E3F15" w:rsidRDefault="005F449A">
      <w:pPr>
        <w:spacing w:after="31"/>
        <w:ind w:left="2" w:right="15"/>
      </w:pPr>
      <w:r>
        <w:t>Российское общество психиатров. Паническое расстройст</w:t>
      </w:r>
      <w:r>
        <w:t>во у взрослых. 2021.</w:t>
      </w:r>
    </w:p>
    <w:p w:rsidR="008E3F15" w:rsidRDefault="005F449A">
      <w:pPr>
        <w:spacing w:after="0" w:line="259" w:lineRule="auto"/>
        <w:ind w:left="-5" w:right="0"/>
      </w:pPr>
      <w:hyperlink r:id="rId246">
        <w:r>
          <w:rPr>
            <w:color w:val="0000EE"/>
            <w:u w:val="single" w:color="0000EE"/>
          </w:rPr>
          <w:t>https://cr.minzdrav.</w:t>
        </w:r>
      </w:hyperlink>
      <w:hyperlink r:id="rId247">
        <w:r>
          <w:rPr>
            <w:color w:val="0000EE"/>
          </w:rPr>
          <w:t>g</w:t>
        </w:r>
      </w:hyperlink>
      <w:hyperlink r:id="rId248">
        <w:r>
          <w:rPr>
            <w:color w:val="0000EE"/>
            <w:u w:val="single" w:color="0000EE"/>
          </w:rPr>
          <w:t>ov.ru/recomend/456_2</w:t>
        </w:r>
      </w:hyperlink>
      <w:r>
        <w:t>. (дата обр</w:t>
      </w:r>
      <w:r>
        <w:t>ащения: 01.06.2023).</w:t>
      </w:r>
    </w:p>
    <w:p w:rsidR="008E3F15" w:rsidRDefault="005F449A">
      <w:pPr>
        <w:spacing w:after="31"/>
        <w:ind w:left="2" w:right="15"/>
      </w:pPr>
      <w:r>
        <w:t>APA Clinical Practice Guideline for the Treatment of Depression Across Three Age Cohorts. 2019.</w:t>
      </w:r>
    </w:p>
    <w:p w:rsidR="008E3F15" w:rsidRDefault="005F449A">
      <w:pPr>
        <w:spacing w:after="31"/>
        <w:ind w:left="2" w:right="15"/>
      </w:pPr>
      <w:r>
        <w:t>82 p.</w:t>
      </w:r>
    </w:p>
    <w:p w:rsidR="008E3F15" w:rsidRDefault="005F449A">
      <w:pPr>
        <w:ind w:left="2" w:right="15"/>
      </w:pPr>
      <w:r>
        <w:t>Gregory K., Chelmow D., Nelson H. et al. Screening for Anxiety in Adolescent and Adult Women: A Recommendation From the Women’s Preventive Services Initiative // Ann. Intern. Med. 2020. N. 1. P. 48–56.</w:t>
      </w:r>
    </w:p>
    <w:p w:rsidR="008E3F15" w:rsidRDefault="005F449A">
      <w:pPr>
        <w:spacing w:after="31"/>
        <w:ind w:left="2" w:right="15"/>
      </w:pPr>
      <w:r>
        <w:t>Institute for Clinical Systems Improvement. Major Depr</w:t>
      </w:r>
      <w:r>
        <w:t>ession in Adults in Primary Care. 2016. 131 p.</w:t>
      </w:r>
    </w:p>
    <w:p w:rsidR="008E3F15" w:rsidRDefault="005F449A">
      <w:pPr>
        <w:spacing w:after="31"/>
        <w:ind w:left="2" w:right="15"/>
      </w:pPr>
      <w:r>
        <w:t>Kaplan and Sadock’s Synopsis of Psychiatry. 12th edition. 2022. 1173 p.</w:t>
      </w:r>
    </w:p>
    <w:p w:rsidR="008E3F15" w:rsidRDefault="005F449A">
      <w:pPr>
        <w:ind w:left="2" w:right="485"/>
      </w:pPr>
      <w:r>
        <w:t>McIntyre R.S., Alsuwaidan M., Goldstein B. et al. The Canadian Network for Mood and Anxiety Treatments (CANMAT) task force recommendation</w:t>
      </w:r>
      <w:r>
        <w:t xml:space="preserve">s for the management of patients with mood disorders and comorbid metabolic disorders // Ann. Clin. Psych. 2012. N. 24. P. 69–81. NICE. Depression in adults: treatment and management. 2022. 53 p. URL: </w:t>
      </w:r>
      <w:hyperlink r:id="rId249">
        <w:r>
          <w:rPr>
            <w:color w:val="0000EE"/>
            <w:u w:val="single" w:color="0000EE"/>
          </w:rPr>
          <w:t>https://www.nice.or</w:t>
        </w:r>
      </w:hyperlink>
      <w:hyperlink r:id="rId250">
        <w:r>
          <w:rPr>
            <w:color w:val="0000EE"/>
          </w:rPr>
          <w:t>g</w:t>
        </w:r>
      </w:hyperlink>
      <w:hyperlink r:id="rId251">
        <w:r>
          <w:rPr>
            <w:color w:val="0000EE"/>
            <w:u w:val="single" w:color="0000EE"/>
          </w:rPr>
          <w:t>.uk/</w:t>
        </w:r>
      </w:hyperlink>
      <w:hyperlink r:id="rId252">
        <w:r>
          <w:rPr>
            <w:color w:val="0000EE"/>
          </w:rPr>
          <w:t>g</w:t>
        </w:r>
      </w:hyperlink>
      <w:hyperlink r:id="rId253">
        <w:r>
          <w:rPr>
            <w:color w:val="0000EE"/>
            <w:u w:val="single" w:color="0000EE"/>
          </w:rPr>
          <w:t>uidance/n</w:t>
        </w:r>
      </w:hyperlink>
      <w:hyperlink r:id="rId254">
        <w:r>
          <w:rPr>
            <w:color w:val="0000EE"/>
          </w:rPr>
          <w:t>g</w:t>
        </w:r>
      </w:hyperlink>
      <w:hyperlink r:id="rId255">
        <w:r>
          <w:rPr>
            <w:color w:val="0000EE"/>
            <w:u w:val="single" w:color="0000EE"/>
          </w:rPr>
          <w:t>222</w:t>
        </w:r>
      </w:hyperlink>
      <w:hyperlink r:id="rId256">
        <w:r>
          <w:t xml:space="preserve"> </w:t>
        </w:r>
      </w:hyperlink>
      <w:r>
        <w:t>(дата обращения: 01.06.2023)</w:t>
      </w:r>
    </w:p>
    <w:p w:rsidR="008E3F15" w:rsidRDefault="005F449A">
      <w:pPr>
        <w:ind w:left="2" w:right="15"/>
      </w:pPr>
      <w:r>
        <w:t>Qaseem A., Owens D., Etxeandia-Ikob</w:t>
      </w:r>
      <w:r>
        <w:t>altzeta I. et al. Nonpharmacologic and Pharmacologic Treatments of Adults in the Acute Phase of Major Depressive Disorder: A Living Clinical Guideline From the American College of Physicians // Ann. Intern. Med. 2023. Vol. 176. N. 2. P. 239–252.</w:t>
      </w:r>
    </w:p>
    <w:p w:rsidR="008E3F15" w:rsidRDefault="005F449A">
      <w:pPr>
        <w:ind w:left="2" w:right="15"/>
      </w:pPr>
      <w:r>
        <w:t xml:space="preserve">Ramasubbu </w:t>
      </w:r>
      <w:r>
        <w:t>R., Taylor V.H., Samaan Z. et al. The Canadian Network for Mood and Anxiety Treatments (CANMAT) task force recommendations for the management of patients with mood disorders and select comorbid medical conditions // Ann. Clin. Psych. 2012. N. 24. P. 91–109</w:t>
      </w:r>
      <w:r>
        <w:t>.</w:t>
      </w:r>
    </w:p>
    <w:p w:rsidR="008E3F15" w:rsidRDefault="005F449A">
      <w:pPr>
        <w:spacing w:after="31"/>
        <w:ind w:left="2" w:right="15"/>
      </w:pPr>
      <w:r>
        <w:t>The American Psychiatric Association Publishing Textbook of Psychiatry. Seventh edition. 2019.</w:t>
      </w:r>
    </w:p>
    <w:p w:rsidR="008E3F15" w:rsidRDefault="005F449A">
      <w:pPr>
        <w:spacing w:after="31"/>
        <w:ind w:left="2" w:right="15"/>
      </w:pPr>
      <w:r>
        <w:t>1362 p.</w:t>
      </w:r>
    </w:p>
    <w:p w:rsidR="008E3F15" w:rsidRDefault="005F449A">
      <w:pPr>
        <w:ind w:left="2" w:right="15"/>
      </w:pPr>
      <w:r>
        <w:t>The American Psychiatric Publishing Textbook of Psychosomatic Medicine: Psychiatric Care of the Medically Ill / Ed. J.L. Levenson. Third edition. 2019.</w:t>
      </w:r>
      <w:r>
        <w:t xml:space="preserve"> 1410 p.</w:t>
      </w:r>
    </w:p>
    <w:p w:rsidR="008E3F15" w:rsidRDefault="005F449A">
      <w:pPr>
        <w:ind w:left="2" w:right="15"/>
      </w:pPr>
      <w:r>
        <w:t>US Preventive Services Task Force (USPSTF). Screening for Depression in Adults: US Preventive Services Task Force Recommendation Statement // JAMA. 2016. Vol. 315. N. 4. P. 380–387. Vaccarino V., Badimon L., Bremner J. et al. Depression and corona</w:t>
      </w:r>
      <w:r>
        <w:t>ry heart disease: 2018 position paper of the ESC working group on coronary pathophysiology and microcirculation // Eur. Heart J.</w:t>
      </w:r>
    </w:p>
    <w:p w:rsidR="008E3F15" w:rsidRDefault="005F449A">
      <w:pPr>
        <w:spacing w:after="31"/>
        <w:ind w:left="2" w:right="15"/>
      </w:pPr>
      <w:r>
        <w:t>2020. N. 17. P. 1687–1696.</w:t>
      </w:r>
    </w:p>
    <w:p w:rsidR="008E3F15" w:rsidRDefault="005F449A">
      <w:pPr>
        <w:ind w:left="2" w:right="15"/>
      </w:pPr>
      <w:r>
        <w:t>WHO. Risk reduction of cognitive decline and dementia. WHO guidelines. Geneva: World Health Organization, 2019. 96 p.</w:t>
      </w:r>
    </w:p>
    <w:p w:rsidR="008E3F15" w:rsidRDefault="005F449A">
      <w:pPr>
        <w:ind w:left="2" w:right="15"/>
      </w:pPr>
      <w:r>
        <w:t>Wood E., Bright J., Hsu K. et al. Canadian guideline for the clinical management of high-risk drinking and alcohol use disorder // CMAJ. 2</w:t>
      </w:r>
      <w:r>
        <w:t>023. Vol. 40. P. E1364–E1379.</w:t>
      </w:r>
    </w:p>
    <w:p w:rsidR="008E3F15" w:rsidRDefault="005F449A">
      <w:pPr>
        <w:pStyle w:val="Heading2"/>
        <w:spacing w:after="0"/>
        <w:ind w:left="2"/>
      </w:pPr>
      <w:r>
        <w:t>Хроническая болезнь почек</w:t>
      </w:r>
    </w:p>
    <w:p w:rsidR="008E3F15" w:rsidRDefault="005F449A">
      <w:pPr>
        <w:ind w:left="2" w:right="15"/>
      </w:pPr>
      <w:r>
        <w:t>Андрусев А.М., Перегудова Н.Г., Шинкарев М.Б., Томилина Н.А. Замес тительная почечная терапия хронической болезни почек 5 стадии в Российской Федерации 2016–2020 гг. Краткий отчет по данным Общероссий</w:t>
      </w:r>
      <w:r>
        <w:t>ского Регистра заместительной почечной терапии Российского диализного общества. Нефрология и диализ. 2022. Т.24. № 4. С. 555–565.</w:t>
      </w:r>
    </w:p>
    <w:p w:rsidR="008E3F15" w:rsidRDefault="005F449A">
      <w:pPr>
        <w:ind w:left="2" w:right="15"/>
      </w:pPr>
      <w:r>
        <w:t>Белялов Ф.И. Ишемическая болезнь сердца и нарушение функции почек // Рациональная фармакотерапия в кардиологии. 2017. Т. 13. №</w:t>
      </w:r>
      <w:r>
        <w:t xml:space="preserve"> 3. С. 397–403.</w:t>
      </w:r>
    </w:p>
    <w:p w:rsidR="008E3F15" w:rsidRDefault="005F449A">
      <w:pPr>
        <w:ind w:left="2" w:right="15"/>
      </w:pPr>
      <w:r>
        <w:t>Белялов Ф.И. Острый коронарный синдром и нарушение функции почек // Рациональная фармакотерапия в кардиологии. 2016. Т. 12. № 1. С. 72–78.</w:t>
      </w:r>
    </w:p>
    <w:p w:rsidR="008E3F15" w:rsidRDefault="005F449A">
      <w:pPr>
        <w:ind w:left="2" w:right="15"/>
      </w:pPr>
      <w:r>
        <w:t xml:space="preserve">Белялов Ф.И. Факторы риска сердечно-сосудистых заболеваний и хроническая почечная недостаточность // </w:t>
      </w:r>
      <w:r>
        <w:t>Кардиология. 2005. № 7. С. 92–96.</w:t>
      </w:r>
    </w:p>
    <w:p w:rsidR="008E3F15" w:rsidRDefault="005F449A">
      <w:pPr>
        <w:ind w:left="2" w:right="178"/>
      </w:pPr>
      <w:r>
        <w:t>Нефрология. Национальное руководство / Под ред. Н.А. Мухина. М: ГЭОТАР-Медиа, 2020. 620 с.</w:t>
      </w:r>
    </w:p>
    <w:p w:rsidR="008E3F15" w:rsidRDefault="005F449A">
      <w:pPr>
        <w:spacing w:after="31"/>
        <w:ind w:left="2" w:right="15"/>
      </w:pPr>
      <w:r>
        <w:t>Ассоциация нефрологов. Хроническая болезнь почек (ХБП). 2021.</w:t>
      </w:r>
    </w:p>
    <w:p w:rsidR="008E3F15" w:rsidRDefault="005F449A">
      <w:pPr>
        <w:spacing w:after="0" w:line="259" w:lineRule="auto"/>
        <w:ind w:left="-5" w:right="0"/>
      </w:pPr>
      <w:hyperlink r:id="rId257">
        <w:r>
          <w:rPr>
            <w:color w:val="0000EE"/>
            <w:u w:val="single" w:color="0000EE"/>
          </w:rPr>
          <w:t>https://</w:t>
        </w:r>
        <w:r>
          <w:rPr>
            <w:color w:val="0000EE"/>
            <w:u w:val="single" w:color="0000EE"/>
          </w:rPr>
          <w:t>cr.minzdrav.</w:t>
        </w:r>
      </w:hyperlink>
      <w:hyperlink r:id="rId258">
        <w:r>
          <w:rPr>
            <w:color w:val="0000EE"/>
          </w:rPr>
          <w:t>g</w:t>
        </w:r>
      </w:hyperlink>
      <w:hyperlink r:id="rId259">
        <w:r>
          <w:rPr>
            <w:color w:val="0000EE"/>
            <w:u w:val="single" w:color="0000EE"/>
          </w:rPr>
          <w:t>ov.ru/recomend/469_2</w:t>
        </w:r>
      </w:hyperlink>
      <w:r>
        <w:t>. (дата обращения: 01.12.2022).</w:t>
      </w:r>
    </w:p>
    <w:p w:rsidR="008E3F15" w:rsidRDefault="005F449A">
      <w:pPr>
        <w:ind w:left="2" w:right="15"/>
      </w:pPr>
      <w:r>
        <w:t>2017 KDIGO Chronic Kidney Disease-Mineral and Bone Disorder (CKD-MBD)</w:t>
      </w:r>
      <w:r>
        <w:t xml:space="preserve"> Guideline Update // Kidn. Int. 2017. Vol. 92. N. 1. P. 26–36.</w:t>
      </w:r>
    </w:p>
    <w:p w:rsidR="008E3F15" w:rsidRDefault="005F449A">
      <w:pPr>
        <w:ind w:left="2" w:right="15"/>
      </w:pPr>
      <w:r>
        <w:t>American College of Physicians. Screening, Monitoring, and Treatment of Stage 1 to 3 Chronic Kidney Disease: A Clinical Practice Guideline From the American College of Physicians // Ann.</w:t>
      </w:r>
    </w:p>
    <w:p w:rsidR="008E3F15" w:rsidRDefault="005F449A">
      <w:pPr>
        <w:spacing w:after="31"/>
        <w:ind w:left="2" w:right="15"/>
      </w:pPr>
      <w:r>
        <w:t>Intern. Med. 2013. Vol. 159. N. 12. P. 835–847.</w:t>
      </w:r>
    </w:p>
    <w:p w:rsidR="008E3F15" w:rsidRDefault="005F449A">
      <w:pPr>
        <w:spacing w:after="31"/>
        <w:ind w:left="2" w:right="15"/>
      </w:pPr>
      <w:r>
        <w:t>Brenner and Rector’s The Kidney. 2-Volume Set. Philadelphia. Elsevier, 2020. 2677 p.</w:t>
      </w:r>
    </w:p>
    <w:p w:rsidR="008E3F15" w:rsidRDefault="005F449A">
      <w:pPr>
        <w:spacing w:after="31"/>
        <w:ind w:left="2" w:right="15"/>
      </w:pPr>
      <w:r>
        <w:t>Chronic Kidney Disease, Dialysis, and Transplantation / Eds. J. Himmelfarb, T. Ikizler. Philadelphia.</w:t>
      </w:r>
    </w:p>
    <w:p w:rsidR="008E3F15" w:rsidRDefault="005F449A">
      <w:pPr>
        <w:spacing w:after="31"/>
        <w:ind w:left="2" w:right="15"/>
      </w:pPr>
      <w:r>
        <w:t>Elsevier, 2019. 779 p</w:t>
      </w:r>
      <w:r>
        <w:t>.</w:t>
      </w:r>
    </w:p>
    <w:p w:rsidR="008E3F15" w:rsidRDefault="005F449A">
      <w:pPr>
        <w:ind w:left="2" w:right="382"/>
      </w:pPr>
      <w:r>
        <w:t>Chronic renal disease. Second edition / Eds P.L. Kimmel, M.E. Rosenberg. 2020. 1367 p. ERA-EDTA Registry: ERA-EDTA Registry Annual Report 2019. Amsterdam UMC, location AMC, Department of Medical Informatics, Amsterdam, the Netherlands, 2021. 158 p.</w:t>
      </w:r>
    </w:p>
    <w:p w:rsidR="008E3F15" w:rsidRDefault="005F449A">
      <w:pPr>
        <w:ind w:left="2" w:right="15"/>
      </w:pPr>
      <w:r>
        <w:t>Inker</w:t>
      </w:r>
      <w:r>
        <w:t xml:space="preserve"> L., Eneanya N., Coresh J. et al. New Creatinine- and Cystatin C–Based Equations to Estimate GFR without Race // N. Engl. J. Med. 2021. N. 19. P. 1737–1749.</w:t>
      </w:r>
    </w:p>
    <w:p w:rsidR="008E3F15" w:rsidRDefault="005F449A">
      <w:pPr>
        <w:spacing w:after="31"/>
        <w:ind w:left="2" w:right="15"/>
      </w:pPr>
      <w:r>
        <w:t>KDIGO clinical practice guideline for evaluation and management of CKD // Kidney Int. 2013.</w:t>
      </w:r>
    </w:p>
    <w:p w:rsidR="008E3F15" w:rsidRDefault="005F449A">
      <w:pPr>
        <w:spacing w:after="31"/>
        <w:ind w:left="2" w:right="15"/>
      </w:pPr>
      <w:r>
        <w:t>Suppl 3</w:t>
      </w:r>
      <w:r>
        <w:t>. P. 1–150.</w:t>
      </w:r>
    </w:p>
    <w:p w:rsidR="008E3F15" w:rsidRDefault="005F449A">
      <w:pPr>
        <w:spacing w:after="359"/>
        <w:ind w:left="2" w:right="15"/>
      </w:pPr>
      <w:r>
        <w:t>KDIGO Clinical Practice Guideline for Anemia in CKD // Kidn. Intern. Suppl. 2012. Vol. 2. P. 283–287. KDIGO 2021 Clinical Practice Guideline for the Management of Blood Pressure in Chronic Kidney Disease // Kidn. Intern. 2021. Vol. 99. P. S1–S87.</w:t>
      </w:r>
    </w:p>
    <w:p w:rsidR="008E3F15" w:rsidRDefault="005F449A">
      <w:pPr>
        <w:pStyle w:val="Heading1"/>
        <w:ind w:left="2"/>
      </w:pPr>
      <w:r>
        <w:t>Библиогра</w:t>
      </w:r>
      <w:r>
        <w:t>фический список</w:t>
      </w:r>
    </w:p>
    <w:p w:rsidR="008E3F15" w:rsidRDefault="005F449A">
      <w:pPr>
        <w:ind w:left="2" w:right="15"/>
      </w:pPr>
      <w:r>
        <w:t>KDIGO 2021 Clinical Practice Guideline for the Management of Glomerular Diseases // Kidn. Intern 2021. Vol. 100. P. S1–S276.</w:t>
      </w:r>
    </w:p>
    <w:p w:rsidR="008E3F15" w:rsidRDefault="005F449A">
      <w:pPr>
        <w:spacing w:after="31"/>
        <w:ind w:left="2" w:right="15"/>
      </w:pPr>
      <w:r>
        <w:t>KDIGO 2022 Clinical Practice Guideline for Diabetes Management in Chronic Kidney Disease // Kidn.</w:t>
      </w:r>
    </w:p>
    <w:p w:rsidR="008E3F15" w:rsidRDefault="005F449A">
      <w:pPr>
        <w:spacing w:after="31"/>
        <w:ind w:left="2" w:right="15"/>
      </w:pPr>
      <w:r>
        <w:t>Intern. 2022. Vol</w:t>
      </w:r>
      <w:r>
        <w:t>. 5. P. S1–S127.</w:t>
      </w:r>
    </w:p>
    <w:p w:rsidR="008E3F15" w:rsidRDefault="005F449A">
      <w:pPr>
        <w:ind w:left="2" w:right="15"/>
      </w:pPr>
      <w:r>
        <w:t>Cardiovascular disease in chronic kidney disease. A clinical update from Kidney Disease: Improving Global Outcomes (KDIGO) // Kidn. Int. 2011. Vol. 80. N. 6. P. 572–586.</w:t>
      </w:r>
    </w:p>
    <w:p w:rsidR="008E3F15" w:rsidRDefault="005F449A">
      <w:pPr>
        <w:spacing w:after="31"/>
        <w:ind w:left="2" w:right="15"/>
      </w:pPr>
      <w:r>
        <w:t>Ikizler T, Burrowes J, Byham-Gray L. et al. KDOQI Clinical Practice G</w:t>
      </w:r>
      <w:r>
        <w:t>uideline for Nutrition in CKD:</w:t>
      </w:r>
    </w:p>
    <w:p w:rsidR="008E3F15" w:rsidRDefault="005F449A">
      <w:pPr>
        <w:spacing w:after="31"/>
        <w:ind w:left="2" w:right="15"/>
      </w:pPr>
      <w:r>
        <w:t>2020 Update // Am. J. Kidn. Diseases. 2020. N. 3. P. S1–S107.</w:t>
      </w:r>
    </w:p>
    <w:p w:rsidR="008E3F15" w:rsidRDefault="005F449A">
      <w:pPr>
        <w:spacing w:after="31"/>
        <w:ind w:left="2" w:right="15"/>
      </w:pPr>
      <w:r>
        <w:t>National Kidney Foundation’s Primer on Kidney Diseases. 2018. 680 p.</w:t>
      </w:r>
    </w:p>
    <w:p w:rsidR="008E3F15" w:rsidRDefault="005F449A">
      <w:pPr>
        <w:spacing w:after="31"/>
        <w:ind w:left="2" w:right="15"/>
      </w:pPr>
      <w:r>
        <w:t>NICE. Chronic kidney disease: assessment and management. 2021. 74 p.</w:t>
      </w:r>
    </w:p>
    <w:p w:rsidR="008E3F15" w:rsidRDefault="005F449A">
      <w:pPr>
        <w:ind w:left="2" w:right="15"/>
      </w:pPr>
      <w:r>
        <w:t xml:space="preserve">United States Renal Data </w:t>
      </w:r>
      <w:r>
        <w:t>System. 2022 USRDS Annual Data Report: Epidemiology of kidney disease in the United States. National Institutes of Health, National Institute of Diabetes and Digestive and Kidney Diseases, Bethesda, MD, 2022.</w:t>
      </w:r>
    </w:p>
    <w:p w:rsidR="008E3F15" w:rsidRDefault="005F449A">
      <w:pPr>
        <w:spacing w:after="31"/>
        <w:ind w:left="2" w:right="15"/>
      </w:pPr>
      <w:r>
        <w:t>UMHS. Management of Chronic Kidney Disease. Gui</w:t>
      </w:r>
      <w:r>
        <w:t>delines for Clinical Care Ambulatory. 2019. 27 p.</w:t>
      </w:r>
    </w:p>
    <w:p w:rsidR="008E3F15" w:rsidRDefault="005F449A">
      <w:pPr>
        <w:pStyle w:val="Heading2"/>
        <w:spacing w:after="0"/>
        <w:ind w:left="2"/>
      </w:pPr>
      <w:r>
        <w:t>Нарушения сна</w:t>
      </w:r>
    </w:p>
    <w:p w:rsidR="008E3F15" w:rsidRDefault="005F449A">
      <w:pPr>
        <w:ind w:left="2" w:right="15"/>
      </w:pPr>
      <w:r>
        <w:t>Российское общество сомнологов. Клинические рекомендации по диагностике и лечению хронической инсомнии у взрослых // Неврология и Ревматология (Прил.). 2016. № 2. С. 41–51. Российское общество</w:t>
      </w:r>
      <w:r>
        <w:t xml:space="preserve"> сомнологов. Диагностика и лечение синдрома обструктивного апноэ сна у взрослых. 2018. 16 с. URL: </w:t>
      </w:r>
      <w:hyperlink r:id="rId260">
        <w:r>
          <w:rPr>
            <w:color w:val="0000EE"/>
            <w:u w:val="single" w:color="0000EE"/>
          </w:rPr>
          <w:t>https://rossleep.ru/wp-</w:t>
        </w:r>
      </w:hyperlink>
    </w:p>
    <w:p w:rsidR="008E3F15" w:rsidRDefault="005F449A">
      <w:pPr>
        <w:spacing w:after="0" w:line="259" w:lineRule="auto"/>
        <w:ind w:left="-5" w:right="0"/>
      </w:pPr>
      <w:hyperlink r:id="rId261">
        <w:r>
          <w:rPr>
            <w:color w:val="0000EE"/>
            <w:u w:val="single" w:color="0000EE"/>
          </w:rPr>
          <w:t>content/uploads/2018/01/REKOMENDATSII-ROS-PO-SOAS-Utverzhd</w:t>
        </w:r>
      </w:hyperlink>
      <w:hyperlink r:id="rId262">
        <w:r>
          <w:rPr>
            <w:color w:val="0000EE"/>
          </w:rPr>
          <w:t>y</w:t>
        </w:r>
      </w:hyperlink>
      <w:hyperlink r:id="rId263">
        <w:r>
          <w:rPr>
            <w:color w:val="0000EE"/>
            <w:u w:val="single" w:color="0000EE"/>
          </w:rPr>
          <w:t>onnyi</w:t>
        </w:r>
      </w:hyperlink>
      <w:hyperlink r:id="rId264">
        <w:r>
          <w:rPr>
            <w:color w:val="0000EE"/>
          </w:rPr>
          <w:t>y</w:t>
        </w:r>
      </w:hyperlink>
      <w:hyperlink r:id="rId265">
        <w:r>
          <w:rPr>
            <w:color w:val="0000EE"/>
            <w:u w:val="single" w:color="0000EE"/>
          </w:rPr>
          <w:t>-variant.docx</w:t>
        </w:r>
      </w:hyperlink>
      <w:hyperlink r:id="rId266">
        <w:r>
          <w:t xml:space="preserve"> </w:t>
        </w:r>
      </w:hyperlink>
      <w:r>
        <w:t>(дата обращения: 01.06.2023).</w:t>
      </w:r>
    </w:p>
    <w:p w:rsidR="008E3F15" w:rsidRDefault="005F449A">
      <w:pPr>
        <w:ind w:left="2" w:right="15"/>
      </w:pPr>
      <w:r>
        <w:t>Сомнология и медицина сна. Национальное руководство. М: ГЭОТАР-медиа, 2020. 664 с. Шнайдер Н.А., Петрова М.М., Демко И.В., Алексеева О.В. Промежуточные фенотипы синдрома обструктивного апноэ/гипопноэ сн</w:t>
      </w:r>
      <w:r>
        <w:t>а // Неврология, нейропсихиатрия, психосоматика. 2016. Т. 8. № 4. С. 81–86.</w:t>
      </w:r>
    </w:p>
    <w:p w:rsidR="008E3F15" w:rsidRDefault="005F449A">
      <w:pPr>
        <w:spacing w:after="31"/>
        <w:ind w:left="2" w:right="15"/>
      </w:pPr>
      <w:r>
        <w:t>American Academy of Sleep Medicine. International Classification of Sleep Disorders. 3rd ed.</w:t>
      </w:r>
    </w:p>
    <w:p w:rsidR="008E3F15" w:rsidRDefault="005F449A">
      <w:pPr>
        <w:spacing w:after="31"/>
        <w:ind w:left="2" w:right="15"/>
      </w:pPr>
      <w:r>
        <w:t>Darien, IL: American Academy of Sleep Medicine, 2014. 401 p.</w:t>
      </w:r>
    </w:p>
    <w:p w:rsidR="008E3F15" w:rsidRDefault="005F449A">
      <w:pPr>
        <w:ind w:left="2" w:right="360"/>
      </w:pPr>
      <w:r>
        <w:t>American College of Physic</w:t>
      </w:r>
      <w:r>
        <w:t>ians. Management of Chronic Insomnia Disorder in Adults: A Clinical Practice Guideline From the American College of Physicians // Ann, Intern, Med. 2016. Vol. 165. P. 125–133.</w:t>
      </w:r>
    </w:p>
    <w:p w:rsidR="008E3F15" w:rsidRDefault="005F449A">
      <w:pPr>
        <w:ind w:left="2" w:right="15"/>
      </w:pPr>
      <w:r>
        <w:t xml:space="preserve">Clinical practice guideline for the pharmacologic treatment of chronic insomnia </w:t>
      </w:r>
      <w:r>
        <w:t>in adults: an American Academy of Sleep Medicine clinical practice guideline // J, Clin, Sleep Med. 2017. Vol. 13. N. 2. P. 307–349.</w:t>
      </w:r>
    </w:p>
    <w:p w:rsidR="008E3F15" w:rsidRDefault="005F449A">
      <w:pPr>
        <w:spacing w:after="31"/>
        <w:ind w:left="2" w:right="15"/>
      </w:pPr>
      <w:r>
        <w:t>European Sleep Research Society. Sleep Medicine Textbook. 2021. 1100 p.</w:t>
      </w:r>
    </w:p>
    <w:p w:rsidR="008E3F15" w:rsidRDefault="005F449A">
      <w:pPr>
        <w:ind w:left="2" w:right="239"/>
      </w:pPr>
      <w:r>
        <w:t>European Sleep Research Society. European guideline for the diagnosis and treatment of insomnia // J. Sleep Res. 2017. Vol. 26. N. 6. P. 675–700.</w:t>
      </w:r>
    </w:p>
    <w:p w:rsidR="008E3F15" w:rsidRDefault="005F449A">
      <w:pPr>
        <w:ind w:left="2" w:right="15"/>
      </w:pPr>
      <w:r>
        <w:t xml:space="preserve">European Respiratory Society/European Society of Hypertension. Recommendations for the management of patients </w:t>
      </w:r>
      <w:r>
        <w:t>with obstructive sleep apnoea and hypertension // Eur. Respir. J. 2013.</w:t>
      </w:r>
    </w:p>
    <w:p w:rsidR="008E3F15" w:rsidRDefault="005F449A">
      <w:pPr>
        <w:spacing w:after="31"/>
        <w:ind w:left="2" w:right="15"/>
      </w:pPr>
      <w:r>
        <w:t>Vol. 41. N. 3. P. 523–538.</w:t>
      </w:r>
    </w:p>
    <w:p w:rsidR="008E3F15" w:rsidRDefault="005F449A">
      <w:pPr>
        <w:ind w:left="2" w:right="15"/>
      </w:pPr>
      <w:r>
        <w:t>Akashiba T., Inoue Y., Uchimura N. et al. Sleep Apnea Syndrome (SAS) Clinical Practice Guidelines 2020 // Sleep and Biological Rhythms. 2022. N. 1. P. 5–37.</w:t>
      </w:r>
    </w:p>
    <w:p w:rsidR="008E3F15" w:rsidRDefault="005F449A">
      <w:pPr>
        <w:ind w:left="2" w:right="15"/>
      </w:pPr>
      <w:r>
        <w:t>Kapur V.K., Auckley D.H., Chowdhuri S. et al. Clinical practice guideline for diagnostic testing for adult obstructive sleep apnea: an American Academy of Sleep Medicine clinical practice guideline // J. Clin. Sleep Med. 2017. Vol. 13. N. 3. P. 479–504.</w:t>
      </w:r>
    </w:p>
    <w:p w:rsidR="008E3F15" w:rsidRDefault="005F449A">
      <w:pPr>
        <w:ind w:left="2" w:right="15"/>
      </w:pPr>
      <w:r>
        <w:t>Me</w:t>
      </w:r>
      <w:r>
        <w:t>hra R., Chung M., Olshansky B. et al. Sleep-Disordered Breathing and Cardiac Arrhythmias in Adults: Mechanistic Insights and Clinical Implications: A Scientific Statement From the American Heart Association // Circulation. 2022. Vol. 146. P. e119–e136.</w:t>
      </w:r>
    </w:p>
    <w:p w:rsidR="008E3F15" w:rsidRDefault="005F449A">
      <w:pPr>
        <w:ind w:left="2" w:right="15"/>
      </w:pPr>
      <w:r>
        <w:t>Mor</w:t>
      </w:r>
      <w:r>
        <w:t>in C., Inoue Y., Kushida C. et al. Endorsement of European guideline for the diagnosis and treatment of insomnia by the World Sleep Society // Sleep Medicine. 2021. Vol. 81. P. 124–126. National Institute for Health and Clinical Excellence. Continuous posi</w:t>
      </w:r>
      <w:r>
        <w:t>tive airway pressure for the treatment of obstructive sleep apnoea/hypopnoea syndrome. 2021. 28 p.</w:t>
      </w:r>
    </w:p>
    <w:p w:rsidR="008E3F15" w:rsidRDefault="005F449A">
      <w:pPr>
        <w:ind w:left="2" w:right="15"/>
      </w:pPr>
      <w:r>
        <w:t>Patil S.P., Ayappa I.A., Caples S.M. et al. Treatment of Adult Obstructive Sleep Apnea with Positive Airway Pressure: An American Academy of Sleep Medicine C</w:t>
      </w:r>
      <w:r>
        <w:t>linical Practice Guideline // J. Clin. Sleep Med. 2019. Vol. 15. N. 2. P. 335–343.</w:t>
      </w:r>
    </w:p>
    <w:p w:rsidR="008E3F15" w:rsidRDefault="005F449A">
      <w:pPr>
        <w:ind w:left="2" w:right="230"/>
      </w:pPr>
      <w:r>
        <w:t>US Preventive Services Task Force. Screening for Obstructive Sleep Apnea in Adults. US Preventive Services Task Force Recommendation Statement // JAMA. 2017. Vol. 317. N. 4.</w:t>
      </w:r>
      <w:r>
        <w:t xml:space="preserve"> P. 407–414. VA/DoD Clinical Practice Guideline for the Management of Chronic Insomnia Disorder and Obstructive Sleep Apnea. 2019. 152 p.</w:t>
      </w:r>
    </w:p>
    <w:p w:rsidR="008E3F15" w:rsidRDefault="005F449A">
      <w:pPr>
        <w:ind w:left="2" w:right="15"/>
      </w:pPr>
      <w:r>
        <w:t>Watson N., Badr M., Belenky G., et al. Recommended Amount of Sleep for a Healthy Adult: A Joint Consensus Statement of</w:t>
      </w:r>
      <w:r>
        <w:t xml:space="preserve"> the American Academy of Sleep Medicine and Sleep Research Society // Sleep. 2015. Vol. 38. P. 843–844</w:t>
      </w:r>
    </w:p>
    <w:p w:rsidR="008E3F15" w:rsidRDefault="005F449A">
      <w:pPr>
        <w:ind w:left="2" w:right="327"/>
      </w:pPr>
      <w:r>
        <w:t>Yeghiazarians Y., Jneid H., Tietjens J. et al. Obstructive Sleep Apnea and Cardiovascular Disease: A Scientific Statement From the American Heart Associa</w:t>
      </w:r>
      <w:r>
        <w:t>tion // Circulation. 2021. Vol. 144. N. 3. P. e56–e67.</w:t>
      </w:r>
    </w:p>
    <w:p w:rsidR="008E3F15" w:rsidRDefault="005F449A">
      <w:pPr>
        <w:pStyle w:val="Heading2"/>
        <w:spacing w:after="0"/>
        <w:ind w:left="2"/>
      </w:pPr>
      <w:r>
        <w:t>Злокачественные новообразования</w:t>
      </w:r>
    </w:p>
    <w:p w:rsidR="008E3F15" w:rsidRDefault="005F449A">
      <w:pPr>
        <w:spacing w:after="359"/>
        <w:ind w:left="2" w:right="590"/>
      </w:pPr>
      <w:r>
        <w:t>Васюк Ю.А., Гендлин Г.Е., Емелина Е.И. и др. Согласованное мнение Российских экспертов по профилактике, диагностике и лечению сердечно-сосудистой токсичности противоопух</w:t>
      </w:r>
      <w:r>
        <w:t>олевой терапии // Российский кардиологический журнал. 2021. Т. 26. № 9. С. 4703.</w:t>
      </w:r>
    </w:p>
    <w:p w:rsidR="008E3F15" w:rsidRDefault="005F449A">
      <w:pPr>
        <w:pStyle w:val="Heading1"/>
        <w:ind w:left="2"/>
      </w:pPr>
      <w:r>
        <w:t>Библиографический список</w:t>
      </w:r>
    </w:p>
    <w:p w:rsidR="008E3F15" w:rsidRDefault="005F449A">
      <w:pPr>
        <w:spacing w:after="31"/>
        <w:ind w:left="2" w:right="15"/>
      </w:pPr>
      <w:r>
        <w:t>2022 ESC Guidelines on cardio-oncology developed in collaboration with the European</w:t>
      </w:r>
    </w:p>
    <w:p w:rsidR="008E3F15" w:rsidRDefault="005F449A">
      <w:pPr>
        <w:ind w:left="2" w:right="15"/>
      </w:pPr>
      <w:r>
        <w:t>Hematology Association (EHA), the European Society for Therapeutic</w:t>
      </w:r>
      <w:r>
        <w:t xml:space="preserve"> Radiology and Oncology (ESTRO) and the International Cardio-Oncology Society (IC-OS): Developed by the task force on cardio-oncology of the European Society of Cardiology (ESC) // Eur. Heart J. 2022. N. 43. P. 4229– 4361.</w:t>
      </w:r>
    </w:p>
    <w:p w:rsidR="008E3F15" w:rsidRDefault="005F449A">
      <w:pPr>
        <w:ind w:left="2" w:right="15"/>
      </w:pPr>
      <w:r>
        <w:t>British Society of Gastroenterolo</w:t>
      </w:r>
      <w:r>
        <w:t>gy guidelines on the diagnosis and management of patients at risk of gastric adenocarcinoma // Gut. 2019. N. 68. P. 1545–1575.</w:t>
      </w:r>
    </w:p>
    <w:p w:rsidR="008E3F15" w:rsidRDefault="005F449A">
      <w:pPr>
        <w:ind w:left="2" w:right="15"/>
      </w:pPr>
      <w:r>
        <w:t>Holland-Frei Cancer Medicine / Eds. R.C. Bast Jr., C.M. Croce, W.N. Hait et al. New Jersey. John Wiley &amp; Sons, Inc. Hoboken, 2023</w:t>
      </w:r>
      <w:r>
        <w:t>. 1939 p.</w:t>
      </w:r>
    </w:p>
    <w:p w:rsidR="008E3F15" w:rsidRDefault="005F449A">
      <w:pPr>
        <w:spacing w:after="31"/>
        <w:ind w:left="2" w:right="15"/>
      </w:pPr>
      <w:r>
        <w:t>Abeloff’s Clinical Oncology. 6th edition. 2020. 2037 p.</w:t>
      </w:r>
    </w:p>
    <w:p w:rsidR="008E3F15" w:rsidRDefault="005F449A">
      <w:pPr>
        <w:spacing w:after="31"/>
        <w:ind w:left="2" w:right="15"/>
      </w:pPr>
      <w:r>
        <w:t>Campia U., Moslehi J., Amiri-Kordestani L. et al. Cardio-Oncology: Vascular and Metabolic</w:t>
      </w:r>
    </w:p>
    <w:p w:rsidR="008E3F15" w:rsidRDefault="005F449A">
      <w:pPr>
        <w:ind w:left="2" w:right="15"/>
      </w:pPr>
      <w:r>
        <w:t>Perspectives: A Scientific Statement From the American Heart Association // Circulation. 2019. N. 13. P. e579–e602.</w:t>
      </w:r>
    </w:p>
    <w:p w:rsidR="008E3F15" w:rsidRDefault="005F449A">
      <w:pPr>
        <w:ind w:left="2" w:right="15"/>
      </w:pPr>
      <w:r>
        <w:t>Cancer prevention and screening: concepts, principles and controversies / Eds. R.A. Eeles, C.D. Berg, J.S. Tobias. Hoboken. John Wiley &amp; Son</w:t>
      </w:r>
      <w:r>
        <w:t>s, 2018. 439 p.</w:t>
      </w:r>
    </w:p>
    <w:p w:rsidR="008E3F15" w:rsidRDefault="005F449A">
      <w:pPr>
        <w:ind w:left="2" w:right="15"/>
      </w:pPr>
      <w:r>
        <w:t>Cohen J.B., Brown N.J., Brown S.A. et al. Cancer Therapy-Related Hypertension: A Scientific Statement From the American Heart Association // Hypertension. 2023. Vol. 3. P. e46–e57.</w:t>
      </w:r>
    </w:p>
    <w:p w:rsidR="008E3F15" w:rsidRDefault="005F449A">
      <w:pPr>
        <w:ind w:left="2" w:right="15"/>
      </w:pPr>
      <w:r>
        <w:t>Hamashima C. et al. Update version of the Japanese Guidelin</w:t>
      </w:r>
      <w:r>
        <w:t>es for Gastric Cancer Screening // Jpn. J. Clin. Oncol. 2018. Vol. 48. N. 7. P. 673–683.</w:t>
      </w:r>
    </w:p>
    <w:p w:rsidR="008E3F15" w:rsidRDefault="005F449A">
      <w:pPr>
        <w:spacing w:after="31"/>
        <w:ind w:left="2" w:right="15"/>
      </w:pPr>
      <w:r>
        <w:t>Key N., Khorana A., Kuderer N., et al. Venous Thromboembolism Prophylaxis and Treatment in</w:t>
      </w:r>
    </w:p>
    <w:p w:rsidR="008E3F15" w:rsidRDefault="005F449A">
      <w:pPr>
        <w:spacing w:after="31"/>
        <w:ind w:left="2" w:right="15"/>
      </w:pPr>
      <w:r>
        <w:t xml:space="preserve">Patients With Cancer: ASCO Guideline Update // J Clin Oncol. 2023. Vol. 41. </w:t>
      </w:r>
      <w:r>
        <w:t>P. 3063–3071</w:t>
      </w:r>
    </w:p>
    <w:p w:rsidR="008E3F15" w:rsidRDefault="005F449A">
      <w:pPr>
        <w:ind w:left="2" w:right="15"/>
      </w:pPr>
      <w:r>
        <w:t>Lyman G., Carrier M., Ay C. et al. American Society of Hematology 2021 guidelines for management of venous thromboembolism: prevention and treatment in patients with cancer // Blood Adv. 2021. N. 4. P. 927–974.</w:t>
      </w:r>
    </w:p>
    <w:p w:rsidR="008E3F15" w:rsidRDefault="005F449A">
      <w:pPr>
        <w:ind w:left="2" w:right="15"/>
      </w:pPr>
      <w:r>
        <w:t>Lyon A.R., Dent S., Stanway S. e</w:t>
      </w:r>
      <w:r>
        <w:t>t al. Baseline cardiovascular risk assessment in cancer patients scheduled to receive cardiotoxic cancer therapies: a position statement and new risk assessment tools from the Cardio-Oncology Study Group of the Heart Failure Association of the European Soc</w:t>
      </w:r>
      <w:r>
        <w:t>iety of Cardiology in collaboration with the International Cardio-Oncology Society // Eur. J. Heart Fail. 2020. N. 11. P. 1945–1960.</w:t>
      </w:r>
    </w:p>
    <w:p w:rsidR="008E3F15" w:rsidRDefault="005F449A">
      <w:pPr>
        <w:ind w:left="2" w:right="15"/>
      </w:pPr>
      <w:r>
        <w:t>Malfertheiner P., Megraud F., Rokkas T. et al. Management of Helicobacter pylori infection: the Maastricht VI/Florence cons</w:t>
      </w:r>
      <w:r>
        <w:t>ensus report // Gut. 2022. N. 9. P. 1724–1762.</w:t>
      </w:r>
    </w:p>
    <w:p w:rsidR="008E3F15" w:rsidRDefault="005F449A">
      <w:pPr>
        <w:ind w:left="2" w:right="15"/>
      </w:pPr>
      <w:r>
        <w:t>Mazzone P., Silvestri G., Souter L. et al. Screening for Lung Cancer: CHEST Guideline and Expert Panel Report // CHEST. 2021. Vol. 160. N. 5. P. e427–e494.</w:t>
      </w:r>
    </w:p>
    <w:p w:rsidR="008E3F15" w:rsidRDefault="005F449A">
      <w:pPr>
        <w:ind w:left="2" w:right="15"/>
      </w:pPr>
      <w:r>
        <w:t>Management of Cardiac Disease in Cancer Patients Thro</w:t>
      </w:r>
      <w:r>
        <w:t>ughout Oncological Treatment: ESMO Consensus Recommendations // Ann. Oncol. 2020. Vol. 31. N. 2. P. 171–190.</w:t>
      </w:r>
    </w:p>
    <w:p w:rsidR="008E3F15" w:rsidRDefault="005F449A">
      <w:pPr>
        <w:ind w:left="2" w:right="15"/>
      </w:pPr>
      <w:r>
        <w:t>Qaseem A., Harrod C., Crandall C., et al. Screening for Colorectal Cancer in Asymptomatic AverageRisk Adults: A Guidance Statement From the America</w:t>
      </w:r>
      <w:r>
        <w:t>n College of Physicians (Version 2) // Ann Intern Med. 2023.</w:t>
      </w:r>
    </w:p>
    <w:p w:rsidR="008E3F15" w:rsidRDefault="005F449A">
      <w:pPr>
        <w:spacing w:after="31"/>
        <w:ind w:left="2" w:right="15"/>
      </w:pPr>
      <w:r>
        <w:t>National Cancer Institute. Lung Cancer Prevention. 2023.</w:t>
      </w:r>
    </w:p>
    <w:p w:rsidR="008E3F15" w:rsidRDefault="005F449A">
      <w:pPr>
        <w:spacing w:after="0" w:line="259" w:lineRule="auto"/>
        <w:ind w:left="-5" w:right="0"/>
      </w:pPr>
      <w:hyperlink r:id="rId267">
        <w:r>
          <w:rPr>
            <w:color w:val="0000EE"/>
            <w:u w:val="single" w:color="0000EE"/>
          </w:rPr>
          <w:t>https://www.cancer.</w:t>
        </w:r>
      </w:hyperlink>
      <w:hyperlink r:id="rId268">
        <w:r>
          <w:rPr>
            <w:color w:val="0000EE"/>
          </w:rPr>
          <w:t>g</w:t>
        </w:r>
      </w:hyperlink>
      <w:hyperlink r:id="rId269">
        <w:r>
          <w:rPr>
            <w:color w:val="0000EE"/>
            <w:u w:val="single" w:color="0000EE"/>
          </w:rPr>
          <w:t>ov/types/lun</w:t>
        </w:r>
      </w:hyperlink>
      <w:hyperlink r:id="rId270">
        <w:r>
          <w:rPr>
            <w:color w:val="0000EE"/>
          </w:rPr>
          <w:t>g</w:t>
        </w:r>
      </w:hyperlink>
      <w:hyperlink r:id="rId271">
        <w:r>
          <w:rPr>
            <w:color w:val="0000EE"/>
            <w:u w:val="single" w:color="0000EE"/>
          </w:rPr>
          <w:t>/hp/lun</w:t>
        </w:r>
      </w:hyperlink>
      <w:hyperlink r:id="rId272">
        <w:r>
          <w:rPr>
            <w:color w:val="0000EE"/>
          </w:rPr>
          <w:t>g</w:t>
        </w:r>
      </w:hyperlink>
      <w:hyperlink r:id="rId273">
        <w:r>
          <w:rPr>
            <w:color w:val="0000EE"/>
            <w:u w:val="single" w:color="0000EE"/>
          </w:rPr>
          <w:t>-prevention-pdq</w:t>
        </w:r>
      </w:hyperlink>
      <w:r>
        <w:t>. (дата обращения: 01.06.2023).</w:t>
      </w:r>
    </w:p>
    <w:p w:rsidR="008E3F15" w:rsidRDefault="005F449A">
      <w:pPr>
        <w:spacing w:after="31"/>
        <w:ind w:left="2" w:right="15"/>
      </w:pPr>
      <w:r>
        <w:t>National Cancer Institute. Colorectal Cancer Prevention. 2023.</w:t>
      </w:r>
    </w:p>
    <w:p w:rsidR="008E3F15" w:rsidRDefault="005F449A">
      <w:pPr>
        <w:spacing w:after="0" w:line="259" w:lineRule="auto"/>
        <w:ind w:left="-5" w:right="0"/>
      </w:pPr>
      <w:hyperlink r:id="rId274">
        <w:r>
          <w:rPr>
            <w:color w:val="0000EE"/>
            <w:u w:val="single" w:color="0000EE"/>
          </w:rPr>
          <w:t>https://www.cancer.</w:t>
        </w:r>
      </w:hyperlink>
      <w:hyperlink r:id="rId275">
        <w:r>
          <w:rPr>
            <w:color w:val="0000EE"/>
          </w:rPr>
          <w:t>g</w:t>
        </w:r>
      </w:hyperlink>
      <w:hyperlink r:id="rId276">
        <w:r>
          <w:rPr>
            <w:color w:val="0000EE"/>
            <w:u w:val="single" w:color="0000EE"/>
          </w:rPr>
          <w:t>ov/types/colorectal/hp/colorectal-prevention-pdq</w:t>
        </w:r>
      </w:hyperlink>
      <w:hyperlink r:id="rId277">
        <w:r>
          <w:t>.</w:t>
        </w:r>
      </w:hyperlink>
      <w:r>
        <w:t xml:space="preserve"> (дата обращения:</w:t>
      </w:r>
    </w:p>
    <w:p w:rsidR="008E3F15" w:rsidRDefault="005F449A">
      <w:pPr>
        <w:spacing w:after="31"/>
        <w:ind w:left="2" w:right="15"/>
      </w:pPr>
      <w:r>
        <w:t>01.06.2023</w:t>
      </w:r>
      <w:r>
        <w:t>).</w:t>
      </w:r>
    </w:p>
    <w:p w:rsidR="008E3F15" w:rsidRDefault="005F449A">
      <w:pPr>
        <w:spacing w:after="31"/>
        <w:ind w:left="2" w:right="15"/>
      </w:pPr>
      <w:r>
        <w:t>National Comprehensive Cancer Network. Colorectal Cancer Screening. 1. 2022.</w:t>
      </w:r>
    </w:p>
    <w:p w:rsidR="008E3F15" w:rsidRDefault="005F449A">
      <w:pPr>
        <w:spacing w:after="0" w:line="259" w:lineRule="auto"/>
        <w:ind w:left="-5" w:right="0"/>
      </w:pPr>
      <w:hyperlink r:id="rId278">
        <w:r>
          <w:rPr>
            <w:color w:val="0000EE"/>
            <w:u w:val="single" w:color="0000EE"/>
          </w:rPr>
          <w:t>https://www.nccn.or</w:t>
        </w:r>
      </w:hyperlink>
      <w:hyperlink r:id="rId279">
        <w:r>
          <w:rPr>
            <w:color w:val="0000EE"/>
          </w:rPr>
          <w:t>g</w:t>
        </w:r>
      </w:hyperlink>
      <w:hyperlink r:id="rId280">
        <w:r>
          <w:rPr>
            <w:color w:val="0000EE"/>
            <w:u w:val="single" w:color="0000EE"/>
          </w:rPr>
          <w:t>/professionals/ph</w:t>
        </w:r>
      </w:hyperlink>
      <w:hyperlink r:id="rId281">
        <w:r>
          <w:rPr>
            <w:color w:val="0000EE"/>
          </w:rPr>
          <w:t>y</w:t>
        </w:r>
      </w:hyperlink>
      <w:hyperlink r:id="rId282">
        <w:r>
          <w:rPr>
            <w:color w:val="0000EE"/>
            <w:u w:val="single" w:color="0000EE"/>
          </w:rPr>
          <w:t>sician_</w:t>
        </w:r>
      </w:hyperlink>
      <w:hyperlink r:id="rId283">
        <w:r>
          <w:rPr>
            <w:color w:val="0000EE"/>
          </w:rPr>
          <w:t>g</w:t>
        </w:r>
      </w:hyperlink>
      <w:hyperlink r:id="rId284">
        <w:r>
          <w:rPr>
            <w:color w:val="0000EE"/>
            <w:u w:val="single" w:color="0000EE"/>
          </w:rPr>
          <w:t>ls/pdf/colorectal_screenin</w:t>
        </w:r>
      </w:hyperlink>
      <w:hyperlink r:id="rId285">
        <w:r>
          <w:rPr>
            <w:color w:val="0000EE"/>
          </w:rPr>
          <w:t>g</w:t>
        </w:r>
      </w:hyperlink>
      <w:hyperlink r:id="rId286">
        <w:r>
          <w:rPr>
            <w:color w:val="0000EE"/>
            <w:u w:val="single" w:color="0000EE"/>
          </w:rPr>
          <w:t>.pdf</w:t>
        </w:r>
      </w:hyperlink>
      <w:hyperlink r:id="rId287">
        <w:r>
          <w:t>.</w:t>
        </w:r>
      </w:hyperlink>
      <w:r>
        <w:t xml:space="preserve"> (дата обращения:</w:t>
      </w:r>
    </w:p>
    <w:p w:rsidR="008E3F15" w:rsidRDefault="005F449A">
      <w:pPr>
        <w:spacing w:after="31"/>
        <w:ind w:left="2" w:right="15"/>
      </w:pPr>
      <w:r>
        <w:t>01.06.2023).</w:t>
      </w:r>
    </w:p>
    <w:p w:rsidR="008E3F15" w:rsidRDefault="005F449A">
      <w:pPr>
        <w:spacing w:after="31"/>
        <w:ind w:left="2" w:right="15"/>
      </w:pPr>
      <w:r>
        <w:t>National Comprehensive Cancer Network. Prostate Cancer Early Detection. 1.2022.</w:t>
      </w:r>
    </w:p>
    <w:p w:rsidR="008E3F15" w:rsidRDefault="005F449A">
      <w:pPr>
        <w:spacing w:after="0" w:line="259" w:lineRule="auto"/>
        <w:ind w:left="-5" w:right="0"/>
      </w:pPr>
      <w:hyperlink r:id="rId288">
        <w:r>
          <w:rPr>
            <w:color w:val="0000EE"/>
            <w:u w:val="single" w:color="0000EE"/>
          </w:rPr>
          <w:t>https://www.nccn.or</w:t>
        </w:r>
      </w:hyperlink>
      <w:hyperlink r:id="rId289">
        <w:r>
          <w:rPr>
            <w:color w:val="0000EE"/>
          </w:rPr>
          <w:t>g</w:t>
        </w:r>
      </w:hyperlink>
      <w:hyperlink r:id="rId290">
        <w:r>
          <w:rPr>
            <w:color w:val="0000EE"/>
            <w:u w:val="single" w:color="0000EE"/>
          </w:rPr>
          <w:t>/professionals/ph</w:t>
        </w:r>
      </w:hyperlink>
      <w:hyperlink r:id="rId291">
        <w:r>
          <w:rPr>
            <w:color w:val="0000EE"/>
          </w:rPr>
          <w:t>y</w:t>
        </w:r>
      </w:hyperlink>
      <w:hyperlink r:id="rId292">
        <w:r>
          <w:rPr>
            <w:color w:val="0000EE"/>
            <w:u w:val="single" w:color="0000EE"/>
          </w:rPr>
          <w:t>sician_</w:t>
        </w:r>
      </w:hyperlink>
      <w:hyperlink r:id="rId293">
        <w:r>
          <w:rPr>
            <w:color w:val="0000EE"/>
          </w:rPr>
          <w:t>g</w:t>
        </w:r>
      </w:hyperlink>
      <w:hyperlink r:id="rId294">
        <w:r>
          <w:rPr>
            <w:color w:val="0000EE"/>
            <w:u w:val="single" w:color="0000EE"/>
          </w:rPr>
          <w:t>ls/pdf/prostate_detection.pdf</w:t>
        </w:r>
      </w:hyperlink>
      <w:r>
        <w:t>. (дата обращения:</w:t>
      </w:r>
    </w:p>
    <w:p w:rsidR="008E3F15" w:rsidRDefault="005F449A">
      <w:pPr>
        <w:spacing w:after="31"/>
        <w:ind w:left="2" w:right="15"/>
      </w:pPr>
      <w:r>
        <w:t>01.01.2023).</w:t>
      </w:r>
    </w:p>
    <w:p w:rsidR="008E3F15" w:rsidRDefault="005F449A">
      <w:pPr>
        <w:spacing w:after="31"/>
        <w:ind w:left="2" w:right="15"/>
      </w:pPr>
      <w:r>
        <w:t>National Cancer Institute. Stomach (Gastric) Cancer Prevention. 2023.</w:t>
      </w:r>
    </w:p>
    <w:p w:rsidR="008E3F15" w:rsidRDefault="005F449A">
      <w:pPr>
        <w:spacing w:after="0" w:line="259" w:lineRule="auto"/>
        <w:ind w:left="-5" w:right="0"/>
      </w:pPr>
      <w:hyperlink r:id="rId295">
        <w:r>
          <w:rPr>
            <w:color w:val="0000EE"/>
            <w:u w:val="single" w:color="0000EE"/>
          </w:rPr>
          <w:t>https://www.cancer.</w:t>
        </w:r>
      </w:hyperlink>
      <w:hyperlink r:id="rId296">
        <w:r>
          <w:rPr>
            <w:color w:val="0000EE"/>
          </w:rPr>
          <w:t>g</w:t>
        </w:r>
      </w:hyperlink>
      <w:hyperlink r:id="rId297">
        <w:r>
          <w:rPr>
            <w:color w:val="0000EE"/>
            <w:u w:val="single" w:color="0000EE"/>
          </w:rPr>
          <w:t>ov/types/stomach/hp/stomach-prevention-pdq</w:t>
        </w:r>
      </w:hyperlink>
      <w:r>
        <w:t>. (дата обращения:</w:t>
      </w:r>
    </w:p>
    <w:p w:rsidR="008E3F15" w:rsidRDefault="005F449A">
      <w:pPr>
        <w:spacing w:after="31"/>
        <w:ind w:left="2" w:right="15"/>
      </w:pPr>
      <w:r>
        <w:t>01.06.2023).</w:t>
      </w:r>
    </w:p>
    <w:p w:rsidR="008E3F15" w:rsidRDefault="005F449A">
      <w:pPr>
        <w:spacing w:after="31"/>
        <w:ind w:left="2" w:right="15"/>
      </w:pPr>
      <w:r>
        <w:t>National Cancer Institute. Liver (Hepatocellular) Cancer Prevention. 2023.</w:t>
      </w:r>
    </w:p>
    <w:p w:rsidR="008E3F15" w:rsidRDefault="005F449A">
      <w:pPr>
        <w:spacing w:after="0" w:line="259" w:lineRule="auto"/>
        <w:ind w:left="-5" w:right="0"/>
      </w:pPr>
      <w:hyperlink r:id="rId298">
        <w:r>
          <w:rPr>
            <w:color w:val="0000EE"/>
            <w:u w:val="single" w:color="0000EE"/>
          </w:rPr>
          <w:t>https://www.cancer.</w:t>
        </w:r>
      </w:hyperlink>
      <w:hyperlink r:id="rId299">
        <w:r>
          <w:rPr>
            <w:color w:val="0000EE"/>
          </w:rPr>
          <w:t>g</w:t>
        </w:r>
      </w:hyperlink>
      <w:hyperlink r:id="rId300">
        <w:r>
          <w:rPr>
            <w:color w:val="0000EE"/>
            <w:u w:val="single" w:color="0000EE"/>
          </w:rPr>
          <w:t>ov/t</w:t>
        </w:r>
        <w:r>
          <w:rPr>
            <w:color w:val="0000EE"/>
            <w:u w:val="single" w:color="0000EE"/>
          </w:rPr>
          <w:t>ypes/liver/hp/liver-prevention-pdq</w:t>
        </w:r>
      </w:hyperlink>
      <w:r>
        <w:t>. (дата обращения: 01.01.2023).</w:t>
      </w:r>
    </w:p>
    <w:p w:rsidR="008E3F15" w:rsidRDefault="005F449A">
      <w:pPr>
        <w:spacing w:after="31"/>
        <w:ind w:left="2" w:right="15"/>
      </w:pPr>
      <w:r>
        <w:t>National Cancer Institute. Liver (Hepatocellular) Cancer Screening. 2023.</w:t>
      </w:r>
    </w:p>
    <w:p w:rsidR="008E3F15" w:rsidRDefault="005F449A">
      <w:pPr>
        <w:spacing w:after="0" w:line="259" w:lineRule="auto"/>
        <w:ind w:left="-5" w:right="0"/>
      </w:pPr>
      <w:hyperlink r:id="rId301">
        <w:r>
          <w:rPr>
            <w:color w:val="0000EE"/>
            <w:u w:val="single" w:color="0000EE"/>
          </w:rPr>
          <w:t>https://www.cancer.</w:t>
        </w:r>
      </w:hyperlink>
      <w:hyperlink r:id="rId302">
        <w:r>
          <w:rPr>
            <w:color w:val="0000EE"/>
          </w:rPr>
          <w:t>g</w:t>
        </w:r>
      </w:hyperlink>
      <w:hyperlink r:id="rId303">
        <w:r>
          <w:rPr>
            <w:color w:val="0000EE"/>
            <w:u w:val="single" w:color="0000EE"/>
          </w:rPr>
          <w:t>ov/types/liver/hp/liver-screenin</w:t>
        </w:r>
      </w:hyperlink>
      <w:hyperlink r:id="rId304">
        <w:r>
          <w:rPr>
            <w:color w:val="0000EE"/>
          </w:rPr>
          <w:t>g</w:t>
        </w:r>
      </w:hyperlink>
      <w:hyperlink r:id="rId305">
        <w:r>
          <w:rPr>
            <w:color w:val="0000EE"/>
            <w:u w:val="single" w:color="0000EE"/>
          </w:rPr>
          <w:t>-pdq</w:t>
        </w:r>
      </w:hyperlink>
      <w:hyperlink r:id="rId306">
        <w:r>
          <w:t>.</w:t>
        </w:r>
      </w:hyperlink>
      <w:r>
        <w:t xml:space="preserve"> (дата обращения: 01.06.2023).</w:t>
      </w:r>
    </w:p>
    <w:p w:rsidR="008E3F15" w:rsidRDefault="005F449A">
      <w:pPr>
        <w:spacing w:after="31"/>
        <w:ind w:left="2" w:right="15"/>
      </w:pPr>
      <w:r>
        <w:t>National Cancer Institute. Esophageal Cancer Screening. 2023.</w:t>
      </w:r>
    </w:p>
    <w:p w:rsidR="008E3F15" w:rsidRDefault="005F449A">
      <w:pPr>
        <w:spacing w:after="0" w:line="259" w:lineRule="auto"/>
        <w:ind w:left="-5" w:right="0"/>
      </w:pPr>
      <w:hyperlink r:id="rId307">
        <w:r>
          <w:rPr>
            <w:color w:val="0000EE"/>
            <w:u w:val="single" w:color="0000EE"/>
          </w:rPr>
          <w:t>https://www.cancer.</w:t>
        </w:r>
      </w:hyperlink>
      <w:hyperlink r:id="rId308">
        <w:r>
          <w:rPr>
            <w:color w:val="0000EE"/>
          </w:rPr>
          <w:t>g</w:t>
        </w:r>
      </w:hyperlink>
      <w:hyperlink r:id="rId309">
        <w:r>
          <w:rPr>
            <w:color w:val="0000EE"/>
            <w:u w:val="single" w:color="0000EE"/>
          </w:rPr>
          <w:t>ov/types/esopha</w:t>
        </w:r>
      </w:hyperlink>
      <w:hyperlink r:id="rId310">
        <w:r>
          <w:rPr>
            <w:color w:val="0000EE"/>
          </w:rPr>
          <w:t>g</w:t>
        </w:r>
      </w:hyperlink>
      <w:hyperlink r:id="rId311">
        <w:r>
          <w:rPr>
            <w:color w:val="0000EE"/>
            <w:u w:val="single" w:color="0000EE"/>
          </w:rPr>
          <w:t>eal/hp/esopha</w:t>
        </w:r>
      </w:hyperlink>
      <w:hyperlink r:id="rId312">
        <w:r>
          <w:rPr>
            <w:color w:val="0000EE"/>
          </w:rPr>
          <w:t>g</w:t>
        </w:r>
      </w:hyperlink>
      <w:hyperlink r:id="rId313">
        <w:r>
          <w:rPr>
            <w:color w:val="0000EE"/>
            <w:u w:val="single" w:color="0000EE"/>
          </w:rPr>
          <w:t>eal-screenin</w:t>
        </w:r>
      </w:hyperlink>
      <w:hyperlink r:id="rId314">
        <w:r>
          <w:rPr>
            <w:color w:val="0000EE"/>
          </w:rPr>
          <w:t>g</w:t>
        </w:r>
      </w:hyperlink>
      <w:hyperlink r:id="rId315">
        <w:r>
          <w:rPr>
            <w:color w:val="0000EE"/>
            <w:u w:val="single" w:color="0000EE"/>
          </w:rPr>
          <w:t>-pdq</w:t>
        </w:r>
      </w:hyperlink>
      <w:hyperlink r:id="rId316">
        <w:r>
          <w:t>.</w:t>
        </w:r>
      </w:hyperlink>
      <w:r>
        <w:t xml:space="preserve"> (дата обращения:</w:t>
      </w:r>
    </w:p>
    <w:p w:rsidR="008E3F15" w:rsidRDefault="005F449A">
      <w:pPr>
        <w:spacing w:after="31"/>
        <w:ind w:left="2" w:right="15"/>
      </w:pPr>
      <w:r>
        <w:t>01.06.2023).</w:t>
      </w:r>
    </w:p>
    <w:p w:rsidR="008E3F15" w:rsidRDefault="005F449A">
      <w:pPr>
        <w:spacing w:after="31"/>
        <w:ind w:left="2" w:right="15"/>
      </w:pPr>
      <w:r>
        <w:t>National Cancer Institute. Es</w:t>
      </w:r>
      <w:r>
        <w:t>ophageal Cancer Prevention. 2023.</w:t>
      </w:r>
    </w:p>
    <w:p w:rsidR="008E3F15" w:rsidRDefault="005F449A">
      <w:pPr>
        <w:spacing w:after="0" w:line="259" w:lineRule="auto"/>
        <w:ind w:left="-5" w:right="0"/>
      </w:pPr>
      <w:hyperlink r:id="rId317">
        <w:r>
          <w:rPr>
            <w:color w:val="0000EE"/>
            <w:u w:val="single" w:color="0000EE"/>
          </w:rPr>
          <w:t>https://www.cancer.</w:t>
        </w:r>
      </w:hyperlink>
      <w:hyperlink r:id="rId318">
        <w:r>
          <w:rPr>
            <w:color w:val="0000EE"/>
          </w:rPr>
          <w:t>g</w:t>
        </w:r>
      </w:hyperlink>
      <w:hyperlink r:id="rId319">
        <w:r>
          <w:rPr>
            <w:color w:val="0000EE"/>
            <w:u w:val="single" w:color="0000EE"/>
          </w:rPr>
          <w:t>ov/types/esopha</w:t>
        </w:r>
      </w:hyperlink>
      <w:hyperlink r:id="rId320">
        <w:r>
          <w:rPr>
            <w:color w:val="0000EE"/>
          </w:rPr>
          <w:t>g</w:t>
        </w:r>
      </w:hyperlink>
      <w:hyperlink r:id="rId321">
        <w:r>
          <w:rPr>
            <w:color w:val="0000EE"/>
            <w:u w:val="single" w:color="0000EE"/>
          </w:rPr>
          <w:t>ea</w:t>
        </w:r>
        <w:r>
          <w:rPr>
            <w:color w:val="0000EE"/>
            <w:u w:val="single" w:color="0000EE"/>
          </w:rPr>
          <w:t>l/hp/esopha</w:t>
        </w:r>
      </w:hyperlink>
      <w:hyperlink r:id="rId322">
        <w:r>
          <w:rPr>
            <w:color w:val="0000EE"/>
          </w:rPr>
          <w:t>g</w:t>
        </w:r>
      </w:hyperlink>
      <w:hyperlink r:id="rId323">
        <w:r>
          <w:rPr>
            <w:color w:val="0000EE"/>
            <w:u w:val="single" w:color="0000EE"/>
          </w:rPr>
          <w:t>eal-prevention-pdq</w:t>
        </w:r>
      </w:hyperlink>
      <w:r>
        <w:t>. (дата обращения:</w:t>
      </w:r>
    </w:p>
    <w:p w:rsidR="008E3F15" w:rsidRDefault="005F449A">
      <w:pPr>
        <w:spacing w:after="31"/>
        <w:ind w:left="2" w:right="15"/>
      </w:pPr>
      <w:r>
        <w:t>01.06.2023).</w:t>
      </w:r>
    </w:p>
    <w:p w:rsidR="008E3F15" w:rsidRDefault="005F449A">
      <w:pPr>
        <w:spacing w:after="31"/>
        <w:ind w:left="2" w:right="15"/>
      </w:pPr>
      <w:r>
        <w:t>National Cancer In</w:t>
      </w:r>
      <w:r>
        <w:t>stitute. Breast Cancer Prevention. 2023.</w:t>
      </w:r>
    </w:p>
    <w:p w:rsidR="008E3F15" w:rsidRDefault="005F449A">
      <w:pPr>
        <w:spacing w:after="0" w:line="259" w:lineRule="auto"/>
        <w:ind w:left="-5" w:right="0"/>
      </w:pPr>
      <w:hyperlink r:id="rId324">
        <w:r>
          <w:rPr>
            <w:color w:val="0000EE"/>
            <w:u w:val="single" w:color="0000EE"/>
          </w:rPr>
          <w:t>https://www.cancer.</w:t>
        </w:r>
      </w:hyperlink>
      <w:hyperlink r:id="rId325">
        <w:r>
          <w:rPr>
            <w:color w:val="0000EE"/>
          </w:rPr>
          <w:t>g</w:t>
        </w:r>
      </w:hyperlink>
      <w:hyperlink r:id="rId326">
        <w:r>
          <w:rPr>
            <w:color w:val="0000EE"/>
            <w:u w:val="single" w:color="0000EE"/>
          </w:rPr>
          <w:t>ov/types/breast/hp/breast-prevention-pdq</w:t>
        </w:r>
      </w:hyperlink>
      <w:hyperlink r:id="rId327">
        <w:r>
          <w:t>.</w:t>
        </w:r>
      </w:hyperlink>
      <w:r>
        <w:t xml:space="preserve"> (дата обращения: 01.06.2023).</w:t>
      </w:r>
    </w:p>
    <w:p w:rsidR="008E3F15" w:rsidRDefault="005F449A">
      <w:pPr>
        <w:spacing w:after="31"/>
        <w:ind w:left="2" w:right="15"/>
      </w:pPr>
      <w:r>
        <w:t>National Cancer Institute. Cervical Cancer Prevention. 2023</w:t>
      </w:r>
      <w:r>
        <w:t>.</w:t>
      </w:r>
    </w:p>
    <w:p w:rsidR="008E3F15" w:rsidRDefault="005F449A">
      <w:pPr>
        <w:spacing w:after="0" w:line="259" w:lineRule="auto"/>
        <w:ind w:left="-5" w:right="0"/>
      </w:pPr>
      <w:hyperlink r:id="rId328">
        <w:r>
          <w:rPr>
            <w:color w:val="0000EE"/>
            <w:u w:val="single" w:color="0000EE"/>
          </w:rPr>
          <w:t>https://www.cancer.</w:t>
        </w:r>
      </w:hyperlink>
      <w:hyperlink r:id="rId329">
        <w:r>
          <w:rPr>
            <w:color w:val="0000EE"/>
          </w:rPr>
          <w:t>g</w:t>
        </w:r>
      </w:hyperlink>
      <w:hyperlink r:id="rId330">
        <w:r>
          <w:rPr>
            <w:color w:val="0000EE"/>
            <w:u w:val="single" w:color="0000EE"/>
          </w:rPr>
          <w:t>ov/types/cervical/hp/cervical-prevention-pdq</w:t>
        </w:r>
      </w:hyperlink>
      <w:hyperlink r:id="rId331">
        <w:r>
          <w:t>.</w:t>
        </w:r>
      </w:hyperlink>
      <w:r>
        <w:t xml:space="preserve"> (дата обращения: 01.06.2023).</w:t>
      </w:r>
    </w:p>
    <w:p w:rsidR="008E3F15" w:rsidRDefault="005F449A">
      <w:pPr>
        <w:spacing w:after="31"/>
        <w:ind w:left="2" w:right="15"/>
      </w:pPr>
      <w:r>
        <w:t>National Cancer Institute. Prostate Cancer Prevention. 2023.</w:t>
      </w:r>
    </w:p>
    <w:p w:rsidR="008E3F15" w:rsidRDefault="005F449A">
      <w:pPr>
        <w:spacing w:after="0" w:line="259" w:lineRule="auto"/>
        <w:ind w:left="-5" w:right="0"/>
      </w:pPr>
      <w:hyperlink r:id="rId332">
        <w:r>
          <w:rPr>
            <w:color w:val="0000EE"/>
            <w:u w:val="single" w:color="0000EE"/>
          </w:rPr>
          <w:t>https://www.cancer.</w:t>
        </w:r>
      </w:hyperlink>
      <w:hyperlink r:id="rId333">
        <w:r>
          <w:rPr>
            <w:color w:val="0000EE"/>
          </w:rPr>
          <w:t>g</w:t>
        </w:r>
      </w:hyperlink>
      <w:hyperlink r:id="rId334">
        <w:r>
          <w:rPr>
            <w:color w:val="0000EE"/>
            <w:u w:val="single" w:color="0000EE"/>
          </w:rPr>
          <w:t>ov/types/prostate/hp/prostate-prevention-pdq</w:t>
        </w:r>
      </w:hyperlink>
      <w:r>
        <w:t>. (дата обращения:</w:t>
      </w:r>
    </w:p>
    <w:p w:rsidR="008E3F15" w:rsidRDefault="005F449A">
      <w:pPr>
        <w:spacing w:after="345"/>
        <w:ind w:left="2" w:right="15"/>
      </w:pPr>
      <w:r>
        <w:t>01.06.2023).</w:t>
      </w:r>
    </w:p>
    <w:p w:rsidR="008E3F15" w:rsidRDefault="005F449A">
      <w:pPr>
        <w:pStyle w:val="Heading1"/>
        <w:ind w:left="2"/>
      </w:pPr>
      <w:r>
        <w:t>Библиографический список</w:t>
      </w:r>
    </w:p>
    <w:p w:rsidR="008E3F15" w:rsidRDefault="005F449A">
      <w:pPr>
        <w:spacing w:after="31"/>
        <w:ind w:left="2" w:right="15"/>
      </w:pPr>
      <w:r>
        <w:t>National Cancer Institute. Skin Cancer Prevention. 2023.</w:t>
      </w:r>
    </w:p>
    <w:p w:rsidR="008E3F15" w:rsidRDefault="005F449A">
      <w:pPr>
        <w:spacing w:after="0" w:line="259" w:lineRule="auto"/>
        <w:ind w:left="-5" w:right="0"/>
      </w:pPr>
      <w:hyperlink r:id="rId335">
        <w:r>
          <w:rPr>
            <w:color w:val="0000EE"/>
            <w:u w:val="single" w:color="0000EE"/>
          </w:rPr>
          <w:t>https://</w:t>
        </w:r>
        <w:r>
          <w:rPr>
            <w:color w:val="0000EE"/>
            <w:u w:val="single" w:color="0000EE"/>
          </w:rPr>
          <w:t>www.cancer.</w:t>
        </w:r>
      </w:hyperlink>
      <w:hyperlink r:id="rId336">
        <w:r>
          <w:rPr>
            <w:color w:val="0000EE"/>
          </w:rPr>
          <w:t>g</w:t>
        </w:r>
      </w:hyperlink>
      <w:hyperlink r:id="rId337">
        <w:r>
          <w:rPr>
            <w:color w:val="0000EE"/>
            <w:u w:val="single" w:color="0000EE"/>
          </w:rPr>
          <w:t>ov/types/skin/hp/skin-prevention-pdq</w:t>
        </w:r>
      </w:hyperlink>
      <w:hyperlink r:id="rId338">
        <w:r>
          <w:t>.</w:t>
        </w:r>
      </w:hyperlink>
      <w:r>
        <w:t xml:space="preserve"> (дата обращения: 01.06.2023).</w:t>
      </w:r>
    </w:p>
    <w:p w:rsidR="008E3F15" w:rsidRDefault="005F449A">
      <w:pPr>
        <w:spacing w:after="31"/>
        <w:ind w:left="2" w:right="15"/>
      </w:pPr>
      <w:r>
        <w:t>National Comprehensive Cancer. Venous Thromboembolic Disease. 2.2023. 137 p.</w:t>
      </w:r>
    </w:p>
    <w:p w:rsidR="008E3F15" w:rsidRDefault="005F449A">
      <w:pPr>
        <w:spacing w:after="0" w:line="259" w:lineRule="auto"/>
        <w:ind w:left="-5" w:right="0"/>
      </w:pPr>
      <w:hyperlink r:id="rId339">
        <w:r>
          <w:rPr>
            <w:color w:val="0000EE"/>
            <w:u w:val="single" w:color="0000EE"/>
          </w:rPr>
          <w:t>https://www.nccn.org/professionals/ph</w:t>
        </w:r>
      </w:hyperlink>
      <w:hyperlink r:id="rId340">
        <w:r>
          <w:rPr>
            <w:color w:val="0000EE"/>
          </w:rPr>
          <w:t>y</w:t>
        </w:r>
      </w:hyperlink>
      <w:hyperlink r:id="rId341">
        <w:r>
          <w:rPr>
            <w:color w:val="0000EE"/>
            <w:u w:val="single" w:color="0000EE"/>
          </w:rPr>
          <w:t>sician_</w:t>
        </w:r>
      </w:hyperlink>
      <w:hyperlink r:id="rId342">
        <w:r>
          <w:rPr>
            <w:color w:val="0000EE"/>
          </w:rPr>
          <w:t>g</w:t>
        </w:r>
      </w:hyperlink>
      <w:hyperlink r:id="rId343">
        <w:r>
          <w:rPr>
            <w:color w:val="0000EE"/>
            <w:u w:val="single" w:color="0000EE"/>
          </w:rPr>
          <w:t>ls/pdf/vte.pdf</w:t>
        </w:r>
      </w:hyperlink>
      <w:hyperlink r:id="rId344">
        <w:r>
          <w:t>.</w:t>
        </w:r>
      </w:hyperlink>
      <w:r>
        <w:t xml:space="preserve"> (дата обращения: 01.06.2023).</w:t>
      </w:r>
    </w:p>
    <w:p w:rsidR="008E3F15" w:rsidRDefault="005F449A">
      <w:pPr>
        <w:spacing w:after="31"/>
        <w:ind w:left="2" w:right="15"/>
      </w:pPr>
      <w:r>
        <w:t>NICE: Suspected cancer recognition and referral symptom reference g</w:t>
      </w:r>
      <w:r>
        <w:t>uide. 2021. 98 p.</w:t>
      </w:r>
    </w:p>
    <w:p w:rsidR="008E3F15" w:rsidRDefault="005F449A">
      <w:pPr>
        <w:spacing w:after="31"/>
        <w:ind w:left="2" w:right="15"/>
      </w:pPr>
      <w:r>
        <w:t>Okwuosa T.M., Morgans A., Rhee June-Wha. et al. Impact of Hormonal Therapies for Treatment of</w:t>
      </w:r>
    </w:p>
    <w:p w:rsidR="008E3F15" w:rsidRDefault="005F449A">
      <w:pPr>
        <w:ind w:left="2" w:right="15"/>
      </w:pPr>
      <w:r>
        <w:t>Hormone-Dependent Cancers (Breast and Prostate) on the Cardiovascular System: Effects and Modifications: A Scientific Statement From the American Heart Association // Circulation: Genomic and Precision Medicine. 2021.</w:t>
      </w:r>
    </w:p>
    <w:p w:rsidR="008E3F15" w:rsidRDefault="005F449A">
      <w:pPr>
        <w:ind w:left="2" w:right="15"/>
      </w:pPr>
      <w:r>
        <w:t>Schünemann H.J., Lerda D., Quinn C., f</w:t>
      </w:r>
      <w:r>
        <w:t>or the European Commission Initiative on Breast Cancer (ECIBC) Contributor Group. Breast Cancer Screening and Diagnosis: A Synopsis of the European Breast Guidelines // Ann. Intern. Med. 2020. Vol. 172. P. 46–56.</w:t>
      </w:r>
    </w:p>
    <w:p w:rsidR="008E3F15" w:rsidRDefault="005F449A">
      <w:pPr>
        <w:ind w:left="2" w:right="15"/>
      </w:pPr>
      <w:r>
        <w:t>US Preventive Services Task Force. Screenin</w:t>
      </w:r>
      <w:r>
        <w:t>g for Cervical Cancer: US Preventive Services Task Force Recommendation Statement // JAMA. 2018. Vol. 320. N. 7. P. 674–686.</w:t>
      </w:r>
    </w:p>
    <w:p w:rsidR="008E3F15" w:rsidRDefault="005F449A">
      <w:pPr>
        <w:ind w:left="2" w:right="15"/>
      </w:pPr>
      <w:r>
        <w:t>US Preventive Services Task Force. Screening for Colorectal Cancer: US Preventive Services Task Force Recommendation Statement // J</w:t>
      </w:r>
      <w:r>
        <w:t>AMA. 2021. Vol. 325. N. 19. P. 1965–1977.</w:t>
      </w:r>
    </w:p>
    <w:p w:rsidR="008E3F15" w:rsidRDefault="005F449A">
      <w:pPr>
        <w:ind w:left="2" w:right="15"/>
      </w:pPr>
      <w:r>
        <w:t>US Preventive Services Task Force. Screening for Prostate Cancer. US Preventive Services Task Force Recommendation Statement // JAMA. 2018. Vol. 319. N. 18. P. 1901–1913.</w:t>
      </w:r>
    </w:p>
    <w:p w:rsidR="008E3F15" w:rsidRDefault="005F449A">
      <w:pPr>
        <w:spacing w:after="31"/>
        <w:ind w:left="2" w:right="15"/>
      </w:pPr>
      <w:r>
        <w:t>US Preventive Services Task Force. Screenin</w:t>
      </w:r>
      <w:r>
        <w:t>g for Breast Cancer: US // Ann. Intern. Med. 2016.</w:t>
      </w:r>
    </w:p>
    <w:p w:rsidR="008E3F15" w:rsidRDefault="005F449A">
      <w:pPr>
        <w:spacing w:after="31"/>
        <w:ind w:left="2" w:right="15"/>
      </w:pPr>
      <w:r>
        <w:t>Vol. 164. P. 279–296.</w:t>
      </w:r>
    </w:p>
    <w:p w:rsidR="008E3F15" w:rsidRDefault="005F449A">
      <w:pPr>
        <w:ind w:left="2" w:right="274"/>
      </w:pPr>
      <w:r>
        <w:t>US Preventive Services Task Force. Medication Use to Reduce Risk of Breast Cancer: US Preventive Services Task Force Recommendation Statement // JAMA. 2019. Vol. 322. N. 9. P. 857–867</w:t>
      </w:r>
      <w:r>
        <w:t>. US Preventive Services Task Force. Screening for Skin Cancer: US Preventive Services Task Force Recommendation Statement // JAMA. 2016. Vol. 316. N. 4. P. 429–435.</w:t>
      </w:r>
    </w:p>
    <w:p w:rsidR="008E3F15" w:rsidRDefault="005F449A">
      <w:pPr>
        <w:ind w:left="2" w:right="15"/>
      </w:pPr>
      <w:r>
        <w:t>US Preventive Services Task Force. Screening for Thyroid Cancer: US Preventive Services Ta</w:t>
      </w:r>
      <w:r>
        <w:t>sk Force Recommendation Statement // JAMA. 2017. Vol. 317. N. 18. P. 1882–1887.</w:t>
      </w:r>
    </w:p>
    <w:p w:rsidR="008E3F15" w:rsidRDefault="005F449A">
      <w:pPr>
        <w:ind w:left="2" w:right="15"/>
      </w:pPr>
      <w:r>
        <w:t>WHO guideline for screening and treatment of cervical pre-cancer lesions for cervical cancer prevention. 2021. 98 p.</w:t>
      </w:r>
    </w:p>
    <w:p w:rsidR="008E3F15" w:rsidRDefault="005F449A">
      <w:pPr>
        <w:ind w:left="2" w:right="15"/>
      </w:pPr>
      <w:r>
        <w:t>Wolf A., Oeffinger K., Shih T. et al. Screening for lung cancer: 2023 guideline update from the American Cancer Society // CA: A Cancer Journal for Clinicians. 2023.</w:t>
      </w:r>
    </w:p>
    <w:sectPr w:rsidR="008E3F15">
      <w:headerReference w:type="even" r:id="rId345"/>
      <w:headerReference w:type="default" r:id="rId346"/>
      <w:footerReference w:type="even" r:id="rId347"/>
      <w:footerReference w:type="default" r:id="rId348"/>
      <w:headerReference w:type="first" r:id="rId349"/>
      <w:footerReference w:type="first" r:id="rId350"/>
      <w:pgSz w:w="11899" w:h="16838"/>
      <w:pgMar w:top="334" w:right="664" w:bottom="533" w:left="690" w:header="720" w:footer="29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5F449A">
      <w:pPr>
        <w:spacing w:after="0" w:line="240" w:lineRule="auto"/>
      </w:pPr>
      <w:r>
        <w:separator/>
      </w:r>
    </w:p>
  </w:endnote>
  <w:endnote w:type="continuationSeparator" w:id="0">
    <w:p w:rsidR="00000000" w:rsidRDefault="005F44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4"/>
      </w:tabs>
      <w:spacing w:after="0" w:line="259" w:lineRule="auto"/>
      <w:ind w:left="-210" w:right="-190"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4"/>
      </w:tabs>
      <w:spacing w:after="0" w:line="259" w:lineRule="auto"/>
      <w:ind w:left="-210" w:right="-190"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sidRPr="005F449A">
      <w:rPr>
        <w:rFonts w:ascii="Arial" w:eastAsia="Arial" w:hAnsi="Arial" w:cs="Arial"/>
        <w:noProof/>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sidRPr="005F449A">
      <w:rPr>
        <w:rFonts w:ascii="Arial" w:eastAsia="Arial" w:hAnsi="Arial" w:cs="Arial"/>
        <w:noProof/>
        <w:color w:val="000000"/>
        <w:sz w:val="16"/>
      </w:rPr>
      <w:t>1</w:t>
    </w:r>
    <w:r>
      <w:rPr>
        <w:rFonts w:ascii="Arial" w:eastAsia="Arial" w:hAnsi="Arial" w:cs="Arial"/>
        <w:color w:val="000000"/>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4"/>
      </w:tabs>
      <w:spacing w:after="0" w:line="259" w:lineRule="auto"/>
      <w:ind w:left="-210" w:right="-190"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w:instrText>
    </w:r>
    <w:r>
      <w:instrText xml:space="preserve">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3"/>
      </w:tabs>
      <w:spacing w:after="0" w:line="259" w:lineRule="auto"/>
      <w:ind w:left="-210" w:right="-191" w:firstLine="0"/>
    </w:pPr>
    <w:r>
      <w:rPr>
        <w:rFonts w:ascii="Arial" w:eastAsia="Arial" w:hAnsi="Arial" w:cs="Arial"/>
        <w:color w:val="000000"/>
        <w:sz w:val="16"/>
      </w:rPr>
      <w:t>file:///D:/PycharmProjects/mail_request/new_geotar_parser/for_pars</w:t>
    </w:r>
    <w:r>
      <w:rPr>
        <w:rFonts w:ascii="Arial" w:eastAsia="Arial" w:hAnsi="Arial" w:cs="Arial"/>
        <w:color w:val="000000"/>
        <w:sz w:val="16"/>
      </w:rPr>
      <w:t>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3"/>
      </w:tabs>
      <w:spacing w:after="0" w:line="259" w:lineRule="auto"/>
      <w:ind w:left="-210" w:right="-191"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3"/>
      </w:tabs>
      <w:spacing w:after="0" w:line="259" w:lineRule="auto"/>
      <w:ind w:left="-210" w:right="-191"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w:t>
    </w:r>
    <w:r>
      <w:rPr>
        <w:rFonts w:ascii="Arial" w:eastAsia="Arial" w:hAnsi="Arial" w:cs="Arial"/>
        <w:color w:val="000000"/>
        <w:sz w:val="16"/>
      </w:rPr>
      <w:t>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5"/>
      </w:tabs>
      <w:spacing w:after="0" w:line="259" w:lineRule="auto"/>
      <w:ind w:left="-210"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5"/>
      </w:tabs>
      <w:spacing w:after="0" w:line="259" w:lineRule="auto"/>
      <w:ind w:left="-210" w:right="-189" w:firstLine="0"/>
    </w:pPr>
    <w:r>
      <w:rPr>
        <w:rFonts w:ascii="Arial" w:eastAsia="Arial" w:hAnsi="Arial" w:cs="Arial"/>
        <w:color w:val="000000"/>
        <w:sz w:val="16"/>
      </w:rPr>
      <w:t>file:///D:/PycharmProjects/mail_request/new_geotar_parser/for_parse/ISBN</w:t>
    </w:r>
    <w:r>
      <w:rPr>
        <w:rFonts w:ascii="Arial" w:eastAsia="Arial" w:hAnsi="Arial" w:cs="Arial"/>
        <w:color w:val="000000"/>
        <w:sz w:val="16"/>
      </w:rPr>
      <w:t>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8E3F15">
    <w:pPr>
      <w:spacing w:after="160" w:line="259" w:lineRule="auto"/>
      <w:ind w:left="0" w:right="0" w:firstLine="0"/>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2"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2"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w:instrText>
    </w:r>
    <w:r>
      <w:instrText xml:space="preserve">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2"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1"/>
      </w:tabs>
      <w:spacing w:after="0" w:line="259" w:lineRule="auto"/>
      <w:ind w:left="-210" w:right="-193"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1"/>
      </w:tabs>
      <w:spacing w:after="0" w:line="259" w:lineRule="auto"/>
      <w:ind w:left="-210" w:right="-193"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1"/>
      </w:tabs>
      <w:spacing w:after="0" w:line="259" w:lineRule="auto"/>
      <w:ind w:left="-210" w:right="-193"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1"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1" w:firstLine="0"/>
    </w:pPr>
    <w:r>
      <w:rPr>
        <w:rFonts w:ascii="Arial" w:eastAsia="Arial" w:hAnsi="Arial" w:cs="Arial"/>
        <w:color w:val="000000"/>
        <w:sz w:val="16"/>
      </w:rPr>
      <w:t>file:///D:/PycharmProjects/mail_request/new_geotar_parser/fo</w:t>
    </w:r>
    <w:r>
      <w:rPr>
        <w:rFonts w:ascii="Arial" w:eastAsia="Arial" w:hAnsi="Arial" w:cs="Arial"/>
        <w:color w:val="000000"/>
        <w:sz w:val="16"/>
      </w:rPr>
      <w:t>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2"/>
      </w:tabs>
      <w:spacing w:after="0" w:line="259" w:lineRule="auto"/>
      <w:ind w:left="-210" w:right="-191"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w:instrText>
    </w:r>
    <w:r>
      <w:instrText xml:space="preserve">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52"/>
      </w:tabs>
      <w:spacing w:after="0" w:line="259" w:lineRule="auto"/>
      <w:ind w:left="-203"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5"/>
      </w:tabs>
      <w:spacing w:after="0" w:line="259" w:lineRule="auto"/>
      <w:ind w:left="-210" w:right="-189" w:firstLine="0"/>
    </w:pPr>
    <w:r>
      <w:rPr>
        <w:rFonts w:ascii="Arial" w:eastAsia="Arial" w:hAnsi="Arial" w:cs="Arial"/>
        <w:color w:val="000000"/>
        <w:sz w:val="16"/>
      </w:rPr>
      <w:t>file:///D:/PycharmProjects/</w:t>
    </w:r>
    <w:r>
      <w:rPr>
        <w:rFonts w:ascii="Arial" w:eastAsia="Arial" w:hAnsi="Arial" w:cs="Arial"/>
        <w:color w:val="000000"/>
        <w:sz w:val="16"/>
      </w:rPr>
      <w:t>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5"/>
      </w:tabs>
      <w:spacing w:after="0" w:line="259" w:lineRule="auto"/>
      <w:ind w:left="-210"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w:instrText>
    </w:r>
    <w:r>
      <w:instrText xml:space="preserve">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right" w:pos="10545"/>
      </w:tabs>
      <w:spacing w:after="0" w:line="259" w:lineRule="auto"/>
      <w:ind w:left="-210" w:right="-189" w:firstLine="0"/>
    </w:pPr>
    <w:r>
      <w:rPr>
        <w:rFonts w:ascii="Arial" w:eastAsia="Arial" w:hAnsi="Arial" w:cs="Arial"/>
        <w:color w:val="000000"/>
        <w:sz w:val="16"/>
      </w:rPr>
      <w:t>file:///D:/PycharmProjects/mail_request/new_geotar_parser/for_parse/ISBN9785970483282.html</w:t>
    </w:r>
    <w:r>
      <w:rPr>
        <w:rFonts w:ascii="Arial" w:eastAsia="Arial" w:hAnsi="Arial" w:cs="Arial"/>
        <w:color w:val="000000"/>
        <w:sz w:val="16"/>
      </w:rPr>
      <w:tab/>
    </w:r>
    <w:r>
      <w:fldChar w:fldCharType="begin"/>
    </w:r>
    <w:r>
      <w:instrText xml:space="preserve"> PAGE   \* MERGEFORMAT </w:instrText>
    </w:r>
    <w:r>
      <w:fldChar w:fldCharType="separate"/>
    </w:r>
    <w:r>
      <w:rPr>
        <w:rFonts w:ascii="Arial" w:eastAsia="Arial" w:hAnsi="Arial" w:cs="Arial"/>
        <w:color w:val="000000"/>
        <w:sz w:val="16"/>
      </w:rPr>
      <w:t>1</w:t>
    </w:r>
    <w:r>
      <w:rPr>
        <w:rFonts w:ascii="Arial" w:eastAsia="Arial" w:hAnsi="Arial" w:cs="Arial"/>
        <w:color w:val="000000"/>
        <w:sz w:val="16"/>
      </w:rPr>
      <w:fldChar w:fldCharType="end"/>
    </w:r>
    <w:r>
      <w:rPr>
        <w:rFonts w:ascii="Arial" w:eastAsia="Arial" w:hAnsi="Arial" w:cs="Arial"/>
        <w:color w:val="000000"/>
        <w:sz w:val="16"/>
      </w:rPr>
      <w:t>/</w:t>
    </w:r>
    <w:r>
      <w:fldChar w:fldCharType="begin"/>
    </w:r>
    <w:r>
      <w:instrText xml:space="preserve"> NUMPAGES   \* MERGEFORMAT </w:instrText>
    </w:r>
    <w:r>
      <w:fldChar w:fldCharType="separate"/>
    </w:r>
    <w:r>
      <w:rPr>
        <w:rFonts w:ascii="Arial" w:eastAsia="Arial" w:hAnsi="Arial" w:cs="Arial"/>
        <w:color w:val="000000"/>
        <w:sz w:val="16"/>
      </w:rPr>
      <w:t>260</w:t>
    </w:r>
    <w:r>
      <w:rPr>
        <w:rFonts w:ascii="Arial" w:eastAsia="Arial" w:hAnsi="Arial" w:cs="Arial"/>
        <w:color w:val="000000"/>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5F449A">
      <w:pPr>
        <w:spacing w:after="0" w:line="240" w:lineRule="auto"/>
      </w:pPr>
      <w:r>
        <w:separator/>
      </w:r>
    </w:p>
  </w:footnote>
  <w:footnote w:type="continuationSeparator" w:id="0">
    <w:p w:rsidR="00000000" w:rsidRDefault="005F44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820" name="Group 35282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821" name="Shape 352821"/>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820" style="width:4.5pt;height:4.5pt;position:absolute;mso-position-horizontal-relative:page;mso-position-horizontal:absolute;margin-left:51pt;mso-position-vertical-relative:page;margin-top:33pt;" coordsize="571,571">
              <v:shape id="Shape 352821"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800" name="Group 35280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801" name="Shape 352801"/>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800" style="width:4.5pt;height:4.5pt;position:absolute;mso-position-horizontal-relative:page;mso-position-horizontal:absolute;margin-left:51pt;mso-position-vertical-relative:page;margin-top:33pt;" coordsize="571,571">
              <v:shape id="Shape 352801"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780" name="Group 35278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781" name="Shape 352781"/>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780" style="width:4.5pt;height:4.5pt;position:absolute;mso-position-horizontal-relative:page;mso-position-horizontal:absolute;margin-left:51pt;mso-position-vertical-relative:page;margin-top:33pt;" coordsize="571,571">
              <v:shape id="Shape 352781"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982" name="Group 35298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983" name="Shape 352983"/>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982" style="width:4.5pt;height:4.5pt;position:absolute;mso-position-horizontal-relative:page;mso-position-horizontal:absolute;margin-left:51pt;mso-position-vertical-relative:page;margin-top:33pt;" coordsize="571,571">
              <v:shape id="Shape 352983"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962" name="Group 35296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963" name="Shape 352963"/>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962" style="width:4.5pt;height:4.5pt;position:absolute;mso-position-horizontal-relative:page;mso-position-horizontal:absolute;margin-left:51pt;mso-position-vertical-relative:page;margin-top:33pt;" coordsize="571,571">
              <v:shape id="Shape 352963"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2942" name="Group 35294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2943" name="Shape 352943"/>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2942" style="width:4.5pt;height:4.5pt;position:absolute;mso-position-horizontal-relative:page;mso-position-horizontal:absolute;margin-left:51pt;mso-position-vertical-relative:page;margin-top:33pt;" coordsize="571,571">
              <v:shape id="Shape 352943"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r>
    <w:r>
      <w:rPr>
        <w:rFonts w:ascii="Arial" w:eastAsia="Arial" w:hAnsi="Arial" w:cs="Arial"/>
        <w:color w:val="000000"/>
        <w:sz w:val="16"/>
      </w:rPr>
      <w:t>My HTML Page</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3078" name="Group 35307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3079" name="Shape 353079"/>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3078" style="width:4.5pt;height:4.5pt;position:absolute;mso-position-horizontal-relative:page;mso-position-horizontal:absolute;margin-left:51pt;mso-position-vertical-relative:page;margin-top:33pt;" coordsize="571,571">
              <v:shape id="Shape 353079"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w:t>
    </w:r>
    <w:r>
      <w:rPr>
        <w:rFonts w:ascii="Arial" w:eastAsia="Arial" w:hAnsi="Arial" w:cs="Arial"/>
        <w:color w:val="000000"/>
        <w:sz w:val="16"/>
      </w:rPr>
      <w:t xml:space="preserve"> HTML Page</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Calibri" w:eastAsia="Calibri" w:hAnsi="Calibri" w:cs="Calibri"/>
        <w:noProof/>
        <w:color w:val="000000"/>
        <w:sz w:val="22"/>
      </w:rPr>
      <mc:AlternateContent>
        <mc:Choice Requires="wpg">
          <w:drawing>
            <wp:anchor distT="0" distB="0" distL="114300" distR="114300" simplePos="0" relativeHeight="251665408" behindDoc="0" locked="0" layoutInCell="1" allowOverlap="1">
              <wp:simplePos x="0" y="0"/>
              <wp:positionH relativeFrom="page">
                <wp:posOffset>647700</wp:posOffset>
              </wp:positionH>
              <wp:positionV relativeFrom="page">
                <wp:posOffset>419100</wp:posOffset>
              </wp:positionV>
              <wp:extent cx="57150" cy="57150"/>
              <wp:effectExtent l="0" t="0" r="0" b="0"/>
              <wp:wrapSquare wrapText="bothSides"/>
              <wp:docPr id="353058" name="Group 35305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3059" name="Shape 353059"/>
                      <wps:cNvSpPr/>
                      <wps:spPr>
                        <a:xfrm>
                          <a:off x="0" y="0"/>
                          <a:ext cx="57150" cy="57150"/>
                        </a:xfrm>
                        <a:custGeom>
                          <a:avLst/>
                          <a:gdLst/>
                          <a:ahLst/>
                          <a:cxnLst/>
                          <a:rect l="0" t="0" r="0" b="0"/>
                          <a:pathLst>
                            <a:path w="57150" h="57150">
                              <a:moveTo>
                                <a:pt x="28575" y="0"/>
                              </a:moveTo>
                              <a:cubicBezTo>
                                <a:pt x="32364" y="0"/>
                                <a:pt x="36009" y="645"/>
                                <a:pt x="39510" y="2084"/>
                              </a:cubicBezTo>
                              <a:cubicBezTo>
                                <a:pt x="43011" y="3473"/>
                                <a:pt x="46101" y="5556"/>
                                <a:pt x="48781" y="8235"/>
                              </a:cubicBezTo>
                              <a:cubicBezTo>
                                <a:pt x="51460" y="10914"/>
                                <a:pt x="53525" y="13990"/>
                                <a:pt x="54975" y="17463"/>
                              </a:cubicBezTo>
                              <a:cubicBezTo>
                                <a:pt x="56425" y="21034"/>
                                <a:pt x="57150" y="24755"/>
                                <a:pt x="57150" y="28575"/>
                              </a:cubicBezTo>
                              <a:cubicBezTo>
                                <a:pt x="57150" y="32345"/>
                                <a:pt x="56425" y="35917"/>
                                <a:pt x="54975" y="39439"/>
                              </a:cubicBezTo>
                              <a:cubicBezTo>
                                <a:pt x="53525" y="42912"/>
                                <a:pt x="51460" y="45988"/>
                                <a:pt x="48781" y="48716"/>
                              </a:cubicBezTo>
                              <a:cubicBezTo>
                                <a:pt x="46101" y="51346"/>
                                <a:pt x="43011" y="53429"/>
                                <a:pt x="39510" y="54818"/>
                              </a:cubicBezTo>
                              <a:cubicBezTo>
                                <a:pt x="36009" y="56257"/>
                                <a:pt x="32364" y="57051"/>
                                <a:pt x="28575" y="57150"/>
                              </a:cubicBezTo>
                              <a:cubicBezTo>
                                <a:pt x="24786" y="57051"/>
                                <a:pt x="21141" y="56257"/>
                                <a:pt x="17640" y="54818"/>
                              </a:cubicBezTo>
                              <a:cubicBezTo>
                                <a:pt x="14139" y="53429"/>
                                <a:pt x="11049" y="51346"/>
                                <a:pt x="8369" y="48716"/>
                              </a:cubicBezTo>
                              <a:cubicBezTo>
                                <a:pt x="5690" y="45988"/>
                                <a:pt x="3625" y="42912"/>
                                <a:pt x="2175" y="39439"/>
                              </a:cubicBezTo>
                              <a:cubicBezTo>
                                <a:pt x="725" y="35917"/>
                                <a:pt x="0" y="32345"/>
                                <a:pt x="0" y="28575"/>
                              </a:cubicBezTo>
                              <a:cubicBezTo>
                                <a:pt x="0" y="24755"/>
                                <a:pt x="725" y="21034"/>
                                <a:pt x="2175" y="17463"/>
                              </a:cubicBezTo>
                              <a:cubicBezTo>
                                <a:pt x="3625" y="13990"/>
                                <a:pt x="5690" y="10914"/>
                                <a:pt x="8369" y="8235"/>
                              </a:cubicBezTo>
                              <a:cubicBezTo>
                                <a:pt x="11049" y="5556"/>
                                <a:pt x="14139" y="3473"/>
                                <a:pt x="17640" y="2084"/>
                              </a:cubicBezTo>
                              <a:cubicBezTo>
                                <a:pt x="21141" y="645"/>
                                <a:pt x="24786" y="0"/>
                                <a:pt x="28575" y="0"/>
                              </a:cubicBezTo>
                              <a:close/>
                            </a:path>
                          </a:pathLst>
                        </a:custGeom>
                        <a:ln w="0" cap="flat">
                          <a:miter lim="127000"/>
                        </a:ln>
                      </wps:spPr>
                      <wps:style>
                        <a:lnRef idx="0">
                          <a:srgbClr val="000000">
                            <a:alpha val="0"/>
                          </a:srgbClr>
                        </a:lnRef>
                        <a:fillRef idx="1">
                          <a:srgbClr val="333333"/>
                        </a:fillRef>
                        <a:effectRef idx="0">
                          <a:scrgbClr r="0" g="0" b="0"/>
                        </a:effectRef>
                        <a:fontRef idx="none"/>
                      </wps:style>
                      <wps:bodyPr/>
                    </wps:wsp>
                  </wpg:wgp>
                </a:graphicData>
              </a:graphic>
            </wp:anchor>
          </w:drawing>
        </mc:Choice>
        <mc:Fallback xmlns:a="http://schemas.openxmlformats.org/drawingml/2006/main">
          <w:pict>
            <v:group id="Group 353058" style="width:4.5pt;height:4.5pt;position:absolute;mso-position-horizontal-relative:page;mso-position-horizontal:absolute;margin-left:51pt;mso-position-vertical-relative:page;margin-top:33pt;" coordsize="571,571">
              <v:shape id="Shape 353059" style="position:absolute;width:571;height:571;left:0;top:0;" coordsize="57150,57150" path="m28575,0c32364,0,36009,645,39510,2084c43011,3473,46101,5556,48781,8235c51460,10914,53525,13990,54975,17463c56425,21034,57150,24755,57150,28575c57150,32345,56425,35917,54975,39439c53525,42912,51460,45988,48781,48716c46101,51346,43011,53429,39510,54818c36009,56257,32364,57051,28575,57150c24786,57051,21141,56257,17640,54818c14139,53429,11049,51346,8369,48716c5690,45988,3625,42912,2175,39439c725,35917,0,32345,0,28575c0,24755,725,21034,2175,17463c3625,13990,5690,10914,8369,8235c11049,5556,14139,3473,17640,2084c21141,645,24786,0,28575,0x">
                <v:stroke weight="0pt" endcap="flat" joinstyle="miter" miterlimit="10" on="false" color="#000000" opacity="0"/>
                <v:fill on="true" color="#333333"/>
              </v:shape>
              <w10:wrap type="square"/>
            </v:group>
          </w:pict>
        </mc:Fallback>
      </mc:AlternateContent>
    </w:r>
    <w:r>
      <w:rPr>
        <w:rFonts w:ascii="Arial" w:eastAsia="Arial" w:hAnsi="Arial" w:cs="Arial"/>
        <w:color w:val="000000"/>
        <w:sz w:val="16"/>
      </w:rPr>
      <w:t>11.04.2025, 15:31</w:t>
    </w:r>
    <w:r>
      <w:rPr>
        <w:rFonts w:ascii="Arial" w:eastAsia="Arial" w:hAnsi="Arial" w:cs="Arial"/>
        <w:color w:val="000000"/>
        <w:sz w:val="16"/>
      </w:rPr>
      <w:tab/>
      <w:t>My HTML Page</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8"/>
      </w:tabs>
      <w:spacing w:after="0" w:line="259" w:lineRule="auto"/>
      <w:ind w:left="-203"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5F449A">
    <w:pPr>
      <w:tabs>
        <w:tab w:val="center" w:pos="6201"/>
      </w:tabs>
      <w:spacing w:after="0" w:line="259" w:lineRule="auto"/>
      <w:ind w:left="-210" w:right="0" w:firstLine="0"/>
    </w:pPr>
    <w:r>
      <w:rPr>
        <w:rFonts w:ascii="Arial" w:eastAsia="Arial" w:hAnsi="Arial" w:cs="Arial"/>
        <w:color w:val="000000"/>
        <w:sz w:val="16"/>
      </w:rPr>
      <w:t>11.04.2025, 15:31</w:t>
    </w:r>
    <w:r>
      <w:rPr>
        <w:rFonts w:ascii="Arial" w:eastAsia="Arial" w:hAnsi="Arial" w:cs="Arial"/>
        <w:color w:val="000000"/>
        <w:sz w:val="16"/>
      </w:rPr>
      <w:tab/>
      <w:t>My HTML Page</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3F15" w:rsidRDefault="008E3F15">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E2525"/>
    <w:multiLevelType w:val="hybridMultilevel"/>
    <w:tmpl w:val="4ACE4370"/>
    <w:lvl w:ilvl="0" w:tplc="9F9E1A06">
      <w:start w:val="2"/>
      <w:numFmt w:val="decimal"/>
      <w:lvlText w:val="%1)"/>
      <w:lvlJc w:val="left"/>
      <w:pPr>
        <w:ind w:left="1708"/>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B35C3EFC">
      <w:start w:val="1"/>
      <w:numFmt w:val="lowerLetter"/>
      <w:lvlText w:val="%2"/>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B10C87B8">
      <w:start w:val="1"/>
      <w:numFmt w:val="lowerRoman"/>
      <w:lvlText w:val="%3"/>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47504150">
      <w:start w:val="1"/>
      <w:numFmt w:val="decimal"/>
      <w:lvlText w:val="%4"/>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06347934">
      <w:start w:val="1"/>
      <w:numFmt w:val="lowerLetter"/>
      <w:lvlText w:val="%5"/>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5E3A7004">
      <w:start w:val="1"/>
      <w:numFmt w:val="lowerRoman"/>
      <w:lvlText w:val="%6"/>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D5D4A928">
      <w:start w:val="1"/>
      <w:numFmt w:val="decimal"/>
      <w:lvlText w:val="%7"/>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09E85FC8">
      <w:start w:val="1"/>
      <w:numFmt w:val="lowerLetter"/>
      <w:lvlText w:val="%8"/>
      <w:lvlJc w:val="left"/>
      <w:pPr>
        <w:ind w:left="68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068EB57A">
      <w:start w:val="1"/>
      <w:numFmt w:val="lowerRoman"/>
      <w:lvlText w:val="%9"/>
      <w:lvlJc w:val="left"/>
      <w:pPr>
        <w:ind w:left="75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 w15:restartNumberingAfterBreak="0">
    <w:nsid w:val="0B850C95"/>
    <w:multiLevelType w:val="hybridMultilevel"/>
    <w:tmpl w:val="CEBCAB22"/>
    <w:lvl w:ilvl="0" w:tplc="D6E6E088">
      <w:start w:val="2"/>
      <w:numFmt w:val="upperLetter"/>
      <w:lvlText w:val="%1."/>
      <w:lvlJc w:val="left"/>
      <w:pPr>
        <w:ind w:left="1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4BE29280">
      <w:start w:val="1"/>
      <w:numFmt w:val="lowerLetter"/>
      <w:lvlText w:val="%2"/>
      <w:lvlJc w:val="left"/>
      <w:pPr>
        <w:ind w:left="108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B6B24BB6">
      <w:start w:val="1"/>
      <w:numFmt w:val="lowerRoman"/>
      <w:lvlText w:val="%3"/>
      <w:lvlJc w:val="left"/>
      <w:pPr>
        <w:ind w:left="180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0D143EC8">
      <w:start w:val="1"/>
      <w:numFmt w:val="decimal"/>
      <w:lvlText w:val="%4"/>
      <w:lvlJc w:val="left"/>
      <w:pPr>
        <w:ind w:left="252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10D04E38">
      <w:start w:val="1"/>
      <w:numFmt w:val="lowerLetter"/>
      <w:lvlText w:val="%5"/>
      <w:lvlJc w:val="left"/>
      <w:pPr>
        <w:ind w:left="3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25962D72">
      <w:start w:val="1"/>
      <w:numFmt w:val="lowerRoman"/>
      <w:lvlText w:val="%6"/>
      <w:lvlJc w:val="left"/>
      <w:pPr>
        <w:ind w:left="396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F14EEA60">
      <w:start w:val="1"/>
      <w:numFmt w:val="decimal"/>
      <w:lvlText w:val="%7"/>
      <w:lvlJc w:val="left"/>
      <w:pPr>
        <w:ind w:left="468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218EB6C0">
      <w:start w:val="1"/>
      <w:numFmt w:val="lowerLetter"/>
      <w:lvlText w:val="%8"/>
      <w:lvlJc w:val="left"/>
      <w:pPr>
        <w:ind w:left="540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8E32AD80">
      <w:start w:val="1"/>
      <w:numFmt w:val="lowerRoman"/>
      <w:lvlText w:val="%9"/>
      <w:lvlJc w:val="left"/>
      <w:pPr>
        <w:ind w:left="612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2" w15:restartNumberingAfterBreak="0">
    <w:nsid w:val="11AB78D1"/>
    <w:multiLevelType w:val="hybridMultilevel"/>
    <w:tmpl w:val="7A104434"/>
    <w:lvl w:ilvl="0" w:tplc="EFA2D07A">
      <w:start w:val="2019"/>
      <w:numFmt w:val="decimal"/>
      <w:lvlText w:val="%1"/>
      <w:lvlJc w:val="left"/>
      <w:pPr>
        <w:ind w:left="583"/>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5D1C90B4">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F1E23190">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B1A699A0">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12023B18">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76981DCA">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1C3CA7A8">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4596E5E8">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85FEF90C">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3" w15:restartNumberingAfterBreak="0">
    <w:nsid w:val="242014DB"/>
    <w:multiLevelType w:val="hybridMultilevel"/>
    <w:tmpl w:val="730C0066"/>
    <w:lvl w:ilvl="0" w:tplc="C4A0E8A2">
      <w:start w:val="1"/>
      <w:numFmt w:val="decimal"/>
      <w:lvlText w:val="%1."/>
      <w:lvlJc w:val="left"/>
      <w:pPr>
        <w:ind w:left="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181C33D2">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5652F230">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B0BE1E5C">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0400ECA6">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2954F512">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67326F6C">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DBF84386">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F45612B2">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4" w15:restartNumberingAfterBreak="0">
    <w:nsid w:val="279E0BD5"/>
    <w:multiLevelType w:val="hybridMultilevel"/>
    <w:tmpl w:val="27F2BBB4"/>
    <w:lvl w:ilvl="0" w:tplc="5F7696D4">
      <w:start w:val="2016"/>
      <w:numFmt w:val="decimal"/>
      <w:lvlText w:val="%1"/>
      <w:lvlJc w:val="left"/>
      <w:pPr>
        <w:ind w:left="1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F0860D10">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6E982CCA">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AEFA4806">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9830D8AE">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2BC48D8C">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C5828FBA">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44C8353A">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67709684">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5" w15:restartNumberingAfterBreak="0">
    <w:nsid w:val="2855748D"/>
    <w:multiLevelType w:val="hybridMultilevel"/>
    <w:tmpl w:val="504031CE"/>
    <w:lvl w:ilvl="0" w:tplc="1248B1D6">
      <w:start w:val="5"/>
      <w:numFmt w:val="upperRoman"/>
      <w:lvlText w:val="%1"/>
      <w:lvlJc w:val="left"/>
      <w:pPr>
        <w:ind w:left="1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1" w:tplc="D9005302">
      <w:start w:val="1"/>
      <w:numFmt w:val="lowerLetter"/>
      <w:lvlText w:val="%2"/>
      <w:lvlJc w:val="left"/>
      <w:pPr>
        <w:ind w:left="10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2" w:tplc="E63410F4">
      <w:start w:val="1"/>
      <w:numFmt w:val="lowerRoman"/>
      <w:lvlText w:val="%3"/>
      <w:lvlJc w:val="left"/>
      <w:pPr>
        <w:ind w:left="18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3" w:tplc="A5E49C00">
      <w:start w:val="1"/>
      <w:numFmt w:val="decimal"/>
      <w:lvlText w:val="%4"/>
      <w:lvlJc w:val="left"/>
      <w:pPr>
        <w:ind w:left="25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4" w:tplc="1B001BD4">
      <w:start w:val="1"/>
      <w:numFmt w:val="lowerLetter"/>
      <w:lvlText w:val="%5"/>
      <w:lvlJc w:val="left"/>
      <w:pPr>
        <w:ind w:left="324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5" w:tplc="11487768">
      <w:start w:val="1"/>
      <w:numFmt w:val="lowerRoman"/>
      <w:lvlText w:val="%6"/>
      <w:lvlJc w:val="left"/>
      <w:pPr>
        <w:ind w:left="396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6" w:tplc="485C41DC">
      <w:start w:val="1"/>
      <w:numFmt w:val="decimal"/>
      <w:lvlText w:val="%7"/>
      <w:lvlJc w:val="left"/>
      <w:pPr>
        <w:ind w:left="46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7" w:tplc="275C570E">
      <w:start w:val="1"/>
      <w:numFmt w:val="lowerLetter"/>
      <w:lvlText w:val="%8"/>
      <w:lvlJc w:val="left"/>
      <w:pPr>
        <w:ind w:left="54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8" w:tplc="161A45C8">
      <w:start w:val="1"/>
      <w:numFmt w:val="lowerRoman"/>
      <w:lvlText w:val="%9"/>
      <w:lvlJc w:val="left"/>
      <w:pPr>
        <w:ind w:left="61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abstractNum>
  <w:abstractNum w:abstractNumId="6" w15:restartNumberingAfterBreak="0">
    <w:nsid w:val="2CE92179"/>
    <w:multiLevelType w:val="hybridMultilevel"/>
    <w:tmpl w:val="AA54D520"/>
    <w:lvl w:ilvl="0" w:tplc="B1EADECE">
      <w:start w:val="1"/>
      <w:numFmt w:val="decimal"/>
      <w:lvlText w:val="%1."/>
      <w:lvlJc w:val="left"/>
      <w:pPr>
        <w:ind w:left="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10C8208E">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30385A3E">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7646E026">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AD9CED20">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8702E0D6">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20C0AAA2">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AA88AEA2">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F57C5F88">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7" w15:restartNumberingAfterBreak="0">
    <w:nsid w:val="3E4238E9"/>
    <w:multiLevelType w:val="hybridMultilevel"/>
    <w:tmpl w:val="1F4CEBB6"/>
    <w:lvl w:ilvl="0" w:tplc="447EF8A4">
      <w:start w:val="1"/>
      <w:numFmt w:val="upperLetter"/>
      <w:lvlText w:val="%1."/>
      <w:lvlJc w:val="left"/>
      <w:pPr>
        <w:ind w:left="1473"/>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63A05FBA">
      <w:start w:val="1"/>
      <w:numFmt w:val="decimal"/>
      <w:lvlText w:val="%2."/>
      <w:lvlJc w:val="left"/>
      <w:pPr>
        <w:ind w:left="168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BE0E9836">
      <w:start w:val="1"/>
      <w:numFmt w:val="lowerRoman"/>
      <w:lvlText w:val="%3"/>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ECB44A08">
      <w:start w:val="1"/>
      <w:numFmt w:val="decimal"/>
      <w:lvlText w:val="%4"/>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6152FD78">
      <w:start w:val="1"/>
      <w:numFmt w:val="lowerLetter"/>
      <w:lvlText w:val="%5"/>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781891BE">
      <w:start w:val="1"/>
      <w:numFmt w:val="lowerRoman"/>
      <w:lvlText w:val="%6"/>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8BF6C5BE">
      <w:start w:val="1"/>
      <w:numFmt w:val="decimal"/>
      <w:lvlText w:val="%7"/>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B82E7598">
      <w:start w:val="1"/>
      <w:numFmt w:val="lowerLetter"/>
      <w:lvlText w:val="%8"/>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EBB2A0F2">
      <w:start w:val="1"/>
      <w:numFmt w:val="lowerRoman"/>
      <w:lvlText w:val="%9"/>
      <w:lvlJc w:val="left"/>
      <w:pPr>
        <w:ind w:left="68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8" w15:restartNumberingAfterBreak="0">
    <w:nsid w:val="43D17915"/>
    <w:multiLevelType w:val="hybridMultilevel"/>
    <w:tmpl w:val="E06414C0"/>
    <w:lvl w:ilvl="0" w:tplc="8E3AB868">
      <w:start w:val="1"/>
      <w:numFmt w:val="decimal"/>
      <w:lvlText w:val="%1."/>
      <w:lvlJc w:val="left"/>
      <w:pPr>
        <w:ind w:left="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E4BA38E4">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E4A05D70">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1D44FD3A">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524A413E">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40F43954">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C694D77C">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4F5AA30A">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2E7E1EE8">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9" w15:restartNumberingAfterBreak="0">
    <w:nsid w:val="461029BD"/>
    <w:multiLevelType w:val="hybridMultilevel"/>
    <w:tmpl w:val="DEBA24F2"/>
    <w:lvl w:ilvl="0" w:tplc="D66ECBE6">
      <w:start w:val="2020"/>
      <w:numFmt w:val="decimal"/>
      <w:lvlText w:val="%1"/>
      <w:lvlJc w:val="left"/>
      <w:pPr>
        <w:ind w:left="583"/>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F6746E32">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E8545A70">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0F905B0C">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56463D72">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C80059DC">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EA0AFEF8">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08DC475A">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C37E6A6C">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0" w15:restartNumberingAfterBreak="0">
    <w:nsid w:val="48146C44"/>
    <w:multiLevelType w:val="hybridMultilevel"/>
    <w:tmpl w:val="832A724C"/>
    <w:lvl w:ilvl="0" w:tplc="39D0626E">
      <w:start w:val="1"/>
      <w:numFmt w:val="upperRoman"/>
      <w:lvlText w:val="%1"/>
      <w:lvlJc w:val="left"/>
      <w:pPr>
        <w:ind w:left="1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1" w:tplc="AD2CDEC0">
      <w:start w:val="1"/>
      <w:numFmt w:val="lowerLetter"/>
      <w:lvlText w:val="%2"/>
      <w:lvlJc w:val="left"/>
      <w:pPr>
        <w:ind w:left="10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2" w:tplc="30D6D8CE">
      <w:start w:val="1"/>
      <w:numFmt w:val="lowerRoman"/>
      <w:lvlText w:val="%3"/>
      <w:lvlJc w:val="left"/>
      <w:pPr>
        <w:ind w:left="18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3" w:tplc="DFCAE046">
      <w:start w:val="1"/>
      <w:numFmt w:val="decimal"/>
      <w:lvlText w:val="%4"/>
      <w:lvlJc w:val="left"/>
      <w:pPr>
        <w:ind w:left="25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4" w:tplc="7BBA104C">
      <w:start w:val="1"/>
      <w:numFmt w:val="lowerLetter"/>
      <w:lvlText w:val="%5"/>
      <w:lvlJc w:val="left"/>
      <w:pPr>
        <w:ind w:left="324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5" w:tplc="A8069D36">
      <w:start w:val="1"/>
      <w:numFmt w:val="lowerRoman"/>
      <w:lvlText w:val="%6"/>
      <w:lvlJc w:val="left"/>
      <w:pPr>
        <w:ind w:left="396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6" w:tplc="A1CEDE0C">
      <w:start w:val="1"/>
      <w:numFmt w:val="decimal"/>
      <w:lvlText w:val="%7"/>
      <w:lvlJc w:val="left"/>
      <w:pPr>
        <w:ind w:left="46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7" w:tplc="2D8A6180">
      <w:start w:val="1"/>
      <w:numFmt w:val="lowerLetter"/>
      <w:lvlText w:val="%8"/>
      <w:lvlJc w:val="left"/>
      <w:pPr>
        <w:ind w:left="54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8" w:tplc="06BEF1A2">
      <w:start w:val="1"/>
      <w:numFmt w:val="lowerRoman"/>
      <w:lvlText w:val="%9"/>
      <w:lvlJc w:val="left"/>
      <w:pPr>
        <w:ind w:left="61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abstractNum>
  <w:abstractNum w:abstractNumId="11" w15:restartNumberingAfterBreak="0">
    <w:nsid w:val="4E1A0BE6"/>
    <w:multiLevelType w:val="hybridMultilevel"/>
    <w:tmpl w:val="37004ADA"/>
    <w:lvl w:ilvl="0" w:tplc="0D220CEC">
      <w:start w:val="2019"/>
      <w:numFmt w:val="decimal"/>
      <w:lvlText w:val="%1"/>
      <w:lvlJc w:val="left"/>
      <w:pPr>
        <w:ind w:left="583"/>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2812B5C4">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8D6CFF7A">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A06E1D3E">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1FEE6564">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333E2102">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B1965C50">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D826DBB2">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D4FAFC86">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2" w15:restartNumberingAfterBreak="0">
    <w:nsid w:val="60833F2C"/>
    <w:multiLevelType w:val="hybridMultilevel"/>
    <w:tmpl w:val="5B149198"/>
    <w:lvl w:ilvl="0" w:tplc="188ACF9A">
      <w:start w:val="1"/>
      <w:numFmt w:val="decimal"/>
      <w:lvlText w:val="%1)"/>
      <w:lvlJc w:val="left"/>
      <w:pPr>
        <w:ind w:left="13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028E7FD2">
      <w:start w:val="1"/>
      <w:numFmt w:val="lowerLetter"/>
      <w:lvlText w:val="%2"/>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11288CDE">
      <w:start w:val="1"/>
      <w:numFmt w:val="lowerRoman"/>
      <w:lvlText w:val="%3"/>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B596BA30">
      <w:start w:val="1"/>
      <w:numFmt w:val="decimal"/>
      <w:lvlText w:val="%4"/>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62D63BA6">
      <w:start w:val="1"/>
      <w:numFmt w:val="lowerLetter"/>
      <w:lvlText w:val="%5"/>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B590CBBA">
      <w:start w:val="1"/>
      <w:numFmt w:val="lowerRoman"/>
      <w:lvlText w:val="%6"/>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1840D7C0">
      <w:start w:val="1"/>
      <w:numFmt w:val="decimal"/>
      <w:lvlText w:val="%7"/>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823A810C">
      <w:start w:val="1"/>
      <w:numFmt w:val="lowerLetter"/>
      <w:lvlText w:val="%8"/>
      <w:lvlJc w:val="left"/>
      <w:pPr>
        <w:ind w:left="68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0F8A99BA">
      <w:start w:val="1"/>
      <w:numFmt w:val="lowerRoman"/>
      <w:lvlText w:val="%9"/>
      <w:lvlJc w:val="left"/>
      <w:pPr>
        <w:ind w:left="75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3" w15:restartNumberingAfterBreak="0">
    <w:nsid w:val="62582369"/>
    <w:multiLevelType w:val="hybridMultilevel"/>
    <w:tmpl w:val="7818C314"/>
    <w:lvl w:ilvl="0" w:tplc="8D325B6E">
      <w:start w:val="1"/>
      <w:numFmt w:val="decimal"/>
      <w:lvlText w:val="%1."/>
      <w:lvlJc w:val="left"/>
      <w:pPr>
        <w:ind w:left="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1536FED0">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3BBC2FE0">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19AE964A">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FEE07BDE">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987EB438">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67B05C10">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29144DCA">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C952EAC8">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4" w15:restartNumberingAfterBreak="0">
    <w:nsid w:val="6657715C"/>
    <w:multiLevelType w:val="hybridMultilevel"/>
    <w:tmpl w:val="2C984846"/>
    <w:lvl w:ilvl="0" w:tplc="3BB887C0">
      <w:start w:val="1"/>
      <w:numFmt w:val="decimal"/>
      <w:lvlText w:val="%1."/>
      <w:lvlJc w:val="left"/>
      <w:pPr>
        <w:ind w:left="24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790424A4">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F90CC2B2">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C6EAB2F2">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6BA40A1C">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30546286">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3FD64A50">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5C78DCF4">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14FA3580">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5" w15:restartNumberingAfterBreak="0">
    <w:nsid w:val="690C36C3"/>
    <w:multiLevelType w:val="hybridMultilevel"/>
    <w:tmpl w:val="192C1688"/>
    <w:lvl w:ilvl="0" w:tplc="9F5E590A">
      <w:start w:val="1"/>
      <w:numFmt w:val="decimal"/>
      <w:lvlText w:val="%1."/>
      <w:lvlJc w:val="left"/>
      <w:pPr>
        <w:ind w:left="7"/>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3A703838">
      <w:start w:val="1"/>
      <w:numFmt w:val="lowerLetter"/>
      <w:lvlText w:val="%2"/>
      <w:lvlJc w:val="left"/>
      <w:pPr>
        <w:ind w:left="113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12EE9380">
      <w:start w:val="1"/>
      <w:numFmt w:val="lowerRoman"/>
      <w:lvlText w:val="%3"/>
      <w:lvlJc w:val="left"/>
      <w:pPr>
        <w:ind w:left="185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3558CEDA">
      <w:start w:val="1"/>
      <w:numFmt w:val="decimal"/>
      <w:lvlText w:val="%4"/>
      <w:lvlJc w:val="left"/>
      <w:pPr>
        <w:ind w:left="257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2A16EB66">
      <w:start w:val="1"/>
      <w:numFmt w:val="lowerLetter"/>
      <w:lvlText w:val="%5"/>
      <w:lvlJc w:val="left"/>
      <w:pPr>
        <w:ind w:left="329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5568CF3C">
      <w:start w:val="1"/>
      <w:numFmt w:val="lowerRoman"/>
      <w:lvlText w:val="%6"/>
      <w:lvlJc w:val="left"/>
      <w:pPr>
        <w:ind w:left="401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A9E0983C">
      <w:start w:val="1"/>
      <w:numFmt w:val="decimal"/>
      <w:lvlText w:val="%7"/>
      <w:lvlJc w:val="left"/>
      <w:pPr>
        <w:ind w:left="473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D3EA30D0">
      <w:start w:val="1"/>
      <w:numFmt w:val="lowerLetter"/>
      <w:lvlText w:val="%8"/>
      <w:lvlJc w:val="left"/>
      <w:pPr>
        <w:ind w:left="545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24F4E968">
      <w:start w:val="1"/>
      <w:numFmt w:val="lowerRoman"/>
      <w:lvlText w:val="%9"/>
      <w:lvlJc w:val="left"/>
      <w:pPr>
        <w:ind w:left="6172"/>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abstractNum w:abstractNumId="16" w15:restartNumberingAfterBreak="0">
    <w:nsid w:val="70D55A16"/>
    <w:multiLevelType w:val="hybridMultilevel"/>
    <w:tmpl w:val="737E05BC"/>
    <w:lvl w:ilvl="0" w:tplc="565EDEAA">
      <w:start w:val="1"/>
      <w:numFmt w:val="upperRoman"/>
      <w:lvlText w:val="%1"/>
      <w:lvlJc w:val="left"/>
      <w:pPr>
        <w:ind w:left="1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1" w:tplc="D51C42EC">
      <w:start w:val="1"/>
      <w:numFmt w:val="lowerLetter"/>
      <w:lvlText w:val="%2"/>
      <w:lvlJc w:val="left"/>
      <w:pPr>
        <w:ind w:left="10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2" w:tplc="C6924762">
      <w:start w:val="1"/>
      <w:numFmt w:val="lowerRoman"/>
      <w:lvlText w:val="%3"/>
      <w:lvlJc w:val="left"/>
      <w:pPr>
        <w:ind w:left="18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3" w:tplc="DC66EAEC">
      <w:start w:val="1"/>
      <w:numFmt w:val="decimal"/>
      <w:lvlText w:val="%4"/>
      <w:lvlJc w:val="left"/>
      <w:pPr>
        <w:ind w:left="25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4" w:tplc="1242C1BE">
      <w:start w:val="1"/>
      <w:numFmt w:val="lowerLetter"/>
      <w:lvlText w:val="%5"/>
      <w:lvlJc w:val="left"/>
      <w:pPr>
        <w:ind w:left="324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5" w:tplc="51F20D3E">
      <w:start w:val="1"/>
      <w:numFmt w:val="lowerRoman"/>
      <w:lvlText w:val="%6"/>
      <w:lvlJc w:val="left"/>
      <w:pPr>
        <w:ind w:left="396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6" w:tplc="50F426C0">
      <w:start w:val="1"/>
      <w:numFmt w:val="decimal"/>
      <w:lvlText w:val="%7"/>
      <w:lvlJc w:val="left"/>
      <w:pPr>
        <w:ind w:left="468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7" w:tplc="0C4AB858">
      <w:start w:val="1"/>
      <w:numFmt w:val="lowerLetter"/>
      <w:lvlText w:val="%8"/>
      <w:lvlJc w:val="left"/>
      <w:pPr>
        <w:ind w:left="540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lvl w:ilvl="8" w:tplc="8CF06BA0">
      <w:start w:val="1"/>
      <w:numFmt w:val="lowerRoman"/>
      <w:lvlText w:val="%9"/>
      <w:lvlJc w:val="left"/>
      <w:pPr>
        <w:ind w:left="6120"/>
      </w:pPr>
      <w:rPr>
        <w:rFonts w:ascii="Segoe UI" w:eastAsia="Segoe UI" w:hAnsi="Segoe UI" w:cs="Segoe UI"/>
        <w:b/>
        <w:bCs/>
        <w:i w:val="0"/>
        <w:strike w:val="0"/>
        <w:dstrike w:val="0"/>
        <w:color w:val="333333"/>
        <w:sz w:val="24"/>
        <w:szCs w:val="24"/>
        <w:u w:val="none" w:color="000000"/>
        <w:bdr w:val="none" w:sz="0" w:space="0" w:color="auto"/>
        <w:shd w:val="clear" w:color="auto" w:fill="auto"/>
        <w:vertAlign w:val="baseline"/>
      </w:rPr>
    </w:lvl>
  </w:abstractNum>
  <w:abstractNum w:abstractNumId="17" w15:restartNumberingAfterBreak="0">
    <w:nsid w:val="78093C81"/>
    <w:multiLevelType w:val="hybridMultilevel"/>
    <w:tmpl w:val="BD32C8B2"/>
    <w:lvl w:ilvl="0" w:tplc="DDE6532E">
      <w:start w:val="2022"/>
      <w:numFmt w:val="decimal"/>
      <w:lvlText w:val="%1"/>
      <w:lvlJc w:val="left"/>
      <w:pPr>
        <w:ind w:left="583"/>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1" w:tplc="8BDC1552">
      <w:start w:val="1"/>
      <w:numFmt w:val="lowerLetter"/>
      <w:lvlText w:val="%2"/>
      <w:lvlJc w:val="left"/>
      <w:pPr>
        <w:ind w:left="10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2" w:tplc="5CF49A3E">
      <w:start w:val="1"/>
      <w:numFmt w:val="lowerRoman"/>
      <w:lvlText w:val="%3"/>
      <w:lvlJc w:val="left"/>
      <w:pPr>
        <w:ind w:left="18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3" w:tplc="C5AABE32">
      <w:start w:val="1"/>
      <w:numFmt w:val="decimal"/>
      <w:lvlText w:val="%4"/>
      <w:lvlJc w:val="left"/>
      <w:pPr>
        <w:ind w:left="25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4" w:tplc="157CBC28">
      <w:start w:val="1"/>
      <w:numFmt w:val="lowerLetter"/>
      <w:lvlText w:val="%5"/>
      <w:lvlJc w:val="left"/>
      <w:pPr>
        <w:ind w:left="324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5" w:tplc="C1324D58">
      <w:start w:val="1"/>
      <w:numFmt w:val="lowerRoman"/>
      <w:lvlText w:val="%6"/>
      <w:lvlJc w:val="left"/>
      <w:pPr>
        <w:ind w:left="396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6" w:tplc="947CF13C">
      <w:start w:val="1"/>
      <w:numFmt w:val="decimal"/>
      <w:lvlText w:val="%7"/>
      <w:lvlJc w:val="left"/>
      <w:pPr>
        <w:ind w:left="468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7" w:tplc="0FA230D0">
      <w:start w:val="1"/>
      <w:numFmt w:val="lowerLetter"/>
      <w:lvlText w:val="%8"/>
      <w:lvlJc w:val="left"/>
      <w:pPr>
        <w:ind w:left="540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lvl w:ilvl="8" w:tplc="FDA2F884">
      <w:start w:val="1"/>
      <w:numFmt w:val="lowerRoman"/>
      <w:lvlText w:val="%9"/>
      <w:lvlJc w:val="left"/>
      <w:pPr>
        <w:ind w:left="6120"/>
      </w:pPr>
      <w:rPr>
        <w:rFonts w:ascii="Segoe UI" w:eastAsia="Segoe UI" w:hAnsi="Segoe UI" w:cs="Segoe UI"/>
        <w:b w:val="0"/>
        <w:i w:val="0"/>
        <w:strike w:val="0"/>
        <w:dstrike w:val="0"/>
        <w:color w:val="333333"/>
        <w:sz w:val="24"/>
        <w:szCs w:val="24"/>
        <w:u w:val="none" w:color="000000"/>
        <w:bdr w:val="none" w:sz="0" w:space="0" w:color="auto"/>
        <w:shd w:val="clear" w:color="auto" w:fill="auto"/>
        <w:vertAlign w:val="baseline"/>
      </w:rPr>
    </w:lvl>
  </w:abstractNum>
  <w:num w:numId="1">
    <w:abstractNumId w:val="14"/>
  </w:num>
  <w:num w:numId="2">
    <w:abstractNumId w:val="13"/>
  </w:num>
  <w:num w:numId="3">
    <w:abstractNumId w:val="7"/>
  </w:num>
  <w:num w:numId="4">
    <w:abstractNumId w:val="0"/>
  </w:num>
  <w:num w:numId="5">
    <w:abstractNumId w:val="12"/>
  </w:num>
  <w:num w:numId="6">
    <w:abstractNumId w:val="16"/>
  </w:num>
  <w:num w:numId="7">
    <w:abstractNumId w:val="5"/>
  </w:num>
  <w:num w:numId="8">
    <w:abstractNumId w:val="10"/>
  </w:num>
  <w:num w:numId="9">
    <w:abstractNumId w:val="6"/>
  </w:num>
  <w:num w:numId="10">
    <w:abstractNumId w:val="3"/>
  </w:num>
  <w:num w:numId="11">
    <w:abstractNumId w:val="8"/>
  </w:num>
  <w:num w:numId="12">
    <w:abstractNumId w:val="1"/>
  </w:num>
  <w:num w:numId="13">
    <w:abstractNumId w:val="11"/>
  </w:num>
  <w:num w:numId="14">
    <w:abstractNumId w:val="2"/>
  </w:num>
  <w:num w:numId="15">
    <w:abstractNumId w:val="17"/>
  </w:num>
  <w:num w:numId="16">
    <w:abstractNumId w:val="9"/>
  </w:num>
  <w:num w:numId="17">
    <w:abstractNumId w:val="4"/>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F15"/>
    <w:rsid w:val="005F449A"/>
    <w:rsid w:val="008E3F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1166AAF8-FC02-4E18-810B-7E20CC0BD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 w:line="228" w:lineRule="auto"/>
      <w:ind w:left="10" w:right="641" w:hanging="10"/>
    </w:pPr>
    <w:rPr>
      <w:rFonts w:ascii="Segoe UI" w:eastAsia="Segoe UI" w:hAnsi="Segoe UI" w:cs="Segoe UI"/>
      <w:color w:val="333333"/>
      <w:sz w:val="24"/>
    </w:rPr>
  </w:style>
  <w:style w:type="paragraph" w:styleId="Heading1">
    <w:name w:val="heading 1"/>
    <w:next w:val="Normal"/>
    <w:link w:val="Heading1Char"/>
    <w:uiPriority w:val="9"/>
    <w:unhideWhenUsed/>
    <w:qFormat/>
    <w:pPr>
      <w:keepNext/>
      <w:keepLines/>
      <w:spacing w:after="20"/>
      <w:ind w:left="10" w:hanging="10"/>
      <w:outlineLvl w:val="0"/>
    </w:pPr>
    <w:rPr>
      <w:rFonts w:ascii="Segoe UI" w:eastAsia="Segoe UI" w:hAnsi="Segoe UI" w:cs="Segoe UI"/>
      <w:b/>
      <w:color w:val="333333"/>
      <w:sz w:val="36"/>
    </w:rPr>
  </w:style>
  <w:style w:type="paragraph" w:styleId="Heading2">
    <w:name w:val="heading 2"/>
    <w:next w:val="Normal"/>
    <w:link w:val="Heading2Char"/>
    <w:uiPriority w:val="9"/>
    <w:unhideWhenUsed/>
    <w:qFormat/>
    <w:pPr>
      <w:keepNext/>
      <w:keepLines/>
      <w:spacing w:after="133"/>
      <w:ind w:left="10" w:hanging="10"/>
      <w:outlineLvl w:val="1"/>
    </w:pPr>
    <w:rPr>
      <w:rFonts w:ascii="Segoe UI" w:eastAsia="Segoe UI" w:hAnsi="Segoe UI" w:cs="Segoe UI"/>
      <w:b/>
      <w:color w:val="333333"/>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Segoe UI" w:eastAsia="Segoe UI" w:hAnsi="Segoe UI" w:cs="Segoe UI"/>
      <w:b/>
      <w:color w:val="333333"/>
      <w:sz w:val="24"/>
    </w:rPr>
  </w:style>
  <w:style w:type="character" w:customStyle="1" w:styleId="Heading1Char">
    <w:name w:val="Heading 1 Char"/>
    <w:link w:val="Heading1"/>
    <w:rPr>
      <w:rFonts w:ascii="Segoe UI" w:eastAsia="Segoe UI" w:hAnsi="Segoe UI" w:cs="Segoe UI"/>
      <w:b/>
      <w:color w:val="333333"/>
      <w:sz w:val="3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49.jpg"/><Relationship Id="rId299" Type="http://schemas.openxmlformats.org/officeDocument/2006/relationships/hyperlink" Target="https://www.cancer.gov/types/liver/hp/liver-prevention-pdq" TargetMode="External"/><Relationship Id="rId21" Type="http://schemas.openxmlformats.org/officeDocument/2006/relationships/image" Target="media/image15.jpg"/><Relationship Id="rId159" Type="http://schemas.openxmlformats.org/officeDocument/2006/relationships/footer" Target="footer17.xml"/><Relationship Id="rId324" Type="http://schemas.openxmlformats.org/officeDocument/2006/relationships/hyperlink" Target="https://www.cancer.gov/types/breast/hp/breast-prevention-pdq" TargetMode="External"/><Relationship Id="rId170" Type="http://schemas.openxmlformats.org/officeDocument/2006/relationships/footer" Target="footer21.xml"/><Relationship Id="rId226" Type="http://schemas.openxmlformats.org/officeDocument/2006/relationships/hyperlink" Target="https://rae-org.ru/library/recommendations" TargetMode="External"/><Relationship Id="rId268" Type="http://schemas.openxmlformats.org/officeDocument/2006/relationships/hyperlink" Target="https://www.cancer.gov/types/lung/hp/lung-prevention-pdq" TargetMode="External"/><Relationship Id="rId74" Type="http://schemas.openxmlformats.org/officeDocument/2006/relationships/image" Target="media/image20.jpg"/><Relationship Id="rId128" Type="http://schemas.openxmlformats.org/officeDocument/2006/relationships/image" Target="media/image54.png"/><Relationship Id="rId335" Type="http://schemas.openxmlformats.org/officeDocument/2006/relationships/hyperlink" Target="https://www.cancer.gov/types/skin/hp/skin-prevention-pdq" TargetMode="External"/><Relationship Id="rId5" Type="http://schemas.openxmlformats.org/officeDocument/2006/relationships/footnotes" Target="footnotes.xml"/><Relationship Id="rId181" Type="http://schemas.openxmlformats.org/officeDocument/2006/relationships/image" Target="media/image83.jpg"/><Relationship Id="rId237" Type="http://schemas.openxmlformats.org/officeDocument/2006/relationships/hyperlink" Target="http://www.euro.who.int/ru/health-topics/disease-prevention/alcohol-use/publications/2017/who-alcohol-brief-intervention-training-manual-for-primary-care-2017" TargetMode="External"/><Relationship Id="rId279" Type="http://schemas.openxmlformats.org/officeDocument/2006/relationships/hyperlink" Target="https://www.nccn.org/professionals/physician_gls/pdf/colorectal_screening.pdf" TargetMode="External"/><Relationship Id="rId139" Type="http://schemas.openxmlformats.org/officeDocument/2006/relationships/image" Target="media/image65.jpg"/><Relationship Id="rId290" Type="http://schemas.openxmlformats.org/officeDocument/2006/relationships/hyperlink" Target="https://www.nccn.org/professionals/physician_gls/pdf/prostate_detection.pdf" TargetMode="External"/><Relationship Id="rId304" Type="http://schemas.openxmlformats.org/officeDocument/2006/relationships/hyperlink" Target="https://www.cancer.gov/types/liver/hp/liver-screening-pdq" TargetMode="External"/><Relationship Id="rId346" Type="http://schemas.openxmlformats.org/officeDocument/2006/relationships/header" Target="header26.xml"/><Relationship Id="rId85" Type="http://schemas.openxmlformats.org/officeDocument/2006/relationships/header" Target="header1.xml"/><Relationship Id="rId150" Type="http://schemas.openxmlformats.org/officeDocument/2006/relationships/header" Target="header14.xml"/><Relationship Id="rId192" Type="http://schemas.openxmlformats.org/officeDocument/2006/relationships/footer" Target="footer22.xml"/><Relationship Id="rId206" Type="http://schemas.openxmlformats.org/officeDocument/2006/relationships/hyperlink" Target="https://scardio.ru/content/Guidelines/project/Project_HSN_2023.pdf" TargetMode="External"/><Relationship Id="rId248" Type="http://schemas.openxmlformats.org/officeDocument/2006/relationships/hyperlink" Target="https://cr.minzdrav.gov.ru/recomend/456_2" TargetMode="External"/><Relationship Id="rId12" Type="http://schemas.openxmlformats.org/officeDocument/2006/relationships/image" Target="media/image6.jpg"/><Relationship Id="rId108" Type="http://schemas.openxmlformats.org/officeDocument/2006/relationships/image" Target="media/image40.jpg"/><Relationship Id="rId315" Type="http://schemas.openxmlformats.org/officeDocument/2006/relationships/hyperlink" Target="https://www.cancer.gov/types/esophageal/hp/esophageal-screening-pdq" TargetMode="External"/><Relationship Id="rId96" Type="http://schemas.openxmlformats.org/officeDocument/2006/relationships/footer" Target="footer6.xml"/><Relationship Id="rId161" Type="http://schemas.openxmlformats.org/officeDocument/2006/relationships/footer" Target="footer18.xml"/><Relationship Id="rId217" Type="http://schemas.openxmlformats.org/officeDocument/2006/relationships/hyperlink" Target="https://cr.minzdrav.gov.ru/recomend/153_1" TargetMode="External"/><Relationship Id="rId259" Type="http://schemas.openxmlformats.org/officeDocument/2006/relationships/hyperlink" Target="https://cr.minzdrav.gov.ru/recomend/469_2" TargetMode="External"/><Relationship Id="rId23" Type="http://schemas.openxmlformats.org/officeDocument/2006/relationships/hyperlink" Target="http://www.syntaxscore.com/" TargetMode="External"/><Relationship Id="rId119" Type="http://schemas.openxmlformats.org/officeDocument/2006/relationships/image" Target="media/image51.jpg"/><Relationship Id="rId270" Type="http://schemas.openxmlformats.org/officeDocument/2006/relationships/hyperlink" Target="https://www.cancer.gov/types/lung/hp/lung-prevention-pdq" TargetMode="External"/><Relationship Id="rId291" Type="http://schemas.openxmlformats.org/officeDocument/2006/relationships/hyperlink" Target="https://www.nccn.org/professionals/physician_gls/pdf/prostate_detection.pdf" TargetMode="External"/><Relationship Id="rId305" Type="http://schemas.openxmlformats.org/officeDocument/2006/relationships/hyperlink" Target="https://www.cancer.gov/types/liver/hp/liver-screening-pdq" TargetMode="External"/><Relationship Id="rId326" Type="http://schemas.openxmlformats.org/officeDocument/2006/relationships/hyperlink" Target="https://www.cancer.gov/types/breast/hp/breast-prevention-pdq" TargetMode="External"/><Relationship Id="rId347" Type="http://schemas.openxmlformats.org/officeDocument/2006/relationships/footer" Target="footer25.xml"/><Relationship Id="rId86" Type="http://schemas.openxmlformats.org/officeDocument/2006/relationships/header" Target="header2.xml"/><Relationship Id="rId130" Type="http://schemas.openxmlformats.org/officeDocument/2006/relationships/image" Target="media/image56.jpg"/><Relationship Id="rId151" Type="http://schemas.openxmlformats.org/officeDocument/2006/relationships/footer" Target="footer13.xml"/><Relationship Id="rId172" Type="http://schemas.openxmlformats.org/officeDocument/2006/relationships/image" Target="media/image74.jpg"/><Relationship Id="rId193" Type="http://schemas.openxmlformats.org/officeDocument/2006/relationships/footer" Target="footer23.xml"/><Relationship Id="rId207" Type="http://schemas.openxmlformats.org/officeDocument/2006/relationships/hyperlink" Target="https://racvs.ru/upload/iblock/937/9378fe358ba0d2b84cde6795dd802d9d.pdf" TargetMode="External"/><Relationship Id="rId228" Type="http://schemas.openxmlformats.org/officeDocument/2006/relationships/hyperlink" Target="https://rae-org.ru/library/recommendations" TargetMode="External"/><Relationship Id="rId249" Type="http://schemas.openxmlformats.org/officeDocument/2006/relationships/hyperlink" Target="https://www.nice.org.uk/guidance/ng222" TargetMode="External"/><Relationship Id="rId13" Type="http://schemas.openxmlformats.org/officeDocument/2006/relationships/image" Target="media/image7.jpg"/><Relationship Id="rId109" Type="http://schemas.openxmlformats.org/officeDocument/2006/relationships/image" Target="media/image41.jpg"/><Relationship Id="rId260" Type="http://schemas.openxmlformats.org/officeDocument/2006/relationships/hyperlink" Target="https://rossleep.ru/wp-content/uploads/2018/01/REKOMENDATSII-ROS-PO-SOAS-Utverzhdyonnyiy-variant.docx" TargetMode="External"/><Relationship Id="rId281" Type="http://schemas.openxmlformats.org/officeDocument/2006/relationships/hyperlink" Target="https://www.nccn.org/professionals/physician_gls/pdf/colorectal_screening.pdf" TargetMode="External"/><Relationship Id="rId316" Type="http://schemas.openxmlformats.org/officeDocument/2006/relationships/hyperlink" Target="https://www.cancer.gov/types/esophageal/hp/esophageal-screening-pdq" TargetMode="External"/><Relationship Id="rId337" Type="http://schemas.openxmlformats.org/officeDocument/2006/relationships/hyperlink" Target="https://www.cancer.gov/types/skin/hp/skin-prevention-pdq" TargetMode="External"/><Relationship Id="rId76" Type="http://schemas.openxmlformats.org/officeDocument/2006/relationships/image" Target="media/image22.jpg"/><Relationship Id="rId97" Type="http://schemas.openxmlformats.org/officeDocument/2006/relationships/image" Target="media/image30.jpg"/><Relationship Id="rId120" Type="http://schemas.openxmlformats.org/officeDocument/2006/relationships/image" Target="media/image52.jpg"/><Relationship Id="rId141" Type="http://schemas.openxmlformats.org/officeDocument/2006/relationships/image" Target="media/image67.jpg"/><Relationship Id="rId7" Type="http://schemas.openxmlformats.org/officeDocument/2006/relationships/image" Target="media/image1.jpg"/><Relationship Id="rId162" Type="http://schemas.openxmlformats.org/officeDocument/2006/relationships/image" Target="media/image70.jpg"/><Relationship Id="rId183" Type="http://schemas.openxmlformats.org/officeDocument/2006/relationships/image" Target="media/image85.jpg"/><Relationship Id="rId218" Type="http://schemas.openxmlformats.org/officeDocument/2006/relationships/hyperlink" Target="https://cr.minzdrav.gov.ru/recomend/153_1" TargetMode="External"/><Relationship Id="rId239" Type="http://schemas.openxmlformats.org/officeDocument/2006/relationships/hyperlink" Target="https://www.who.int/publications/i/item/9789241549790" TargetMode="External"/><Relationship Id="rId250" Type="http://schemas.openxmlformats.org/officeDocument/2006/relationships/hyperlink" Target="https://www.nice.org.uk/guidance/ng222" TargetMode="External"/><Relationship Id="rId271" Type="http://schemas.openxmlformats.org/officeDocument/2006/relationships/hyperlink" Target="https://www.cancer.gov/types/lung/hp/lung-prevention-pdq" TargetMode="External"/><Relationship Id="rId292" Type="http://schemas.openxmlformats.org/officeDocument/2006/relationships/hyperlink" Target="https://www.nccn.org/professionals/physician_gls/pdf/prostate_detection.pdf" TargetMode="External"/><Relationship Id="rId306" Type="http://schemas.openxmlformats.org/officeDocument/2006/relationships/hyperlink" Target="https://www.cancer.gov/types/liver/hp/liver-screening-pdq" TargetMode="External"/><Relationship Id="rId24" Type="http://schemas.openxmlformats.org/officeDocument/2006/relationships/hyperlink" Target="http://www.syntaxscore.com/" TargetMode="External"/><Relationship Id="rId87" Type="http://schemas.openxmlformats.org/officeDocument/2006/relationships/footer" Target="footer1.xml"/><Relationship Id="rId110" Type="http://schemas.openxmlformats.org/officeDocument/2006/relationships/image" Target="media/image42.jpg"/><Relationship Id="rId131" Type="http://schemas.openxmlformats.org/officeDocument/2006/relationships/image" Target="media/image57.jpg"/><Relationship Id="rId327" Type="http://schemas.openxmlformats.org/officeDocument/2006/relationships/hyperlink" Target="https://www.cancer.gov/types/breast/hp/breast-prevention-pdq" TargetMode="External"/><Relationship Id="rId348" Type="http://schemas.openxmlformats.org/officeDocument/2006/relationships/footer" Target="footer26.xml"/><Relationship Id="rId152" Type="http://schemas.openxmlformats.org/officeDocument/2006/relationships/footer" Target="footer14.xml"/><Relationship Id="rId173" Type="http://schemas.openxmlformats.org/officeDocument/2006/relationships/image" Target="media/image75.jpg"/><Relationship Id="rId194" Type="http://schemas.openxmlformats.org/officeDocument/2006/relationships/header" Target="header24.xml"/><Relationship Id="rId208" Type="http://schemas.openxmlformats.org/officeDocument/2006/relationships/hyperlink" Target="https://racvs.ru/upload/iblock/b4e/b4e1957197feea4acb0a7f39c89c6453.pdf" TargetMode="External"/><Relationship Id="rId229" Type="http://schemas.openxmlformats.org/officeDocument/2006/relationships/hyperlink" Target="https://therapy.irkutsk.ru/ispm/psomatic5.pdf" TargetMode="External"/><Relationship Id="rId240" Type="http://schemas.openxmlformats.org/officeDocument/2006/relationships/hyperlink" Target="https://cr.minzdrav.gov.ru/recomend/457_2" TargetMode="External"/><Relationship Id="rId261" Type="http://schemas.openxmlformats.org/officeDocument/2006/relationships/hyperlink" Target="https://rossleep.ru/wp-content/uploads/2018/01/REKOMENDATSII-ROS-PO-SOAS-Utverzhdyonnyiy-variant.docx" TargetMode="External"/><Relationship Id="rId14" Type="http://schemas.openxmlformats.org/officeDocument/2006/relationships/image" Target="media/image8.png"/><Relationship Id="rId77" Type="http://schemas.openxmlformats.org/officeDocument/2006/relationships/image" Target="media/image23.jpg"/><Relationship Id="rId100" Type="http://schemas.openxmlformats.org/officeDocument/2006/relationships/image" Target="media/image32.jpg"/><Relationship Id="rId282" Type="http://schemas.openxmlformats.org/officeDocument/2006/relationships/hyperlink" Target="https://www.nccn.org/professionals/physician_gls/pdf/colorectal_screening.pdf" TargetMode="External"/><Relationship Id="rId317" Type="http://schemas.openxmlformats.org/officeDocument/2006/relationships/hyperlink" Target="https://www.cancer.gov/types/esophageal/hp/esophageal-prevention-pdq" TargetMode="External"/><Relationship Id="rId338" Type="http://schemas.openxmlformats.org/officeDocument/2006/relationships/hyperlink" Target="https://www.cancer.gov/types/skin/hp/skin-prevention-pdq" TargetMode="External"/><Relationship Id="rId8" Type="http://schemas.openxmlformats.org/officeDocument/2006/relationships/image" Target="media/image2.jpg"/><Relationship Id="rId98" Type="http://schemas.openxmlformats.org/officeDocument/2006/relationships/image" Target="media/image280.jpg"/><Relationship Id="rId121" Type="http://schemas.openxmlformats.org/officeDocument/2006/relationships/image" Target="media/image53.jpg"/><Relationship Id="rId142" Type="http://schemas.openxmlformats.org/officeDocument/2006/relationships/image" Target="media/image68.jpg"/><Relationship Id="rId163" Type="http://schemas.openxmlformats.org/officeDocument/2006/relationships/image" Target="media/image71.jpg"/><Relationship Id="rId184" Type="http://schemas.openxmlformats.org/officeDocument/2006/relationships/image" Target="media/image86.jpg"/><Relationship Id="rId219" Type="http://schemas.openxmlformats.org/officeDocument/2006/relationships/hyperlink" Target="https://cr.minzdrav.gov.ru/recomend/153_1" TargetMode="External"/><Relationship Id="rId230" Type="http://schemas.openxmlformats.org/officeDocument/2006/relationships/hyperlink" Target="https://therapy.irkutsk.ru/ispm/psomatic5.pdf" TargetMode="External"/><Relationship Id="rId251" Type="http://schemas.openxmlformats.org/officeDocument/2006/relationships/hyperlink" Target="https://www.nice.org.uk/guidance/ng222" TargetMode="External"/><Relationship Id="rId25" Type="http://schemas.openxmlformats.org/officeDocument/2006/relationships/hyperlink" Target="http://www.syntaxscore.com/" TargetMode="External"/><Relationship Id="rId272" Type="http://schemas.openxmlformats.org/officeDocument/2006/relationships/hyperlink" Target="https://www.cancer.gov/types/lung/hp/lung-prevention-pdq" TargetMode="External"/><Relationship Id="rId293" Type="http://schemas.openxmlformats.org/officeDocument/2006/relationships/hyperlink" Target="https://www.nccn.org/professionals/physician_gls/pdf/prostate_detection.pdf" TargetMode="External"/><Relationship Id="rId307" Type="http://schemas.openxmlformats.org/officeDocument/2006/relationships/hyperlink" Target="https://www.cancer.gov/types/esophageal/hp/esophageal-screening-pdq" TargetMode="External"/><Relationship Id="rId328" Type="http://schemas.openxmlformats.org/officeDocument/2006/relationships/hyperlink" Target="https://www.cancer.gov/types/cervical/hp/cervical-prevention-pdq" TargetMode="External"/><Relationship Id="rId349" Type="http://schemas.openxmlformats.org/officeDocument/2006/relationships/header" Target="header27.xml"/><Relationship Id="rId88" Type="http://schemas.openxmlformats.org/officeDocument/2006/relationships/footer" Target="footer2.xml"/><Relationship Id="rId111" Type="http://schemas.openxmlformats.org/officeDocument/2006/relationships/image" Target="media/image43.jpg"/><Relationship Id="rId132" Type="http://schemas.openxmlformats.org/officeDocument/2006/relationships/image" Target="media/image58.jpg"/><Relationship Id="rId153" Type="http://schemas.openxmlformats.org/officeDocument/2006/relationships/header" Target="header15.xml"/><Relationship Id="rId174" Type="http://schemas.openxmlformats.org/officeDocument/2006/relationships/image" Target="media/image76.jpg"/><Relationship Id="rId195" Type="http://schemas.openxmlformats.org/officeDocument/2006/relationships/footer" Target="footer24.xml"/><Relationship Id="rId209" Type="http://schemas.openxmlformats.org/officeDocument/2006/relationships/hyperlink" Target="https://racvs.ru/upload/iblock/b4e/b4e1957197feea4acb0a7f39c89c6453.pdf" TargetMode="External"/><Relationship Id="rId220" Type="http://schemas.openxmlformats.org/officeDocument/2006/relationships/hyperlink" Target="https://cr.minzdrav.gov.ru/recomend/531_3" TargetMode="External"/><Relationship Id="rId241" Type="http://schemas.openxmlformats.org/officeDocument/2006/relationships/hyperlink" Target="https://cr.minzdrav.gov.ru/recomend/457_2" TargetMode="External"/><Relationship Id="rId15" Type="http://schemas.openxmlformats.org/officeDocument/2006/relationships/image" Target="media/image9.jpg"/><Relationship Id="rId262" Type="http://schemas.openxmlformats.org/officeDocument/2006/relationships/hyperlink" Target="https://rossleep.ru/wp-content/uploads/2018/01/REKOMENDATSII-ROS-PO-SOAS-Utverzhdyonnyiy-variant.docx" TargetMode="External"/><Relationship Id="rId283" Type="http://schemas.openxmlformats.org/officeDocument/2006/relationships/hyperlink" Target="https://www.nccn.org/professionals/physician_gls/pdf/colorectal_screening.pdf" TargetMode="External"/><Relationship Id="rId318" Type="http://schemas.openxmlformats.org/officeDocument/2006/relationships/hyperlink" Target="https://www.cancer.gov/types/esophageal/hp/esophageal-prevention-pdq" TargetMode="External"/><Relationship Id="rId339" Type="http://schemas.openxmlformats.org/officeDocument/2006/relationships/hyperlink" Target="https://www.nccn.org/professionals/physician_gls/pdf/vte.pdf" TargetMode="External"/><Relationship Id="rId78" Type="http://schemas.openxmlformats.org/officeDocument/2006/relationships/image" Target="media/image24.jpg"/><Relationship Id="rId99" Type="http://schemas.openxmlformats.org/officeDocument/2006/relationships/image" Target="media/image31.jpg"/><Relationship Id="rId101" Type="http://schemas.openxmlformats.org/officeDocument/2006/relationships/image" Target="media/image33.jpg"/><Relationship Id="rId122" Type="http://schemas.openxmlformats.org/officeDocument/2006/relationships/header" Target="header7.xml"/><Relationship Id="rId143" Type="http://schemas.openxmlformats.org/officeDocument/2006/relationships/header" Target="header10.xml"/><Relationship Id="rId164" Type="http://schemas.openxmlformats.org/officeDocument/2006/relationships/image" Target="media/image72.jpg"/><Relationship Id="rId185" Type="http://schemas.openxmlformats.org/officeDocument/2006/relationships/image" Target="media/image87.jpg"/><Relationship Id="rId350" Type="http://schemas.openxmlformats.org/officeDocument/2006/relationships/footer" Target="footer27.xml"/><Relationship Id="rId9" Type="http://schemas.openxmlformats.org/officeDocument/2006/relationships/image" Target="media/image3.jpg"/><Relationship Id="rId210" Type="http://schemas.openxmlformats.org/officeDocument/2006/relationships/hyperlink" Target="https://racvs.ru/clinic/files/2016/Aortic-stenosis.pdf" TargetMode="External"/><Relationship Id="rId26" Type="http://schemas.openxmlformats.org/officeDocument/2006/relationships/image" Target="media/image17.jpg"/><Relationship Id="rId231" Type="http://schemas.openxmlformats.org/officeDocument/2006/relationships/hyperlink" Target="https://therapy.irkutsk.ru/ispm/psomatic5.pdf" TargetMode="External"/><Relationship Id="rId252" Type="http://schemas.openxmlformats.org/officeDocument/2006/relationships/hyperlink" Target="https://www.nice.org.uk/guidance/ng222" TargetMode="External"/><Relationship Id="rId273" Type="http://schemas.openxmlformats.org/officeDocument/2006/relationships/hyperlink" Target="https://www.cancer.gov/types/lung/hp/lung-prevention-pdq" TargetMode="External"/><Relationship Id="rId294" Type="http://schemas.openxmlformats.org/officeDocument/2006/relationships/hyperlink" Target="https://www.nccn.org/professionals/physician_gls/pdf/prostate_detection.pdf" TargetMode="External"/><Relationship Id="rId308" Type="http://schemas.openxmlformats.org/officeDocument/2006/relationships/hyperlink" Target="https://www.cancer.gov/types/esophageal/hp/esophageal-screening-pdq" TargetMode="External"/><Relationship Id="rId329" Type="http://schemas.openxmlformats.org/officeDocument/2006/relationships/hyperlink" Target="https://www.cancer.gov/types/cervical/hp/cervical-prevention-pdq" TargetMode="External"/><Relationship Id="rId89" Type="http://schemas.openxmlformats.org/officeDocument/2006/relationships/header" Target="header3.xml"/><Relationship Id="rId112" Type="http://schemas.openxmlformats.org/officeDocument/2006/relationships/image" Target="media/image44.jpg"/><Relationship Id="rId133" Type="http://schemas.openxmlformats.org/officeDocument/2006/relationships/image" Target="media/image59.jpg"/><Relationship Id="rId154" Type="http://schemas.openxmlformats.org/officeDocument/2006/relationships/footer" Target="footer15.xml"/><Relationship Id="rId175" Type="http://schemas.openxmlformats.org/officeDocument/2006/relationships/image" Target="media/image77.jpg"/><Relationship Id="rId340" Type="http://schemas.openxmlformats.org/officeDocument/2006/relationships/hyperlink" Target="https://www.nccn.org/professionals/physician_gls/pdf/vte.pdf" TargetMode="External"/><Relationship Id="rId196" Type="http://schemas.openxmlformats.org/officeDocument/2006/relationships/image" Target="media/image92.png"/><Relationship Id="rId200" Type="http://schemas.openxmlformats.org/officeDocument/2006/relationships/hyperlink" Target="https://scardio.ru/rekomendacii/rekomendacii_rko/" TargetMode="External"/><Relationship Id="rId16" Type="http://schemas.openxmlformats.org/officeDocument/2006/relationships/image" Target="media/image10.jpg"/><Relationship Id="rId221" Type="http://schemas.openxmlformats.org/officeDocument/2006/relationships/hyperlink" Target="https://cr.minzdrav.gov.ru/recomend/531_3" TargetMode="External"/><Relationship Id="rId242" Type="http://schemas.openxmlformats.org/officeDocument/2006/relationships/hyperlink" Target="https://cr.minzdrav.gov.ru/recomend/457_2" TargetMode="External"/><Relationship Id="rId263" Type="http://schemas.openxmlformats.org/officeDocument/2006/relationships/hyperlink" Target="https://rossleep.ru/wp-content/uploads/2018/01/REKOMENDATSII-ROS-PO-SOAS-Utverzhdyonnyiy-variant.docx" TargetMode="External"/><Relationship Id="rId284" Type="http://schemas.openxmlformats.org/officeDocument/2006/relationships/hyperlink" Target="https://www.nccn.org/professionals/physician_gls/pdf/colorectal_screening.pdf" TargetMode="External"/><Relationship Id="rId319" Type="http://schemas.openxmlformats.org/officeDocument/2006/relationships/hyperlink" Target="https://www.cancer.gov/types/esophageal/hp/esophageal-prevention-pdq" TargetMode="External"/><Relationship Id="rId79" Type="http://schemas.openxmlformats.org/officeDocument/2006/relationships/image" Target="media/image220.jpg"/><Relationship Id="rId102" Type="http://schemas.openxmlformats.org/officeDocument/2006/relationships/image" Target="media/image34.jpg"/><Relationship Id="rId123" Type="http://schemas.openxmlformats.org/officeDocument/2006/relationships/header" Target="header8.xml"/><Relationship Id="rId144" Type="http://schemas.openxmlformats.org/officeDocument/2006/relationships/header" Target="header11.xml"/><Relationship Id="rId330" Type="http://schemas.openxmlformats.org/officeDocument/2006/relationships/hyperlink" Target="https://www.cancer.gov/types/cervical/hp/cervical-prevention-pdq" TargetMode="External"/><Relationship Id="rId90" Type="http://schemas.openxmlformats.org/officeDocument/2006/relationships/footer" Target="footer3.xml"/><Relationship Id="rId165" Type="http://schemas.openxmlformats.org/officeDocument/2006/relationships/header" Target="header19.xml"/><Relationship Id="rId186" Type="http://schemas.openxmlformats.org/officeDocument/2006/relationships/image" Target="media/image88.jpg"/><Relationship Id="rId351" Type="http://schemas.openxmlformats.org/officeDocument/2006/relationships/fontTable" Target="fontTable.xml"/><Relationship Id="rId211" Type="http://schemas.openxmlformats.org/officeDocument/2006/relationships/hyperlink" Target="https://racvs.ru/clinic/files/2016/Aortic-stenosis.pdf" TargetMode="External"/><Relationship Id="rId232" Type="http://schemas.openxmlformats.org/officeDocument/2006/relationships/hyperlink" Target="https://therapy.irkutsk.ru/ispm/psomatic5.pdf" TargetMode="External"/><Relationship Id="rId253" Type="http://schemas.openxmlformats.org/officeDocument/2006/relationships/hyperlink" Target="https://www.nice.org.uk/guidance/ng222" TargetMode="External"/><Relationship Id="rId274" Type="http://schemas.openxmlformats.org/officeDocument/2006/relationships/hyperlink" Target="https://www.cancer.gov/types/colorectal/hp/colorectal-prevention-pdq" TargetMode="External"/><Relationship Id="rId295" Type="http://schemas.openxmlformats.org/officeDocument/2006/relationships/hyperlink" Target="https://www.cancer.gov/types/stomach/hp/stomach-prevention-pdq" TargetMode="External"/><Relationship Id="rId309" Type="http://schemas.openxmlformats.org/officeDocument/2006/relationships/hyperlink" Target="https://www.cancer.gov/types/esophageal/hp/esophageal-screening-pdq" TargetMode="External"/><Relationship Id="rId113" Type="http://schemas.openxmlformats.org/officeDocument/2006/relationships/image" Target="media/image45.jpg"/><Relationship Id="rId134" Type="http://schemas.openxmlformats.org/officeDocument/2006/relationships/image" Target="media/image60.jpg"/><Relationship Id="rId320" Type="http://schemas.openxmlformats.org/officeDocument/2006/relationships/hyperlink" Target="https://www.cancer.gov/types/esophageal/hp/esophageal-prevention-pdq" TargetMode="External"/><Relationship Id="rId80" Type="http://schemas.openxmlformats.org/officeDocument/2006/relationships/image" Target="media/image25.jpg"/><Relationship Id="rId155" Type="http://schemas.openxmlformats.org/officeDocument/2006/relationships/image" Target="media/image69.jpg"/><Relationship Id="rId176" Type="http://schemas.openxmlformats.org/officeDocument/2006/relationships/image" Target="media/image78.jpg"/><Relationship Id="rId197" Type="http://schemas.openxmlformats.org/officeDocument/2006/relationships/image" Target="media/image93.jpg"/><Relationship Id="rId341" Type="http://schemas.openxmlformats.org/officeDocument/2006/relationships/hyperlink" Target="https://www.nccn.org/professionals/physician_gls/pdf/vte.pdf" TargetMode="External"/><Relationship Id="rId201" Type="http://schemas.openxmlformats.org/officeDocument/2006/relationships/hyperlink" Target="https://scardio.ru/content/Guidelines/project/Project_HSN_2023.pdf" TargetMode="External"/><Relationship Id="rId222" Type="http://schemas.openxmlformats.org/officeDocument/2006/relationships/hyperlink" Target="https://cr.minzdrav.gov.ru/recomend/531_3" TargetMode="External"/><Relationship Id="rId243" Type="http://schemas.openxmlformats.org/officeDocument/2006/relationships/hyperlink" Target="https://cr.minzdrav.gov.ru/recomend/301_2" TargetMode="External"/><Relationship Id="rId264" Type="http://schemas.openxmlformats.org/officeDocument/2006/relationships/hyperlink" Target="https://rossleep.ru/wp-content/uploads/2018/01/REKOMENDATSII-ROS-PO-SOAS-Utverzhdyonnyiy-variant.docx" TargetMode="External"/><Relationship Id="rId285" Type="http://schemas.openxmlformats.org/officeDocument/2006/relationships/hyperlink" Target="https://www.nccn.org/professionals/physician_gls/pdf/colorectal_screening.pdf" TargetMode="External"/><Relationship Id="rId17" Type="http://schemas.openxmlformats.org/officeDocument/2006/relationships/image" Target="media/image11.jpg"/><Relationship Id="rId103" Type="http://schemas.openxmlformats.org/officeDocument/2006/relationships/image" Target="media/image35.jpg"/><Relationship Id="rId124" Type="http://schemas.openxmlformats.org/officeDocument/2006/relationships/footer" Target="footer7.xml"/><Relationship Id="rId310" Type="http://schemas.openxmlformats.org/officeDocument/2006/relationships/hyperlink" Target="https://www.cancer.gov/types/esophageal/hp/esophageal-screening-pdq" TargetMode="External"/><Relationship Id="rId91" Type="http://schemas.openxmlformats.org/officeDocument/2006/relationships/header" Target="header4.xml"/><Relationship Id="rId145" Type="http://schemas.openxmlformats.org/officeDocument/2006/relationships/footer" Target="footer10.xml"/><Relationship Id="rId166" Type="http://schemas.openxmlformats.org/officeDocument/2006/relationships/header" Target="header20.xml"/><Relationship Id="rId187" Type="http://schemas.openxmlformats.org/officeDocument/2006/relationships/image" Target="media/image89.jpg"/><Relationship Id="rId331" Type="http://schemas.openxmlformats.org/officeDocument/2006/relationships/hyperlink" Target="https://www.cancer.gov/types/cervical/hp/cervical-prevention-pdq" TargetMode="External"/><Relationship Id="rId352" Type="http://schemas.openxmlformats.org/officeDocument/2006/relationships/theme" Target="theme/theme1.xml"/><Relationship Id="rId1" Type="http://schemas.openxmlformats.org/officeDocument/2006/relationships/numbering" Target="numbering.xml"/><Relationship Id="rId212" Type="http://schemas.openxmlformats.org/officeDocument/2006/relationships/hyperlink" Target="https://racvs.ru/clinic/files/2016/Aortic-regurg.pdf" TargetMode="External"/><Relationship Id="rId233" Type="http://schemas.openxmlformats.org/officeDocument/2006/relationships/hyperlink" Target="http://www.euro.who.int/ru/health-topics/disease-prevention/alcohol-use/publications/2017/who-alcohol-brief-intervention-training-manual-for-primary-care-2017" TargetMode="External"/><Relationship Id="rId254" Type="http://schemas.openxmlformats.org/officeDocument/2006/relationships/hyperlink" Target="https://www.nice.org.uk/guidance/ng222" TargetMode="External"/><Relationship Id="rId114" Type="http://schemas.openxmlformats.org/officeDocument/2006/relationships/image" Target="media/image46.jpg"/><Relationship Id="rId275" Type="http://schemas.openxmlformats.org/officeDocument/2006/relationships/hyperlink" Target="https://www.cancer.gov/types/colorectal/hp/colorectal-prevention-pdq" TargetMode="External"/><Relationship Id="rId296" Type="http://schemas.openxmlformats.org/officeDocument/2006/relationships/hyperlink" Target="https://www.cancer.gov/types/stomach/hp/stomach-prevention-pdq" TargetMode="External"/><Relationship Id="rId300" Type="http://schemas.openxmlformats.org/officeDocument/2006/relationships/hyperlink" Target="https://www.cancer.gov/types/liver/hp/liver-prevention-pdq" TargetMode="External"/><Relationship Id="rId81" Type="http://schemas.openxmlformats.org/officeDocument/2006/relationships/image" Target="media/image26.jpg"/><Relationship Id="rId135" Type="http://schemas.openxmlformats.org/officeDocument/2006/relationships/image" Target="media/image61.jpg"/><Relationship Id="rId156" Type="http://schemas.openxmlformats.org/officeDocument/2006/relationships/header" Target="header16.xml"/><Relationship Id="rId177" Type="http://schemas.openxmlformats.org/officeDocument/2006/relationships/image" Target="media/image79.jpg"/><Relationship Id="rId198" Type="http://schemas.openxmlformats.org/officeDocument/2006/relationships/image" Target="media/image94.jpg"/><Relationship Id="rId321" Type="http://schemas.openxmlformats.org/officeDocument/2006/relationships/hyperlink" Target="https://www.cancer.gov/types/esophageal/hp/esophageal-prevention-pdq" TargetMode="External"/><Relationship Id="rId342" Type="http://schemas.openxmlformats.org/officeDocument/2006/relationships/hyperlink" Target="https://www.nccn.org/professionals/physician_gls/pdf/vte.pdf" TargetMode="External"/><Relationship Id="rId202" Type="http://schemas.openxmlformats.org/officeDocument/2006/relationships/hyperlink" Target="https://scardio.ru/content/Guidelines/project/Project_HSN_2023.pdf" TargetMode="External"/><Relationship Id="rId223" Type="http://schemas.openxmlformats.org/officeDocument/2006/relationships/hyperlink" Target="https://rae-org.ru/library/recommendations" TargetMode="External"/><Relationship Id="rId244" Type="http://schemas.openxmlformats.org/officeDocument/2006/relationships/hyperlink" Target="https://cr.minzdrav.gov.ru/recomend/301_2" TargetMode="External"/><Relationship Id="rId18" Type="http://schemas.openxmlformats.org/officeDocument/2006/relationships/image" Target="media/image12.jpg"/><Relationship Id="rId265" Type="http://schemas.openxmlformats.org/officeDocument/2006/relationships/hyperlink" Target="https://rossleep.ru/wp-content/uploads/2018/01/REKOMENDATSII-ROS-PO-SOAS-Utverzhdyonnyiy-variant.docx" TargetMode="External"/><Relationship Id="rId286" Type="http://schemas.openxmlformats.org/officeDocument/2006/relationships/hyperlink" Target="https://www.nccn.org/professionals/physician_gls/pdf/colorectal_screening.pdf" TargetMode="External"/><Relationship Id="rId104" Type="http://schemas.openxmlformats.org/officeDocument/2006/relationships/image" Target="media/image36.jpg"/><Relationship Id="rId125" Type="http://schemas.openxmlformats.org/officeDocument/2006/relationships/footer" Target="footer8.xml"/><Relationship Id="rId146" Type="http://schemas.openxmlformats.org/officeDocument/2006/relationships/footer" Target="footer11.xml"/><Relationship Id="rId167" Type="http://schemas.openxmlformats.org/officeDocument/2006/relationships/footer" Target="footer19.xml"/><Relationship Id="rId188" Type="http://schemas.openxmlformats.org/officeDocument/2006/relationships/image" Target="media/image90.jpg"/><Relationship Id="rId311" Type="http://schemas.openxmlformats.org/officeDocument/2006/relationships/hyperlink" Target="https://www.cancer.gov/types/esophageal/hp/esophageal-screening-pdq" TargetMode="External"/><Relationship Id="rId332" Type="http://schemas.openxmlformats.org/officeDocument/2006/relationships/hyperlink" Target="https://www.cancer.gov/types/prostate/hp/prostate-prevention-pdq" TargetMode="External"/><Relationship Id="rId71" Type="http://schemas.openxmlformats.org/officeDocument/2006/relationships/image" Target="media/image150.jpg"/><Relationship Id="rId92" Type="http://schemas.openxmlformats.org/officeDocument/2006/relationships/header" Target="header5.xml"/><Relationship Id="rId213" Type="http://schemas.openxmlformats.org/officeDocument/2006/relationships/hyperlink" Target="https://racvs.ru/clinic/files/2016/Aortic-regurg.pdf" TargetMode="External"/><Relationship Id="rId234" Type="http://schemas.openxmlformats.org/officeDocument/2006/relationships/hyperlink" Target="http://www.euro.who.int/ru/health-topics/disease-prevention/alcohol-use/publications/2017/who-alcohol-brief-intervention-training-manual-for-primary-care-2017" TargetMode="External"/><Relationship Id="rId2" Type="http://schemas.openxmlformats.org/officeDocument/2006/relationships/styles" Target="styles.xml"/><Relationship Id="rId255" Type="http://schemas.openxmlformats.org/officeDocument/2006/relationships/hyperlink" Target="https://www.nice.org.uk/guidance/ng222" TargetMode="External"/><Relationship Id="rId276" Type="http://schemas.openxmlformats.org/officeDocument/2006/relationships/hyperlink" Target="https://www.cancer.gov/types/colorectal/hp/colorectal-prevention-pdq" TargetMode="External"/><Relationship Id="rId297" Type="http://schemas.openxmlformats.org/officeDocument/2006/relationships/hyperlink" Target="https://www.cancer.gov/types/stomach/hp/stomach-prevention-pdq" TargetMode="External"/><Relationship Id="rId115" Type="http://schemas.openxmlformats.org/officeDocument/2006/relationships/image" Target="media/image47.jpg"/><Relationship Id="rId136" Type="http://schemas.openxmlformats.org/officeDocument/2006/relationships/image" Target="media/image62.jpg"/><Relationship Id="rId157" Type="http://schemas.openxmlformats.org/officeDocument/2006/relationships/header" Target="header17.xml"/><Relationship Id="rId178" Type="http://schemas.openxmlformats.org/officeDocument/2006/relationships/image" Target="media/image80.jpg"/><Relationship Id="rId301" Type="http://schemas.openxmlformats.org/officeDocument/2006/relationships/hyperlink" Target="https://www.cancer.gov/types/liver/hp/liver-screening-pdq" TargetMode="External"/><Relationship Id="rId322" Type="http://schemas.openxmlformats.org/officeDocument/2006/relationships/hyperlink" Target="https://www.cancer.gov/types/esophageal/hp/esophageal-prevention-pdq" TargetMode="External"/><Relationship Id="rId343" Type="http://schemas.openxmlformats.org/officeDocument/2006/relationships/hyperlink" Target="https://www.nccn.org/professionals/physician_gls/pdf/vte.pdf" TargetMode="External"/><Relationship Id="rId82" Type="http://schemas.openxmlformats.org/officeDocument/2006/relationships/image" Target="media/image27.jpg"/><Relationship Id="rId199" Type="http://schemas.openxmlformats.org/officeDocument/2006/relationships/image" Target="media/image95.jpg"/><Relationship Id="rId203" Type="http://schemas.openxmlformats.org/officeDocument/2006/relationships/hyperlink" Target="https://scardio.ru/content/Guidelines/project/Project_HSN_2023.pdf" TargetMode="External"/><Relationship Id="rId19" Type="http://schemas.openxmlformats.org/officeDocument/2006/relationships/image" Target="media/image13.jpg"/><Relationship Id="rId224" Type="http://schemas.openxmlformats.org/officeDocument/2006/relationships/hyperlink" Target="https://rae-org.ru/library/recommendations" TargetMode="External"/><Relationship Id="rId245" Type="http://schemas.openxmlformats.org/officeDocument/2006/relationships/hyperlink" Target="https://cr.minzdrav.gov.ru/recomend/301_2" TargetMode="External"/><Relationship Id="rId266" Type="http://schemas.openxmlformats.org/officeDocument/2006/relationships/hyperlink" Target="https://rossleep.ru/wp-content/uploads/2018/01/REKOMENDATSII-ROS-PO-SOAS-Utverzhdyonnyiy-variant.docx" TargetMode="External"/><Relationship Id="rId287" Type="http://schemas.openxmlformats.org/officeDocument/2006/relationships/hyperlink" Target="https://www.nccn.org/professionals/physician_gls/pdf/colorectal_screening.pdf" TargetMode="External"/><Relationship Id="rId105" Type="http://schemas.openxmlformats.org/officeDocument/2006/relationships/image" Target="media/image37.jpg"/><Relationship Id="rId126" Type="http://schemas.openxmlformats.org/officeDocument/2006/relationships/header" Target="header9.xml"/><Relationship Id="rId147" Type="http://schemas.openxmlformats.org/officeDocument/2006/relationships/header" Target="header12.xml"/><Relationship Id="rId168" Type="http://schemas.openxmlformats.org/officeDocument/2006/relationships/footer" Target="footer20.xml"/><Relationship Id="rId312" Type="http://schemas.openxmlformats.org/officeDocument/2006/relationships/hyperlink" Target="https://www.cancer.gov/types/esophageal/hp/esophageal-screening-pdq" TargetMode="External"/><Relationship Id="rId333" Type="http://schemas.openxmlformats.org/officeDocument/2006/relationships/hyperlink" Target="https://www.cancer.gov/types/prostate/hp/prostate-prevention-pdq" TargetMode="External"/><Relationship Id="rId72" Type="http://schemas.openxmlformats.org/officeDocument/2006/relationships/image" Target="media/image18.jpg"/><Relationship Id="rId93" Type="http://schemas.openxmlformats.org/officeDocument/2006/relationships/footer" Target="footer4.xml"/><Relationship Id="rId189" Type="http://schemas.openxmlformats.org/officeDocument/2006/relationships/image" Target="media/image91.jpg"/><Relationship Id="rId3" Type="http://schemas.openxmlformats.org/officeDocument/2006/relationships/settings" Target="settings.xml"/><Relationship Id="rId214" Type="http://schemas.openxmlformats.org/officeDocument/2006/relationships/hyperlink" Target="https://racvs.ru/clinic/files/2016/Aortic-regurg.pdf" TargetMode="External"/><Relationship Id="rId235" Type="http://schemas.openxmlformats.org/officeDocument/2006/relationships/hyperlink" Target="http://www.euro.who.int/ru/health-topics/disease-prevention/alcohol-use/publications/2017/who-alcohol-brief-intervention-training-manual-for-primary-care-2017" TargetMode="External"/><Relationship Id="rId256" Type="http://schemas.openxmlformats.org/officeDocument/2006/relationships/hyperlink" Target="https://www.nice.org.uk/guidance/ng222" TargetMode="External"/><Relationship Id="rId277" Type="http://schemas.openxmlformats.org/officeDocument/2006/relationships/hyperlink" Target="https://www.cancer.gov/types/colorectal/hp/colorectal-prevention-pdq" TargetMode="External"/><Relationship Id="rId298" Type="http://schemas.openxmlformats.org/officeDocument/2006/relationships/hyperlink" Target="https://www.cancer.gov/types/liver/hp/liver-prevention-pdq" TargetMode="External"/><Relationship Id="rId116" Type="http://schemas.openxmlformats.org/officeDocument/2006/relationships/image" Target="media/image48.jpg"/><Relationship Id="rId137" Type="http://schemas.openxmlformats.org/officeDocument/2006/relationships/image" Target="media/image63.jpg"/><Relationship Id="rId158" Type="http://schemas.openxmlformats.org/officeDocument/2006/relationships/footer" Target="footer16.xml"/><Relationship Id="rId302" Type="http://schemas.openxmlformats.org/officeDocument/2006/relationships/hyperlink" Target="https://www.cancer.gov/types/liver/hp/liver-screening-pdq" TargetMode="External"/><Relationship Id="rId323" Type="http://schemas.openxmlformats.org/officeDocument/2006/relationships/hyperlink" Target="https://www.cancer.gov/types/esophageal/hp/esophageal-prevention-pdq" TargetMode="External"/><Relationship Id="rId344" Type="http://schemas.openxmlformats.org/officeDocument/2006/relationships/hyperlink" Target="https://www.nccn.org/professionals/physician_gls/pdf/vte.pdf" TargetMode="External"/><Relationship Id="rId20" Type="http://schemas.openxmlformats.org/officeDocument/2006/relationships/image" Target="media/image14.jpg"/><Relationship Id="rId83" Type="http://schemas.openxmlformats.org/officeDocument/2006/relationships/image" Target="media/image28.jpg"/><Relationship Id="rId179" Type="http://schemas.openxmlformats.org/officeDocument/2006/relationships/image" Target="media/image81.jpg"/><Relationship Id="rId190" Type="http://schemas.openxmlformats.org/officeDocument/2006/relationships/header" Target="header22.xml"/><Relationship Id="rId204" Type="http://schemas.openxmlformats.org/officeDocument/2006/relationships/hyperlink" Target="https://scardio.ru/content/Guidelines/project/Project_HSN_2023.pdf" TargetMode="External"/><Relationship Id="rId225" Type="http://schemas.openxmlformats.org/officeDocument/2006/relationships/hyperlink" Target="https://rae-org.ru/library/recommendations" TargetMode="External"/><Relationship Id="rId246" Type="http://schemas.openxmlformats.org/officeDocument/2006/relationships/hyperlink" Target="https://cr.minzdrav.gov.ru/recomend/456_2" TargetMode="External"/><Relationship Id="rId267" Type="http://schemas.openxmlformats.org/officeDocument/2006/relationships/hyperlink" Target="https://www.cancer.gov/types/lung/hp/lung-prevention-pdq" TargetMode="External"/><Relationship Id="rId288" Type="http://schemas.openxmlformats.org/officeDocument/2006/relationships/hyperlink" Target="https://www.nccn.org/professionals/physician_gls/pdf/prostate_detection.pdf" TargetMode="External"/><Relationship Id="rId106" Type="http://schemas.openxmlformats.org/officeDocument/2006/relationships/image" Target="media/image38.jpg"/><Relationship Id="rId127" Type="http://schemas.openxmlformats.org/officeDocument/2006/relationships/footer" Target="footer9.xml"/><Relationship Id="rId313" Type="http://schemas.openxmlformats.org/officeDocument/2006/relationships/hyperlink" Target="https://www.cancer.gov/types/esophageal/hp/esophageal-screening-pdq" TargetMode="External"/><Relationship Id="rId10" Type="http://schemas.openxmlformats.org/officeDocument/2006/relationships/image" Target="media/image4.jpg"/><Relationship Id="rId73" Type="http://schemas.openxmlformats.org/officeDocument/2006/relationships/image" Target="media/image19.jpg"/><Relationship Id="rId94" Type="http://schemas.openxmlformats.org/officeDocument/2006/relationships/footer" Target="footer5.xml"/><Relationship Id="rId148" Type="http://schemas.openxmlformats.org/officeDocument/2006/relationships/footer" Target="footer12.xml"/><Relationship Id="rId169" Type="http://schemas.openxmlformats.org/officeDocument/2006/relationships/header" Target="header21.xml"/><Relationship Id="rId334" Type="http://schemas.openxmlformats.org/officeDocument/2006/relationships/hyperlink" Target="https://www.cancer.gov/types/prostate/hp/prostate-prevention-pdq" TargetMode="External"/><Relationship Id="rId4" Type="http://schemas.openxmlformats.org/officeDocument/2006/relationships/webSettings" Target="webSettings.xml"/><Relationship Id="rId180" Type="http://schemas.openxmlformats.org/officeDocument/2006/relationships/image" Target="media/image82.jpg"/><Relationship Id="rId215" Type="http://schemas.openxmlformats.org/officeDocument/2006/relationships/hyperlink" Target="https://racvs.ru/clinic/files/2016/Aortic-regurg.pdf" TargetMode="External"/><Relationship Id="rId236" Type="http://schemas.openxmlformats.org/officeDocument/2006/relationships/hyperlink" Target="http://www.euro.who.int/ru/health-topics/disease-prevention/alcohol-use/publications/2017/who-alcohol-brief-intervention-training-manual-for-primary-care-2017" TargetMode="External"/><Relationship Id="rId257" Type="http://schemas.openxmlformats.org/officeDocument/2006/relationships/hyperlink" Target="https://cr.minzdrav.gov.ru/recomend/469_2" TargetMode="External"/><Relationship Id="rId278" Type="http://schemas.openxmlformats.org/officeDocument/2006/relationships/hyperlink" Target="https://www.nccn.org/professionals/physician_gls/pdf/colorectal_screening.pdf" TargetMode="External"/><Relationship Id="rId303" Type="http://schemas.openxmlformats.org/officeDocument/2006/relationships/hyperlink" Target="https://www.cancer.gov/types/liver/hp/liver-screening-pdq" TargetMode="External"/><Relationship Id="rId84" Type="http://schemas.openxmlformats.org/officeDocument/2006/relationships/image" Target="media/image29.jpg"/><Relationship Id="rId138" Type="http://schemas.openxmlformats.org/officeDocument/2006/relationships/image" Target="media/image64.jpg"/><Relationship Id="rId345" Type="http://schemas.openxmlformats.org/officeDocument/2006/relationships/header" Target="header25.xml"/><Relationship Id="rId191" Type="http://schemas.openxmlformats.org/officeDocument/2006/relationships/header" Target="header23.xml"/><Relationship Id="rId205" Type="http://schemas.openxmlformats.org/officeDocument/2006/relationships/hyperlink" Target="https://scardio.ru/content/Guidelines/project/Project_HSN_2023.pdf" TargetMode="External"/><Relationship Id="rId247" Type="http://schemas.openxmlformats.org/officeDocument/2006/relationships/hyperlink" Target="https://cr.minzdrav.gov.ru/recomend/456_2" TargetMode="External"/><Relationship Id="rId107" Type="http://schemas.openxmlformats.org/officeDocument/2006/relationships/image" Target="media/image39.jpg"/><Relationship Id="rId289" Type="http://schemas.openxmlformats.org/officeDocument/2006/relationships/hyperlink" Target="https://www.nccn.org/professionals/physician_gls/pdf/prostate_detection.pdf" TargetMode="External"/><Relationship Id="rId11" Type="http://schemas.openxmlformats.org/officeDocument/2006/relationships/image" Target="media/image5.jpg"/><Relationship Id="rId149" Type="http://schemas.openxmlformats.org/officeDocument/2006/relationships/header" Target="header13.xml"/><Relationship Id="rId314" Type="http://schemas.openxmlformats.org/officeDocument/2006/relationships/hyperlink" Target="https://www.cancer.gov/types/esophageal/hp/esophageal-screening-pdq" TargetMode="External"/><Relationship Id="rId95" Type="http://schemas.openxmlformats.org/officeDocument/2006/relationships/header" Target="header6.xml"/><Relationship Id="rId160" Type="http://schemas.openxmlformats.org/officeDocument/2006/relationships/header" Target="header18.xml"/><Relationship Id="rId216" Type="http://schemas.openxmlformats.org/officeDocument/2006/relationships/hyperlink" Target="https://racvs.ru/clinic/files/2016/Aortic-regurg.pdf" TargetMode="External"/><Relationship Id="rId258" Type="http://schemas.openxmlformats.org/officeDocument/2006/relationships/hyperlink" Target="https://cr.minzdrav.gov.ru/recomend/469_2" TargetMode="External"/><Relationship Id="rId22" Type="http://schemas.openxmlformats.org/officeDocument/2006/relationships/image" Target="media/image16.jpg"/><Relationship Id="rId118" Type="http://schemas.openxmlformats.org/officeDocument/2006/relationships/image" Target="media/image50.jpg"/><Relationship Id="rId325" Type="http://schemas.openxmlformats.org/officeDocument/2006/relationships/hyperlink" Target="https://www.cancer.gov/types/breast/hp/breast-prevention-pdq" TargetMode="External"/><Relationship Id="rId171" Type="http://schemas.openxmlformats.org/officeDocument/2006/relationships/image" Target="media/image73.jpg"/><Relationship Id="rId227" Type="http://schemas.openxmlformats.org/officeDocument/2006/relationships/hyperlink" Target="https://rae-org.ru/library/recommendations" TargetMode="External"/><Relationship Id="rId269" Type="http://schemas.openxmlformats.org/officeDocument/2006/relationships/hyperlink" Target="https://www.cancer.gov/types/lung/hp/lung-prevention-pdq" TargetMode="External"/><Relationship Id="rId129" Type="http://schemas.openxmlformats.org/officeDocument/2006/relationships/image" Target="media/image55.jpg"/><Relationship Id="rId280" Type="http://schemas.openxmlformats.org/officeDocument/2006/relationships/hyperlink" Target="https://www.nccn.org/professionals/physician_gls/pdf/colorectal_screening.pdf" TargetMode="External"/><Relationship Id="rId336" Type="http://schemas.openxmlformats.org/officeDocument/2006/relationships/hyperlink" Target="https://www.cancer.gov/types/skin/hp/skin-prevention-pdq" TargetMode="External"/><Relationship Id="rId75" Type="http://schemas.openxmlformats.org/officeDocument/2006/relationships/image" Target="media/image21.jpg"/><Relationship Id="rId140" Type="http://schemas.openxmlformats.org/officeDocument/2006/relationships/image" Target="media/image66.jpg"/><Relationship Id="rId182" Type="http://schemas.openxmlformats.org/officeDocument/2006/relationships/image" Target="media/image84.jpg"/><Relationship Id="rId6" Type="http://schemas.openxmlformats.org/officeDocument/2006/relationships/endnotes" Target="endnotes.xml"/><Relationship Id="rId238" Type="http://schemas.openxmlformats.org/officeDocument/2006/relationships/hyperlink" Target="http://www.euro.who.int/ru/health-topics/disease-prevention/alcohol-use/publications/2017/who-alcohol-brief-intervention-training-manual-for-primary-care-201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117150</Words>
  <Characters>667758</Characters>
  <Application>Microsoft Office Word</Application>
  <DocSecurity>4</DocSecurity>
  <Lines>5564</Lines>
  <Paragraphs>1566</Paragraphs>
  <ScaleCrop>false</ScaleCrop>
  <Company/>
  <LinksUpToDate>false</LinksUpToDate>
  <CharactersWithSpaces>783342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My HTML Page</dc:title>
  <dc:subject/>
  <dc:creator>word</dc:creator>
  <cp:keywords/>
  <cp:lastModifiedBy>word</cp:lastModifiedBy>
  <cp:revision>2</cp:revision>
  <dcterms:created xsi:type="dcterms:W3CDTF">2025-04-11T12:48:00Z</dcterms:created>
  <dcterms:modified xsi:type="dcterms:W3CDTF">2025-04-11T12:48:00Z</dcterms:modified>
</cp:coreProperties>
</file>