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7C0" w:rsidRDefault="00777790">
      <w:pPr>
        <w:spacing w:after="43" w:line="259" w:lineRule="auto"/>
        <w:ind w:firstLine="0"/>
        <w:jc w:val="left"/>
      </w:pPr>
      <w:bookmarkStart w:id="0" w:name="_GoBack"/>
      <w:bookmarkEnd w:id="0"/>
      <w:r>
        <w:t xml:space="preserve">     </w:t>
      </w:r>
    </w:p>
    <w:p w:rsidR="000C77C0" w:rsidRDefault="00777790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УТВЕРЖДАЮ</w:t>
      </w:r>
    </w:p>
    <w:p w:rsidR="000C77C0" w:rsidRDefault="00777790">
      <w:pPr>
        <w:spacing w:after="0" w:line="216" w:lineRule="auto"/>
        <w:ind w:left="6872" w:right="-15" w:hanging="40"/>
        <w:jc w:val="left"/>
      </w:pPr>
      <w:r>
        <w:rPr>
          <w:b/>
          <w:sz w:val="29"/>
        </w:rPr>
        <w:t>Руководитель Федеральной службы по надзору в сфере защиты прав потребителей и благополучия человека</w:t>
      </w:r>
    </w:p>
    <w:p w:rsidR="000C77C0" w:rsidRDefault="00777790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Г.Г.Онищенко</w:t>
      </w:r>
    </w:p>
    <w:p w:rsidR="000C77C0" w:rsidRDefault="00777790">
      <w:pPr>
        <w:spacing w:after="192" w:line="216" w:lineRule="auto"/>
        <w:ind w:left="8488" w:right="-15" w:hanging="388"/>
        <w:jc w:val="left"/>
      </w:pPr>
      <w:r>
        <w:rPr>
          <w:b/>
          <w:sz w:val="29"/>
        </w:rPr>
        <w:t>18 апреля 2006 года N 0100/4430-06-34</w:t>
      </w:r>
    </w:p>
    <w:p w:rsidR="000C77C0" w:rsidRDefault="00777790">
      <w:pPr>
        <w:spacing w:after="13" w:line="259" w:lineRule="auto"/>
        <w:ind w:firstLine="0"/>
        <w:jc w:val="left"/>
      </w:pPr>
      <w:r>
        <w:t xml:space="preserve">     </w:t>
      </w:r>
    </w:p>
    <w:p w:rsidR="000C77C0" w:rsidRDefault="00777790">
      <w:pPr>
        <w:spacing w:after="169"/>
        <w:ind w:left="10" w:hanging="10"/>
        <w:jc w:val="center"/>
      </w:pPr>
      <w:r>
        <w:rPr>
          <w:b/>
          <w:sz w:val="21"/>
        </w:rPr>
        <w:t>МЕТОДИЧЕСКИЕ РЕКОМЕНДАЦИИ</w:t>
      </w:r>
    </w:p>
    <w:p w:rsidR="000C77C0" w:rsidRDefault="00777790">
      <w:pPr>
        <w:spacing w:after="28" w:line="259" w:lineRule="auto"/>
        <w:ind w:firstLine="0"/>
        <w:jc w:val="left"/>
      </w:pPr>
      <w:r>
        <w:t xml:space="preserve">     </w:t>
      </w:r>
    </w:p>
    <w:p w:rsidR="000C77C0" w:rsidRDefault="00777790">
      <w:pPr>
        <w:spacing w:after="169"/>
        <w:ind w:left="10" w:hanging="10"/>
        <w:jc w:val="center"/>
      </w:pPr>
      <w:r>
        <w:rPr>
          <w:b/>
          <w:sz w:val="21"/>
        </w:rPr>
        <w:t>ВЫДЕЛЕНИЕ ВИРУСОВ ГРИППА В КЛЕТОЧНЫХ КУЛЬТУРАХ И КУРИНЫХ ЭМБРИОНАХ И ИХ ИДЕНТИФИКАЦИЯ</w:t>
      </w:r>
    </w:p>
    <w:p w:rsidR="000C77C0" w:rsidRDefault="00777790">
      <w:pPr>
        <w:spacing w:after="13" w:line="259" w:lineRule="auto"/>
        <w:ind w:firstLine="0"/>
        <w:jc w:val="left"/>
      </w:pPr>
      <w:r>
        <w:t xml:space="preserve">     </w:t>
      </w:r>
    </w:p>
    <w:p w:rsidR="000C77C0" w:rsidRDefault="00777790">
      <w:pPr>
        <w:pStyle w:val="Heading1"/>
        <w:spacing w:after="184"/>
      </w:pPr>
      <w:r>
        <w:t>АННОТАЦИЯ</w:t>
      </w:r>
    </w:p>
    <w:p w:rsidR="000C77C0" w:rsidRDefault="00777790">
      <w:pPr>
        <w:ind w:left="-15"/>
      </w:pPr>
      <w:r>
        <w:t>Метод выделения вирусов гриппа человека и животных, включая высоко патогенные штаммы вирусов гриппа птиц, в клеточных культурах является высоко чувствител</w:t>
      </w:r>
      <w:r>
        <w:t>ьным тестом при использовании клинических образцов высокого качества.</w:t>
      </w:r>
    </w:p>
    <w:p w:rsidR="000C77C0" w:rsidRDefault="00777790">
      <w:pPr>
        <w:ind w:left="-15"/>
      </w:pPr>
      <w:r>
        <w:t>Предназначен для вирусологов, микробиологов, эпидемиологов. Его использование позволяет, в первую очередь, значительно повысить эффективность изоляции эпидемических штаммов из клинически</w:t>
      </w:r>
      <w:r>
        <w:t>х материалов (смывы, аспираты, секционный материал), а также расширить число выделяемых возбудителей с составлением более полной картины о природе вирусных популяций, циркулирующих среди людей, что необходимо для более полного понимания закономерностей рас</w:t>
      </w:r>
      <w:r>
        <w:t>пространения и эволюции возбудителей, прогнозирования эпидемий, а также быстрого распознавания появления нового пандемического вируса гриппа типа А.</w:t>
      </w:r>
    </w:p>
    <w:p w:rsidR="000C77C0" w:rsidRDefault="00777790">
      <w:pPr>
        <w:ind w:left="-15"/>
      </w:pPr>
      <w:r>
        <w:t>Методические рекомендации подготовлены проф., д.м.н.А.А.Сомининой и к.м.н.Е.И.Бурцевой (при участии специал</w:t>
      </w:r>
      <w:r>
        <w:t>истов ГУ НИИ гриппа РАМН Т.Г.Лобовой, Н.И.Коноваловой, Т.М.Гудковой, к.б.н.О.М.Литвиновой, а также специалистов ГУ НИИ вирусологии РАМН проф., д.м.н.А.Н.Слепушкина и д.б.н.В.Т.Ивановой).</w:t>
      </w:r>
    </w:p>
    <w:p w:rsidR="000C77C0" w:rsidRDefault="00777790">
      <w:pPr>
        <w:ind w:left="-15"/>
      </w:pPr>
      <w:r>
        <w:t>При подготовке настоящих Методических рекомендаций были использованы инструктивные материалы, разработанные WHO Collaborating Center for Surveillance, Epidemiology and Control of Influenza (CDC, Atlanta, USA), за предоставление которых авторы выражают свою</w:t>
      </w:r>
      <w:r>
        <w:t xml:space="preserve"> искреннюю благодарность.</w:t>
      </w:r>
    </w:p>
    <w:p w:rsidR="000C77C0" w:rsidRDefault="00777790">
      <w:pPr>
        <w:pStyle w:val="Heading1"/>
      </w:pPr>
      <w:r>
        <w:t>1. ВВЕДЕНИЕ</w:t>
      </w:r>
    </w:p>
    <w:p w:rsidR="000C77C0" w:rsidRDefault="00777790">
      <w:pPr>
        <w:spacing w:after="218"/>
        <w:ind w:left="-15"/>
      </w:pPr>
      <w:r>
        <w:t>Важным преимуществом метода изоляции перед другими тестами является получение инфекционного вируса, который может быть далее использован для антигенного и генетического анализа, а также выяснения таких важнейших свойст</w:t>
      </w:r>
      <w:r>
        <w:t>в возбудителя, как чувствительность к химиопрепаратам, неспецифическим ингибиторам, тропизм к разным системам хозяина и др. Ряд факторов (трудоемкость, необходимость использования высоко чувствительных клеточных линий, длительность анализа, высокая стоимос</w:t>
      </w:r>
      <w:r>
        <w:t>ть) ограничивает использование метода выделения вирусов гриппа в качестве диагностического теста. В прошлые годы для этих целей, как правило, использовали куриные эмбрионы, однако изменение тропизма современных вирусов с резким снижением частоты изоляции в</w:t>
      </w:r>
      <w:r>
        <w:t xml:space="preserve"> них возбудителей гриппа обусловило необходимость широкого лабораторного применения клеточных культур. Одной из таких линий, которая была рекомендована экспертами ВОЗ, является перевиваемая культура клеток, полученная из почек собаки породы спаниель - MDCK</w:t>
      </w:r>
      <w:r>
        <w:t>. Вместе с тем, поскольку кандидаты в вакцинные штаммы должны быть изолированы на куриных эмбрионах, лабораториям, располагающим такими возможностями рекомендуется использовать для выделения вирусов гриппа обе системы. В любом случае исходные клинические м</w:t>
      </w:r>
      <w:r>
        <w:t xml:space="preserve">атериалы необходимо хранить до начала следующего эпидемического сезона при низкой температуре (-70°С) для обеспечения </w:t>
      </w:r>
      <w:r>
        <w:lastRenderedPageBreak/>
        <w:t>возможностей выделения наиболее перспективных в антигеном отношении штаммов в куриных эмбрионах в специализированных лабораториях научно-и</w:t>
      </w:r>
      <w:r>
        <w:t>сследовательских институтов.</w:t>
      </w:r>
    </w:p>
    <w:p w:rsidR="000C77C0" w:rsidRDefault="00777790">
      <w:pPr>
        <w:spacing w:after="0" w:line="259" w:lineRule="auto"/>
        <w:ind w:firstLine="0"/>
        <w:jc w:val="left"/>
      </w:pPr>
      <w:r>
        <w:t xml:space="preserve">     </w:t>
      </w:r>
    </w:p>
    <w:p w:rsidR="000C77C0" w:rsidRDefault="00777790">
      <w:pPr>
        <w:pStyle w:val="Heading1"/>
        <w:spacing w:after="184"/>
      </w:pPr>
      <w:r>
        <w:t>2. ОПИСАНИЕ МЕТОДА</w:t>
      </w:r>
    </w:p>
    <w:p w:rsidR="000C77C0" w:rsidRDefault="00777790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0C77C0" w:rsidRDefault="00777790">
      <w:pPr>
        <w:spacing w:after="13" w:line="259" w:lineRule="auto"/>
        <w:ind w:firstLine="0"/>
        <w:jc w:val="left"/>
      </w:pPr>
      <w:r>
        <w:t xml:space="preserve">     </w:t>
      </w:r>
    </w:p>
    <w:p w:rsidR="000C77C0" w:rsidRDefault="00777790">
      <w:pPr>
        <w:pStyle w:val="Heading2"/>
        <w:spacing w:after="169"/>
      </w:pPr>
      <w:r>
        <w:t>2.1. ФОРМУЛА МЕТОДА</w:t>
      </w:r>
    </w:p>
    <w:p w:rsidR="000C77C0" w:rsidRDefault="00777790">
      <w:pPr>
        <w:ind w:left="-15"/>
      </w:pPr>
      <w:r>
        <w:t xml:space="preserve">Суть метода заключается в заражении сформированного монослоя клеток MDCK, характеризующихся наиболее высокой чувствительностью к современным вирусам гриппа, клиническими </w:t>
      </w:r>
      <w:r>
        <w:t xml:space="preserve">материалами, полученными от больных гриппоподобными заболеваниями. Инфицированные культуры инкубируют в термостате при 37°С, контролируя под микроскопом состояние монослоя, а также периодически определяют наличие гемагглютининов в культуральной среде. При </w:t>
      </w:r>
      <w:r>
        <w:t xml:space="preserve">развитии специфического цитопатического действия, проявляющегося в разрушении монослоя, культуральную жидкость используют для типирования вирусного изолята в реакции торможения гемагглютинирущей активности (РТГА), а также осуществляют последующий пассаж в </w:t>
      </w:r>
      <w:r>
        <w:t>целях накопления вируса, который затем направляют в холодовом режиме в соответствующие Центры по гриппу (Федеральный центр по гриппу и ОРВИ на базе ГУ НИИ гриппа РАМН или Центр экологии и эпидемиологии гриппа на базе ГУ Института вирусологии им.ДИ.Ивановск</w:t>
      </w:r>
      <w:r>
        <w:t>ого РАМН) для последующей идентификации и изучения особенностей антигенной структуры возбудителя.</w:t>
      </w:r>
    </w:p>
    <w:p w:rsidR="000C77C0" w:rsidRDefault="00777790">
      <w:pPr>
        <w:ind w:left="-1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285870</wp:posOffset>
                </wp:positionH>
                <wp:positionV relativeFrom="page">
                  <wp:posOffset>9979668</wp:posOffset>
                </wp:positionV>
                <wp:extent cx="4725204" cy="1"/>
                <wp:effectExtent l="0" t="0" r="0" b="0"/>
                <wp:wrapTopAndBottom/>
                <wp:docPr id="17215" name="Group 17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5204" cy="1"/>
                          <a:chOff x="0" y="0"/>
                          <a:chExt cx="4725204" cy="1"/>
                        </a:xfrm>
                      </wpg:grpSpPr>
                      <wps:wsp>
                        <wps:cNvPr id="18926" name="Shape 18926"/>
                        <wps:cNvSpPr/>
                        <wps:spPr>
                          <a:xfrm>
                            <a:off x="0" y="0"/>
                            <a:ext cx="35530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3060" h="9144">
                                <a:moveTo>
                                  <a:pt x="0" y="0"/>
                                </a:moveTo>
                                <a:lnTo>
                                  <a:pt x="3553060" y="0"/>
                                </a:lnTo>
                                <a:lnTo>
                                  <a:pt x="35530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27" name="Shape 18927"/>
                        <wps:cNvSpPr/>
                        <wps:spPr>
                          <a:xfrm>
                            <a:off x="3543903" y="0"/>
                            <a:ext cx="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8" h="9144">
                                <a:moveTo>
                                  <a:pt x="0" y="0"/>
                                </a:moveTo>
                                <a:lnTo>
                                  <a:pt x="9158" y="0"/>
                                </a:lnTo>
                                <a:lnTo>
                                  <a:pt x="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28" name="Shape 18928"/>
                        <wps:cNvSpPr/>
                        <wps:spPr>
                          <a:xfrm>
                            <a:off x="3553060" y="0"/>
                            <a:ext cx="1172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2144" h="9144">
                                <a:moveTo>
                                  <a:pt x="0" y="0"/>
                                </a:moveTo>
                                <a:lnTo>
                                  <a:pt x="1172144" y="0"/>
                                </a:lnTo>
                                <a:lnTo>
                                  <a:pt x="1172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29" name="Shape 18929"/>
                        <wps:cNvSpPr/>
                        <wps:spPr>
                          <a:xfrm>
                            <a:off x="4716046" y="0"/>
                            <a:ext cx="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8" h="9144">
                                <a:moveTo>
                                  <a:pt x="0" y="0"/>
                                </a:moveTo>
                                <a:lnTo>
                                  <a:pt x="9158" y="0"/>
                                </a:lnTo>
                                <a:lnTo>
                                  <a:pt x="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15" style="width:372.063pt;height:6.10352e-05pt;position:absolute;mso-position-horizontal-relative:page;mso-position-horizontal:absolute;margin-left:22.5095pt;mso-position-vertical-relative:page;margin-top:785.801pt;" coordsize="47252,0">
                <v:shape id="Shape 18930" style="position:absolute;width:35530;height:91;left:0;top:0;" coordsize="3553060,9144" path="m0,0l3553060,0l3553060,9144l0,9144l0,0">
                  <v:stroke weight="0pt" endcap="flat" joinstyle="miter" miterlimit="10" on="false" color="#000000" opacity="0"/>
                  <v:fill on="true" color="#000000"/>
                </v:shape>
                <v:shape id="Shape 18931" style="position:absolute;width:91;height:91;left:35439;top:0;" coordsize="9158,9144" path="m0,0l9158,0l9158,9144l0,9144l0,0">
                  <v:stroke weight="0pt" endcap="flat" joinstyle="miter" miterlimit="10" on="false" color="#000000" opacity="0"/>
                  <v:fill on="true" color="#000000"/>
                </v:shape>
                <v:shape id="Shape 18932" style="position:absolute;width:11721;height:91;left:35530;top:0;" coordsize="1172144,9144" path="m0,0l1172144,0l1172144,9144l0,9144l0,0">
                  <v:stroke weight="0pt" endcap="flat" joinstyle="miter" miterlimit="10" on="false" color="#000000" opacity="0"/>
                  <v:fill on="true" color="#000000"/>
                </v:shape>
                <v:shape id="Shape 18933" style="position:absolute;width:91;height:91;left:47160;top:0;" coordsize="9158,9144" path="m0,0l9158,0l9158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Непременным условием успешного выделения вирусов являются правильный сбор клинических материалов, соответствующий состав транспортных сред, соблюдение услови</w:t>
      </w:r>
      <w:r>
        <w:t>й доставки материалов в лабораторию (на холоду и в кратчайшие сроки) и безотлагательное заражение заранее подготовленных клеточных культур.</w:t>
      </w:r>
    </w:p>
    <w:p w:rsidR="000C77C0" w:rsidRDefault="00777790">
      <w:pPr>
        <w:pStyle w:val="Heading2"/>
      </w:pPr>
      <w:r>
        <w:t>2.2. ПОКАЗАНИЯ И ПРОТИВОПОКАЗАНИЯ К ПРИМЕНЕНИЮ МЕТОДА</w:t>
      </w:r>
    </w:p>
    <w:p w:rsidR="000C77C0" w:rsidRDefault="00777790">
      <w:pPr>
        <w:ind w:left="-15"/>
      </w:pPr>
      <w:r>
        <w:t>Показанием к применению метода является рост гриппа и острых р</w:t>
      </w:r>
      <w:r>
        <w:t>еспираторно-вирусных заболеваний, регистрация вспышек гриппа среди людей, а также среди птиц, обследование контактных лиц из групп риска в случае появления у них симптомов гриппа. Противопоказания к использованию метода отсутствуют.</w:t>
      </w:r>
    </w:p>
    <w:p w:rsidR="000C77C0" w:rsidRDefault="00777790">
      <w:pPr>
        <w:pStyle w:val="Heading2"/>
      </w:pPr>
      <w:r>
        <w:t>2.3. МАТЕРИАЛЬНО-ТЕХНИЧ</w:t>
      </w:r>
      <w:r>
        <w:t>ЕСКОЕ ОБЕСПЕЧЕНИЕ</w:t>
      </w:r>
    </w:p>
    <w:p w:rsidR="000C77C0" w:rsidRDefault="00777790">
      <w:pPr>
        <w:ind w:left="-15"/>
      </w:pPr>
      <w:r>
        <w:t>Для выполнения работ по изоляции вирусов гриппа в клеточной культуре MDCK необходимо иметь 2 набора реагентов, один из которых предназначен для субкультивирования клеток, а второй - непосредственно для работ по выделению вирусов из матери</w:t>
      </w:r>
      <w:r>
        <w:t>алов от больных.</w:t>
      </w:r>
    </w:p>
    <w:p w:rsidR="000C77C0" w:rsidRDefault="00777790">
      <w:pPr>
        <w:spacing w:after="0" w:line="259" w:lineRule="auto"/>
        <w:ind w:left="148" w:right="238" w:hanging="10"/>
        <w:jc w:val="center"/>
      </w:pPr>
      <w:r>
        <w:t>2.3.1. Перечень материалов, необходимых для субкультивирования клеток MDCK (из расчета на 10 пассажей):</w:t>
      </w:r>
    </w:p>
    <w:tbl>
      <w:tblPr>
        <w:tblStyle w:val="TableGrid"/>
        <w:tblW w:w="7427" w:type="dxa"/>
        <w:tblInd w:w="7" w:type="dxa"/>
        <w:tblCellMar>
          <w:top w:w="61" w:type="dxa"/>
          <w:left w:w="1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581"/>
        <w:gridCol w:w="1846"/>
      </w:tblGrid>
      <w:tr w:rsidR="000C77C0">
        <w:trPr>
          <w:trHeight w:val="540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right="47" w:firstLine="0"/>
              <w:jc w:val="left"/>
            </w:pPr>
            <w:r>
              <w:t>Клеточная культура MDCK (7 млн.) в монослое, выращенном во флаконе Т 25*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 шт</w:t>
            </w:r>
          </w:p>
        </w:tc>
      </w:tr>
      <w:tr w:rsidR="000C77C0">
        <w:trPr>
          <w:trHeight w:val="765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  <w:tc>
          <w:tcPr>
            <w:tcW w:w="18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7C0" w:rsidRDefault="000C77C0">
            <w:pPr>
              <w:spacing w:after="160" w:line="259" w:lineRule="auto"/>
              <w:ind w:firstLine="0"/>
              <w:jc w:val="left"/>
            </w:pPr>
          </w:p>
        </w:tc>
      </w:tr>
      <w:tr w:rsidR="000C77C0">
        <w:trPr>
          <w:trHeight w:val="1276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Модифицированная среда Игла D-MEM, "GIBCO BRL", (США), кат. N 11965-092, производитель - "Биолот" (СанктПетербург) или среда Игла MEM с двойным набором аминокислот (Предприятие при ГУ НИИ полиомиелита и вирусных энцефалитов РАМН, Москва) ФС 42-94 ВС-88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- 2</w:t>
            </w:r>
            <w:r>
              <w:t>40 мл</w:t>
            </w:r>
          </w:p>
        </w:tc>
      </w:tr>
      <w:tr w:rsidR="000C77C0">
        <w:trPr>
          <w:trHeight w:val="525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Альбумин бычий, фракция V, 7,5% раствор), "Sigma" (США), кат. N А8412 или "GIBCO BRL", США, кат. N 15260-011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- 7,0 мл</w:t>
            </w:r>
          </w:p>
        </w:tc>
      </w:tr>
      <w:tr w:rsidR="000C77C0">
        <w:trPr>
          <w:trHeight w:val="540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HEPES - буфер 1М раствор, рН 7,2, "Sigma" (СШA), кат. N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Н0887 или "GIBCO BRL", США, кат. N 15630-023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- 7,0 мл</w:t>
            </w:r>
          </w:p>
        </w:tc>
      </w:tr>
      <w:tr w:rsidR="000C77C0">
        <w:trPr>
          <w:trHeight w:val="525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Эмбриональная сыворотка КРС, "Sigma" (США), кат. N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F3018 или Ну Clone Lab.Inc, кат. N A-1111-L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- 12 мл</w:t>
            </w:r>
          </w:p>
        </w:tc>
      </w:tr>
      <w:tr w:rsidR="000C77C0">
        <w:trPr>
          <w:trHeight w:val="1020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right="5" w:firstLine="0"/>
              <w:jc w:val="left"/>
            </w:pPr>
            <w:r>
              <w:t>Раствор для отторжения клеточной культуры (0,05% трипсин в смеси с 0,53 мМ раствором EDTA .4Na) "GIBCO BRL", США, кат. N 25300-054 или раствор химопсина (0,125 мг/мл) на 0,53 мМ растворе версена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- 100 мл</w:t>
            </w:r>
          </w:p>
        </w:tc>
      </w:tr>
      <w:tr w:rsidR="000C77C0">
        <w:trPr>
          <w:trHeight w:val="285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Пенициллин, ОАО "Красфарма", ГФХ ст.95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- 500 тыс.ед.</w:t>
            </w:r>
          </w:p>
        </w:tc>
      </w:tr>
      <w:tr w:rsidR="000C77C0">
        <w:trPr>
          <w:trHeight w:val="285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Стрептомицин, ОАО "Биохимик", ГФХ стр.636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- 0,5 г.</w:t>
            </w:r>
          </w:p>
        </w:tc>
      </w:tr>
      <w:tr w:rsidR="000C77C0">
        <w:trPr>
          <w:trHeight w:val="540"/>
        </w:trPr>
        <w:tc>
          <w:tcPr>
            <w:tcW w:w="5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Флакон для культивирования клеток Т 25, "Sarstedt"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(Германия), кат. N 7245082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- 10 шт</w:t>
            </w:r>
          </w:p>
        </w:tc>
      </w:tr>
    </w:tbl>
    <w:p w:rsidR="000C77C0" w:rsidRDefault="00777790">
      <w:pPr>
        <w:ind w:left="-15"/>
      </w:pPr>
      <w:r>
        <w:t>Примечание: набор может храниться при +4°С в течение 6 месяцев (за исключением клеточной культуры MDCK, которая подлежит непрерывному субкультивированию, но не более 10-20 пассажей, после чего ее чувствительность понижается, что определяет необходимость ее</w:t>
      </w:r>
      <w:r>
        <w:t xml:space="preserve"> повторного восстановления из криобанка). Культура получена из CDC, Atlanta (USA), хранится в Коллекциях клеточных культур при ГУ НИИ гриппа РАМН и ГУ Институт вирусологии им Д.И.Ивановского РАМН.</w:t>
      </w:r>
    </w:p>
    <w:p w:rsidR="000C77C0" w:rsidRDefault="00777790">
      <w:pPr>
        <w:ind w:left="390" w:firstLine="0"/>
      </w:pPr>
      <w:r>
        <w:t>2.3.2. Перечень материалов, необходимых для изоляции вирусо</w:t>
      </w:r>
      <w:r>
        <w:t>в гриппа (рассчитан на проведение 100 анализов): А. Транспортная среда (для получения и доставки клинических материалов):</w:t>
      </w:r>
    </w:p>
    <w:tbl>
      <w:tblPr>
        <w:tblStyle w:val="TableGrid"/>
        <w:tblW w:w="7571" w:type="dxa"/>
        <w:tblInd w:w="7" w:type="dxa"/>
        <w:tblCellMar>
          <w:top w:w="61" w:type="dxa"/>
          <w:left w:w="11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172"/>
        <w:gridCol w:w="1399"/>
      </w:tblGrid>
      <w:tr w:rsidR="000C77C0">
        <w:trPr>
          <w:trHeight w:val="780"/>
        </w:trPr>
        <w:tc>
          <w:tcPr>
            <w:tcW w:w="6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Среда 199 на растворе Хенкса, "Биолот" (Санкт-Петербург) или</w:t>
            </w:r>
          </w:p>
          <w:p w:rsidR="000C77C0" w:rsidRDefault="00777790">
            <w:pPr>
              <w:spacing w:after="13" w:line="259" w:lineRule="auto"/>
              <w:ind w:left="7" w:firstLine="0"/>
              <w:jc w:val="left"/>
            </w:pPr>
            <w:r>
              <w:t>Предприятие при ГУ НИИ полиомиелита и вирусных энцефалитов</w:t>
            </w:r>
          </w:p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(Москва)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- 200</w:t>
            </w:r>
            <w:r>
              <w:t xml:space="preserve"> мл</w:t>
            </w:r>
          </w:p>
        </w:tc>
      </w:tr>
      <w:tr w:rsidR="000C77C0">
        <w:trPr>
          <w:trHeight w:val="525"/>
        </w:trPr>
        <w:tc>
          <w:tcPr>
            <w:tcW w:w="6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Альбумин бычий, V фракция (7,5% раствор), "Sigma" (США), кат. N</w:t>
            </w:r>
          </w:p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А8412 или "GIBCO BRL", США, кат. N 15260-011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-13,5 мл</w:t>
            </w:r>
          </w:p>
        </w:tc>
      </w:tr>
      <w:tr w:rsidR="000C77C0">
        <w:trPr>
          <w:trHeight w:val="540"/>
        </w:trPr>
        <w:tc>
          <w:tcPr>
            <w:tcW w:w="6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HEPES - буфер 1М раствор, рН 7,2, "Sigma"(CLUA), кат. N Н0887 или "GIBCO BRL", США, кат. N 15630-023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- 5 мл</w:t>
            </w:r>
          </w:p>
        </w:tc>
      </w:tr>
      <w:tr w:rsidR="000C77C0">
        <w:trPr>
          <w:trHeight w:val="285"/>
        </w:trPr>
        <w:tc>
          <w:tcPr>
            <w:tcW w:w="6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Гентамицин "ХИНОИН", Венгрия, кат. N АТС: JOIGB03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- 1 амп.</w:t>
            </w:r>
          </w:p>
        </w:tc>
      </w:tr>
      <w:tr w:rsidR="000C77C0">
        <w:trPr>
          <w:trHeight w:val="285"/>
        </w:trPr>
        <w:tc>
          <w:tcPr>
            <w:tcW w:w="6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Тампоны стерильные для взятия мазков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- 100 шт</w:t>
            </w:r>
          </w:p>
        </w:tc>
      </w:tr>
    </w:tbl>
    <w:p w:rsidR="000C77C0" w:rsidRDefault="00777790">
      <w:pPr>
        <w:ind w:left="390" w:firstLine="0"/>
      </w:pPr>
      <w:r>
        <w:t>Б. Растворы для культивирования клеток (10 пассажей) и выделения вирусов (100 анализов):</w:t>
      </w:r>
    </w:p>
    <w:tbl>
      <w:tblPr>
        <w:tblStyle w:val="TableGrid"/>
        <w:tblW w:w="7715" w:type="dxa"/>
        <w:tblInd w:w="7" w:type="dxa"/>
        <w:tblCellMar>
          <w:top w:w="61" w:type="dxa"/>
          <w:left w:w="1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014"/>
        <w:gridCol w:w="1702"/>
      </w:tblGrid>
      <w:tr w:rsidR="000C77C0">
        <w:trPr>
          <w:trHeight w:val="54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Среда Игла в модификации Дальбекко (DMEM) или среда Игла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MEM с двойным набором аминокислот *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- 450 мл</w:t>
            </w:r>
          </w:p>
        </w:tc>
      </w:tr>
      <w:tr w:rsidR="000C77C0">
        <w:trPr>
          <w:trHeight w:val="765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30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Эмбриональная сыворотка КРС*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- 12,5 мл</w:t>
            </w:r>
          </w:p>
        </w:tc>
      </w:tr>
      <w:tr w:rsidR="000C77C0">
        <w:trPr>
          <w:trHeight w:val="765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54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13" w:line="259" w:lineRule="auto"/>
              <w:ind w:firstLine="0"/>
              <w:jc w:val="left"/>
            </w:pPr>
            <w:r>
              <w:t>Альбумин бычий, фракция V, 7,5% раствор), "Sigma" (США), кат.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N А8412 или "GIBCO BRL", США, кат. N 15260-011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- 12,5 мл</w:t>
            </w:r>
          </w:p>
        </w:tc>
      </w:tr>
      <w:tr w:rsidR="000C77C0">
        <w:trPr>
          <w:trHeight w:val="525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Трипсин ТРСК, тип XIII, "Sigma", США, кат.N Т1426 (расфасован по 200 мкг/амп.)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- 2 ампулы</w:t>
            </w:r>
          </w:p>
        </w:tc>
      </w:tr>
      <w:tr w:rsidR="000C77C0">
        <w:trPr>
          <w:trHeight w:val="30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Раствор для отторжения клеточной культуры*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- 100 мл</w:t>
            </w:r>
          </w:p>
        </w:tc>
      </w:tr>
      <w:tr w:rsidR="000C77C0">
        <w:trPr>
          <w:trHeight w:val="765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54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HEPES - буфер 1М раствор, рН 7,2, "Sigma"(CUIA), кат. N Н0887 или "GIBCO BRL", США, кат. N 15630-023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- 12,5 мл</w:t>
            </w:r>
          </w:p>
        </w:tc>
      </w:tr>
      <w:tr w:rsidR="000C77C0">
        <w:trPr>
          <w:trHeight w:val="285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Пенициллин* 500 ед.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 флакон</w:t>
            </w:r>
          </w:p>
        </w:tc>
      </w:tr>
      <w:tr w:rsidR="000C77C0">
        <w:trPr>
          <w:trHeight w:val="743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263"/>
        </w:trPr>
        <w:tc>
          <w:tcPr>
            <w:tcW w:w="77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0C77C0">
            <w:pPr>
              <w:spacing w:after="160" w:line="259" w:lineRule="auto"/>
              <w:ind w:firstLine="0"/>
              <w:jc w:val="left"/>
            </w:pPr>
          </w:p>
        </w:tc>
      </w:tr>
      <w:tr w:rsidR="000C77C0">
        <w:trPr>
          <w:trHeight w:val="30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Стрептомицин* 0,5 г.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 флакон</w:t>
            </w:r>
          </w:p>
        </w:tc>
      </w:tr>
      <w:tr w:rsidR="000C77C0">
        <w:trPr>
          <w:trHeight w:val="765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54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13" w:line="259" w:lineRule="auto"/>
              <w:ind w:firstLine="0"/>
              <w:jc w:val="left"/>
            </w:pPr>
            <w:hyperlink r:id="rId7" w:anchor="7D20K3">
              <w:r>
                <w:t xml:space="preserve">Дистиллированная вода (для растворения трипсина ТРСК), </w:t>
              </w:r>
            </w:hyperlink>
            <w:hyperlink r:id="rId8" w:anchor="7D20K3">
              <w:r>
                <w:rPr>
                  <w:color w:val="0000EE"/>
                  <w:u w:val="single" w:color="0000EE"/>
                </w:rPr>
                <w:t>ГОСТ</w:t>
              </w:r>
            </w:hyperlink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hyperlink r:id="rId9" w:anchor="7D20K3">
              <w:r>
                <w:rPr>
                  <w:color w:val="0000EE"/>
                  <w:u w:val="single" w:color="0000EE"/>
                </w:rPr>
                <w:t>6709-72</w:t>
              </w:r>
            </w:hyperlink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- 5 мл.</w:t>
            </w:r>
          </w:p>
        </w:tc>
      </w:tr>
      <w:tr w:rsidR="000C77C0">
        <w:trPr>
          <w:trHeight w:val="285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Глицерин АО "Каустик" ГОСТ 6259-75 кв "Z"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- 2 мл.</w:t>
            </w:r>
          </w:p>
        </w:tc>
      </w:tr>
      <w:tr w:rsidR="000C77C0">
        <w:trPr>
          <w:trHeight w:val="54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В. Клеточная культура MDCK* (в монослое, флакон Т25, 7 млн.клеток)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 матрас</w:t>
            </w:r>
          </w:p>
        </w:tc>
      </w:tr>
      <w:tr w:rsidR="000C77C0">
        <w:trPr>
          <w:trHeight w:val="765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300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Среда Игла с сывороткой для транспортирования клеток*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- 50 мл.</w:t>
            </w:r>
          </w:p>
        </w:tc>
      </w:tr>
      <w:tr w:rsidR="000C77C0">
        <w:trPr>
          <w:trHeight w:val="285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Флакон культуральный Т25*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- 10 шт</w:t>
            </w:r>
          </w:p>
        </w:tc>
      </w:tr>
      <w:tr w:rsidR="000C77C0">
        <w:trPr>
          <w:trHeight w:val="780"/>
        </w:trPr>
        <w:tc>
          <w:tcPr>
            <w:tcW w:w="7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_______________</w:t>
            </w:r>
          </w:p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 xml:space="preserve">     * - как указано выше</w:t>
            </w:r>
          </w:p>
        </w:tc>
      </w:tr>
      <w:tr w:rsidR="000C77C0">
        <w:trPr>
          <w:trHeight w:val="525"/>
        </w:trPr>
        <w:tc>
          <w:tcPr>
            <w:tcW w:w="6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firstLine="0"/>
              <w:jc w:val="left"/>
            </w:pPr>
            <w:r>
              <w:t>Насадка фильтрующая шприцевая GyroDisc, размер пор 0,2 мкм, "Биолот"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7C0" w:rsidRDefault="00777790">
            <w:pPr>
              <w:spacing w:after="0" w:line="259" w:lineRule="auto"/>
              <w:ind w:left="7" w:firstLine="0"/>
              <w:jc w:val="left"/>
            </w:pPr>
            <w:r>
              <w:t>- 10 шт</w:t>
            </w:r>
          </w:p>
        </w:tc>
      </w:tr>
    </w:tbl>
    <w:p w:rsidR="000C77C0" w:rsidRDefault="00777790">
      <w:pPr>
        <w:ind w:left="-15"/>
      </w:pPr>
      <w:r>
        <w:t>Примечание: Набор хранится при +4°С в течение 6 мес. После растворения трипсин ТРСК и антибиотики хранить при температуре не выше -20°С, а остальные компоненты набора - при 4°С.</w:t>
      </w:r>
    </w:p>
    <w:p w:rsidR="000C77C0" w:rsidRDefault="00777790">
      <w:pPr>
        <w:ind w:left="-15"/>
      </w:pPr>
      <w:r>
        <w:t>2.3.3. Материалы и оборудование для постановки реакции гемагглютинации и тормо</w:t>
      </w:r>
      <w:r>
        <w:t>жения гемагглютинации в целях индикации и идентификации выделенных вирусов:</w:t>
      </w:r>
    </w:p>
    <w:p w:rsidR="000C77C0" w:rsidRDefault="00777790">
      <w:pPr>
        <w:ind w:left="390" w:firstLine="0"/>
      </w:pPr>
      <w:r>
        <w:t>Планшеты круглодонные для иммунологических реакций, "Медполимер", ТУ 64-2-278-79</w:t>
      </w:r>
    </w:p>
    <w:p w:rsidR="000C77C0" w:rsidRDefault="00777790">
      <w:pPr>
        <w:ind w:left="390" w:firstLine="0"/>
      </w:pPr>
      <w:r>
        <w:t>Дозатор 8-канальный с переменным объемом 5-50 мкл, "Ленпипет", кат. N 4173202</w:t>
      </w:r>
    </w:p>
    <w:p w:rsidR="000C77C0" w:rsidRDefault="00777790">
      <w:pPr>
        <w:ind w:left="390" w:firstLine="0"/>
      </w:pPr>
      <w:r>
        <w:t>Автоматическая пипетк</w:t>
      </w:r>
      <w:r>
        <w:t>а с переменным объемом 5-50 мкл</w:t>
      </w:r>
    </w:p>
    <w:p w:rsidR="000C77C0" w:rsidRDefault="00777790">
      <w:pPr>
        <w:ind w:left="390" w:firstLine="0"/>
      </w:pPr>
      <w:r>
        <w:t>Наконечники для автоматических пипеток до 200 или 250 мкл</w:t>
      </w:r>
    </w:p>
    <w:p w:rsidR="000C77C0" w:rsidRDefault="00777790">
      <w:pPr>
        <w:ind w:left="390" w:firstLine="0"/>
      </w:pPr>
      <w:r>
        <w:t>Пипетки 10,0 мл; 5,0 мл и 1,0 мл</w:t>
      </w:r>
    </w:p>
    <w:p w:rsidR="000C77C0" w:rsidRDefault="00777790">
      <w:pPr>
        <w:ind w:left="390" w:firstLine="0"/>
      </w:pPr>
      <w:r>
        <w:t>Эритроциты человека 0 (I) группы крови, 0.75%</w:t>
      </w:r>
    </w:p>
    <w:p w:rsidR="000C77C0" w:rsidRDefault="00777790">
      <w:pPr>
        <w:ind w:left="390" w:firstLine="0"/>
      </w:pPr>
      <w:r>
        <w:t>Физиологический раствор</w:t>
      </w:r>
    </w:p>
    <w:p w:rsidR="000C77C0" w:rsidRDefault="00777790">
      <w:pPr>
        <w:ind w:left="390" w:firstLine="0"/>
      </w:pPr>
      <w:r>
        <w:t>Фосфатно-солевой буфер</w:t>
      </w:r>
    </w:p>
    <w:p w:rsidR="000C77C0" w:rsidRDefault="00777790">
      <w:pPr>
        <w:ind w:left="390" w:firstLine="0"/>
      </w:pPr>
      <w:r>
        <w:t xml:space="preserve">Вода дистиллированная </w:t>
      </w:r>
      <w:hyperlink r:id="rId10" w:anchor="7D20K3">
        <w:r>
          <w:rPr>
            <w:color w:val="0000EE"/>
            <w:u w:val="single" w:color="0000EE"/>
          </w:rPr>
          <w:t>ГОСТ 6709-72</w:t>
        </w:r>
      </w:hyperlink>
    </w:p>
    <w:p w:rsidR="000C77C0" w:rsidRDefault="00777790">
      <w:pPr>
        <w:ind w:left="-15"/>
      </w:pPr>
      <w:r>
        <w:t>Сыворотки диагностические гриппозные к различным субтипам вируса гриппа А и к вирусу гриппа В, ООО "Предприятие по производству диагностических препаратов" при ГУ НИИ гриппа РАМН, ВФС 42-032</w:t>
      </w:r>
      <w:r>
        <w:t>15509-04</w:t>
      </w:r>
    </w:p>
    <w:p w:rsidR="000C77C0" w:rsidRDefault="00777790">
      <w:pPr>
        <w:spacing w:after="238" w:line="259" w:lineRule="auto"/>
        <w:ind w:left="385" w:hanging="10"/>
        <w:jc w:val="left"/>
      </w:pPr>
      <w:r>
        <w:rPr>
          <w:b/>
        </w:rPr>
        <w:t>2.3.4. Оборудование</w:t>
      </w:r>
    </w:p>
    <w:p w:rsidR="000C77C0" w:rsidRDefault="00777790">
      <w:pPr>
        <w:ind w:left="390" w:firstLine="0"/>
      </w:pPr>
      <w:r>
        <w:t>Бокс ламинарный II уровня защиты Холодильник бытовой (4 ± 1) °С</w:t>
      </w:r>
    </w:p>
    <w:p w:rsidR="000C77C0" w:rsidRDefault="00777790">
      <w:pPr>
        <w:ind w:left="390" w:firstLine="0"/>
      </w:pPr>
      <w:r>
        <w:t>Рефрижератор (-70 ±2)°С</w:t>
      </w:r>
    </w:p>
    <w:p w:rsidR="000C77C0" w:rsidRDefault="00777790">
      <w:pPr>
        <w:spacing w:after="215"/>
        <w:ind w:left="390" w:firstLine="0"/>
      </w:pPr>
      <w:r>
        <w:t>Центрифуга лабораторная (до 3000 об/мин) Термостат (36 ± 1)°С, желательно - CO</w:t>
      </w:r>
      <w:r>
        <w:rPr>
          <w:noProof/>
        </w:rPr>
        <w:drawing>
          <wp:inline distT="0" distB="0" distL="0" distR="0">
            <wp:extent cx="95290" cy="209638"/>
            <wp:effectExtent l="0" t="0" r="0" b="0"/>
            <wp:docPr id="864" name="Picture 8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Picture 8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инкубатор</w:t>
      </w:r>
    </w:p>
    <w:p w:rsidR="000C77C0" w:rsidRDefault="00777790">
      <w:pPr>
        <w:ind w:left="-15"/>
      </w:pPr>
      <w:r>
        <w:t>Микроскоп биологический (МБИ-3) или инвертированный (ЛОМО, Россия или Unico 1 V 900, United Product and Instrum. Inc., США )</w:t>
      </w:r>
    </w:p>
    <w:p w:rsidR="000C77C0" w:rsidRDefault="00777790">
      <w:pPr>
        <w:pStyle w:val="Heading2"/>
      </w:pPr>
      <w:r>
        <w:t>2.4. ОПИСАНИЕ МЕТОДА</w:t>
      </w:r>
    </w:p>
    <w:p w:rsidR="000C77C0" w:rsidRDefault="00777790">
      <w:pPr>
        <w:spacing w:after="196"/>
        <w:ind w:left="-15"/>
      </w:pPr>
      <w:r>
        <w:t>Принцип метода заключается в заражении сформированного в пенициллиновых флаконах (или пробирках) монослоя клет</w:t>
      </w:r>
      <w:r>
        <w:t>ок MDCK клиническими образцами, полученными от больных с симптомами гриппа.</w:t>
      </w:r>
    </w:p>
    <w:p w:rsidR="000C77C0" w:rsidRDefault="00777790">
      <w:pPr>
        <w:spacing w:after="0"/>
        <w:ind w:left="390" w:firstLine="0"/>
      </w:pPr>
      <w:r>
        <w:t>Инфицированные культуры инкубируют при 35-37°С, желательно в инкубаторе с подачей воздуха в смеси 5% СО</w:t>
      </w:r>
      <w:r>
        <w:rPr>
          <w:noProof/>
        </w:rPr>
        <w:drawing>
          <wp:inline distT="0" distB="0" distL="0" distR="0">
            <wp:extent cx="95290" cy="209638"/>
            <wp:effectExtent l="0" t="0" r="0" b="0"/>
            <wp:docPr id="883" name="Picture 8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Picture 88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0C77C0" w:rsidRDefault="00777790">
      <w:pPr>
        <w:spacing w:after="488"/>
        <w:ind w:left="-15" w:firstLine="0"/>
      </w:pPr>
      <w:r>
        <w:t xml:space="preserve">Ежедневно контролируют состояние монослоя. При появлении первых признаков </w:t>
      </w:r>
      <w:r>
        <w:t>размножения вируса вируссодержащую культуральную жидкость исследуют на наличие гемагглютининов в среде, которую используют далее для накопления вируса. Полученные изоляты направляют в холодовом режиме в соответствующие Центры по гриппу. Использование метод</w:t>
      </w:r>
      <w:r>
        <w:t xml:space="preserve">а изоляции вирусов гриппа в клеточной культуре MDCK в дополнение к известному способу выделения вирусов гриппа на куриных эмбрионах позволяет резко расширить диапазон выделяемых возбудителей с составлением наиболее полной картины о структуре циркулирующих </w:t>
      </w:r>
      <w:r>
        <w:t>вирусных популяций, что необходимо для надзора за гриппом, понимания закономерностей эволюции возбудителя и прогнозирования предстоящих эпидемий, а также составления рекомендаций по штаммовому составу вакцин и диагностических препаратов на предстоящий эпид</w:t>
      </w:r>
      <w:r>
        <w:t>емический сезон.</w:t>
      </w:r>
    </w:p>
    <w:p w:rsidR="000C77C0" w:rsidRDefault="00777790">
      <w:pPr>
        <w:spacing w:after="238" w:line="259" w:lineRule="auto"/>
        <w:ind w:left="385" w:hanging="10"/>
        <w:jc w:val="left"/>
      </w:pPr>
      <w:r>
        <w:rPr>
          <w:b/>
        </w:rPr>
        <w:t>2.4.1. Подготовка клеточной культуры, сред и растворов</w:t>
      </w:r>
    </w:p>
    <w:p w:rsidR="000C77C0" w:rsidRDefault="00777790">
      <w:pPr>
        <w:ind w:left="-15"/>
      </w:pPr>
      <w:r>
        <w:t>Питательные среды готовят в требуемых объемах в зависимости от количества исследуемых клинических материалов непосредственно перед употреблением.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Подготовка транспортной среды.</w:t>
      </w:r>
    </w:p>
    <w:p w:rsidR="000C77C0" w:rsidRDefault="00777790">
      <w:pPr>
        <w:ind w:left="-15"/>
      </w:pPr>
      <w:r>
        <w:t>К 200 м</w:t>
      </w:r>
      <w:r>
        <w:t>л среды 199 (на растворе Хенкса) добавляют 13,5 мл. 7,5% раствора бычьего альбумина, 5 мл 1М HEPESбуфера и гентамицин (20 мг). После перемешивания среду стерильно разливают по 2 мл в 100 пробирок и хранят до использования при 4°С.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Подготовка ростовой среды</w:t>
      </w:r>
      <w:r>
        <w:rPr>
          <w:i/>
        </w:rPr>
        <w:t xml:space="preserve"> DMEM (для субкультивирования клеток).</w:t>
      </w:r>
    </w:p>
    <w:p w:rsidR="000C77C0" w:rsidRDefault="00777790">
      <w:pPr>
        <w:ind w:left="-15"/>
      </w:pPr>
      <w:r>
        <w:t>Готовят концентрированный (х 1000 кратный) раствор антибиотиков. Во флакон с пенициллином добавляют 5 мл среды DMEM (без сыворотки), после растворения содержимое флакона переносят во флакон со стрептомицином, смесь пи</w:t>
      </w:r>
      <w:r>
        <w:t>петируют до полного растворения, фасуют по 0,5 мл и хранят при температуре не выше -20°С.</w:t>
      </w:r>
    </w:p>
    <w:p w:rsidR="000C77C0" w:rsidRDefault="00777790">
      <w:pPr>
        <w:ind w:left="-15"/>
      </w:pPr>
      <w:r>
        <w:t>К 228 мл среды DMEM добавляют 12 мл эмбриональной сыворотки (5%) и 0,25 мл концентрированного раствора смеси пенициллина и стрептомицина.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Подготовка среды для выделен</w:t>
      </w:r>
      <w:r>
        <w:rPr>
          <w:i/>
        </w:rPr>
        <w:t>ия вирусов гриппа (СВ) в клетках MDCK (на обследование 10 больных).</w:t>
      </w:r>
    </w:p>
    <w:p w:rsidR="000C77C0" w:rsidRDefault="00777790">
      <w:pPr>
        <w:ind w:left="-15"/>
      </w:pPr>
      <w:r>
        <w:t>Непосредственно перед употреблением к 19 мл среды DMEM (без сыворотки) добавляют 0,5 мл бычьего альбумина (V фракция), 0,5 мл 1 М HEPES-буфера и 0,4 мл ТРСК-трипсина (до конечной концентра</w:t>
      </w:r>
      <w:r>
        <w:t>ции 2,0 мкг/мл). ТРСК-трипсин из 1 ампулы предварительно регидратируют в 2 мл стерильной дистиллированной воды и добавляют в среду в указанном выше количестве, оставшуюся часть фасуют по 0,4 мл и хранят в замороженном состоянии (при температуре не выше - 2</w:t>
      </w:r>
      <w:r>
        <w:t>0°С). В подготовленную среду добавляют 30 мкл концентрированного раствора пенициллина со стрептомицином. При обследовании меньшего количества больных остаток среды хранят при температуре не выше -20°С.</w:t>
      </w:r>
    </w:p>
    <w:p w:rsidR="000C77C0" w:rsidRDefault="00777790">
      <w:pPr>
        <w:spacing w:after="239" w:line="258" w:lineRule="auto"/>
        <w:ind w:left="10" w:hanging="10"/>
        <w:jc w:val="left"/>
      </w:pPr>
      <w:r>
        <w:rPr>
          <w:i/>
        </w:rPr>
        <w:t>Культивирование клеток.</w:t>
      </w:r>
    </w:p>
    <w:p w:rsidR="000C77C0" w:rsidRDefault="00777790">
      <w:pPr>
        <w:ind w:left="-15"/>
      </w:pPr>
      <w:r>
        <w:t>Клеточная культура MDCK сохран</w:t>
      </w:r>
      <w:r>
        <w:t>яет высокую чувствительность на протяжении 10-20 пассажей от момента ее получения, поэтому культивирование клеток целесообразно начинать незадолго до начала эпидсезона (октябрь-ноябрь месяцы). В случае объявленной угрозы пандемии наборы необходимо формиров</w:t>
      </w:r>
      <w:r>
        <w:t>ать незамедлительно.</w:t>
      </w:r>
    </w:p>
    <w:p w:rsidR="000C77C0" w:rsidRDefault="00777790">
      <w:pPr>
        <w:ind w:left="-15"/>
      </w:pPr>
      <w:r>
        <w:t>Субкультивирование клеток проводят в культуральных флаконах Т 25 емкостью 50 мл через каждые 3-4 дня (как только сформируется монослой) во избежание "старения" культуры, в результате чего ее чувствительность к вирусу понижается. Культуральную среду из матр</w:t>
      </w:r>
      <w:r>
        <w:t>аса с монослоем клеток полностью удаляют. На монослой наносят 5 мл теплого (36-37°С) раствора EDTA-трипсин. Легким покачиванием омывают клеточный монослой указанным раствором в течение 1 мин., после чего внесенный раствор полностью удаляют пастеровской пип</w:t>
      </w:r>
      <w:r>
        <w:t>еткой. Процедуру повторяют. После этого в матрас вносят 1,0 мл теплого раствора EDTA-трипсин, так, чтобы он полностью покрыл монослой и помещают в термостат (36-37°С) на 30-40 мин до полного разрыхления и сползания монослоя. Допускается периодическое посту</w:t>
      </w:r>
      <w:r>
        <w:t>кивание ладонью руки для ускорения отторжения культуры от пластика/стекла. После полного сползания клеток для приостановки дальнейшего действия EDTA-трипсина в матрас вносят 1,0 мл фетальной сыворотки, а затем - 1 мл среды DMEM. Суспензию клеток мягко пипе</w:t>
      </w:r>
      <w:r>
        <w:t xml:space="preserve">тируют тонко оттянутой пипеткой до получения гомогенной суспензии. К полученной взвеси добавляют 9 мл среды DMEM. Суспензию перемешивают, производят подсчет клеток. При хорошем состоянии культуры с 1 матраса снимают около 6-7 млн. клеток. В зависимости от </w:t>
      </w:r>
      <w:r>
        <w:t>планируемой работы и сроков поступления клинических материалов полученную суспензию клеток MDCK готовят в следующих концентрациях:</w:t>
      </w:r>
    </w:p>
    <w:p w:rsidR="000C77C0" w:rsidRDefault="00777790">
      <w:pPr>
        <w:ind w:left="-15"/>
      </w:pPr>
      <w:r>
        <w:t>100-150 тыс. клеток/мл - для формирования монослоя на 3-4 сутки, 200 тыс.клеток/мл - через 2 суток и 400 тыс.клеток /мл - чер</w:t>
      </w:r>
      <w:r>
        <w:t>ез 24 часа.</w:t>
      </w:r>
    </w:p>
    <w:p w:rsidR="000C77C0" w:rsidRDefault="00777790">
      <w:pPr>
        <w:ind w:left="-15"/>
      </w:pPr>
      <w:r>
        <w:t>Суспензию делят на 2 части по 5 мл, одну из которых используют для последующего субкультивирования, добавляя 15 мл ростовой среды DMEM, содержащей 5% эмбриональной сыворотки. Вторую часть используют для изоляции вирусов.</w:t>
      </w:r>
    </w:p>
    <w:p w:rsidR="000C77C0" w:rsidRDefault="00777790">
      <w:pPr>
        <w:ind w:left="390" w:firstLine="0"/>
      </w:pPr>
      <w:r>
        <w:t>Важно, чтобы субкультив</w:t>
      </w:r>
      <w:r>
        <w:t>ирование клеток на матрасах осуществлялось не реже 1 раза в 3-4 дня.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Выращивание клеток MDCK для изоляции вирусов.</w:t>
      </w:r>
    </w:p>
    <w:p w:rsidR="000C77C0" w:rsidRDefault="00777790">
      <w:pPr>
        <w:ind w:left="-15"/>
      </w:pPr>
      <w:r>
        <w:t>К 5 мл полученной суспензии клеток добавляют среду DMEM, содержащую 0,5% сыворотки, в объеме, необходимой для разведения клеток, суспензию пе</w:t>
      </w:r>
      <w:r>
        <w:t xml:space="preserve">ремешивают пипетированием и рассевают по 1,5 мл по пенициллиновым флаконам (пробиркам). Сформированный монослой должен использоваться для заражения без промедления, поскольку по мере дальнейшей инкубации культура утрачивает свою чувствительность к вирусам </w:t>
      </w:r>
      <w:r>
        <w:t>гриппа.</w:t>
      </w:r>
    </w:p>
    <w:p w:rsidR="000C77C0" w:rsidRDefault="00777790">
      <w:pPr>
        <w:ind w:left="-15"/>
      </w:pPr>
      <w:r>
        <w:t>Таким образом, рассев культуры по флаконам (пробиркам) должен проводиться с учетом планируемого получения клинических материалов от больных.</w:t>
      </w:r>
    </w:p>
    <w:p w:rsidR="000C77C0" w:rsidRDefault="00777790">
      <w:pPr>
        <w:spacing w:after="239" w:line="258" w:lineRule="auto"/>
        <w:ind w:left="10" w:hanging="10"/>
        <w:jc w:val="left"/>
      </w:pPr>
      <w:r>
        <w:rPr>
          <w:i/>
        </w:rPr>
        <w:t>Получение и доставка клинических материалов</w:t>
      </w:r>
    </w:p>
    <w:p w:rsidR="000C77C0" w:rsidRDefault="00777790">
      <w:pPr>
        <w:ind w:left="-15"/>
      </w:pPr>
      <w:r>
        <w:t>Материалом для изоляции вирусов служит отделяемое из глубоких о</w:t>
      </w:r>
      <w:r>
        <w:t>тделов носовой полости, зева, а также секционные ткани легкого, бронхов и мозга.</w:t>
      </w:r>
    </w:p>
    <w:p w:rsidR="000C77C0" w:rsidRDefault="00777790">
      <w:pPr>
        <w:ind w:left="-15"/>
      </w:pPr>
      <w:r>
        <w:t>Материал отбирают в разгар заболевания (первые 3 дня болезни) в период вспышек гриппоподобных заболеваний в коллективах детей или взрослых, а также от амбулаторных или госпита</w:t>
      </w:r>
      <w:r>
        <w:t>лизированных больных. С наибольшей частотой вирусы выделяются от детей младшего возраста, у которых вирус находится в свободном состоянии (вне иммунных комплексов).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Мазки из носа и зева.</w:t>
      </w:r>
    </w:p>
    <w:p w:rsidR="000C77C0" w:rsidRDefault="00777790">
      <w:pPr>
        <w:ind w:left="-15"/>
      </w:pPr>
      <w:r>
        <w:t>Перед взятием материала из носа рекомендуется очистить носовые ходы о</w:t>
      </w:r>
      <w:r>
        <w:t xml:space="preserve">т слизи. Материалы собирают стерильными тампонами, которые вводят последовательно в обе ноздри на глубину 2-3 см в область нижнего носового хода, дают пропитаться секретом в течение 1-3 мин., после чего вращательными движениями тампон медленно извлекают и </w:t>
      </w:r>
      <w:r>
        <w:t>погружают в пробирку с 2 мл транспортной среды, отламывая нестерильный конец палочки. Материалы из зева собирают аналогичным образом, плотно прижимая тампоны к пораженным гиперемированным участкам миндалин и задних фарингеальньгх отделов. Тампон из зева по</w:t>
      </w:r>
      <w:r>
        <w:t>мещают в одну пробирку с тампоном из носа.</w:t>
      </w:r>
    </w:p>
    <w:p w:rsidR="000C77C0" w:rsidRDefault="00777790">
      <w:pPr>
        <w:ind w:left="-15"/>
      </w:pPr>
      <w:r>
        <w:t>В случае необходимости исследования материала с использованием нескольких методов можно проводить взятие материала в разные пробирки, например, для иммунофлуоресцентного анализа - из одной ноздри, для изоляции вир</w:t>
      </w:r>
      <w:r>
        <w:t>уса - из другой ноздри, ПЦР - из зева. Такое разделение поможет сохранить материал и выполнять исследования вне зависимости от сроков хранения и обработки материалов при исследовании другими методами.</w:t>
      </w:r>
    </w:p>
    <w:p w:rsidR="000C77C0" w:rsidRDefault="00777790">
      <w:pPr>
        <w:ind w:left="-15"/>
      </w:pPr>
      <w:r>
        <w:t>Пробирки с материалом для выделения вируса незамедлител</w:t>
      </w:r>
      <w:r>
        <w:t>ьно доставляют в холодовом режиме (+4°С) в лабораторию, где тампоны с материалом от больного после интенсивного встряхивания отжимают в транспортную среду. Полученный материал используют для заражения клеточной культуры MDCK.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Назофарингеальные аспираты.</w:t>
      </w:r>
    </w:p>
    <w:p w:rsidR="000C77C0" w:rsidRDefault="00777790">
      <w:pPr>
        <w:ind w:left="-15"/>
      </w:pPr>
      <w:r>
        <w:t>На</w:t>
      </w:r>
      <w:r>
        <w:t>зофарингеальные секреты аспирируют с помощью катетера, присоединенного к флакону, имеющему второй отвод, присоединенный к вакуумному отсосу. Катетер вводят вглубь носа параллельно небу, затем подключается отсос и катетер медленно, с поворачиванием, удаляет</w:t>
      </w:r>
      <w:r>
        <w:t>ся. Тем же катетером собирается слизь из второй ноздри. После этого катетер промывают 2 мл транспортной среды и материал доставляют в лабораторию.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Секционные материалы.</w:t>
      </w:r>
    </w:p>
    <w:p w:rsidR="000C77C0" w:rsidRDefault="00777790">
      <w:pPr>
        <w:ind w:left="-15"/>
      </w:pPr>
      <w:r>
        <w:t>Фрагменты легкого, бронхов или мозга в день смерти больного помещают в стерильные флако</w:t>
      </w:r>
      <w:r>
        <w:t>ны и доставляют в холодовом режиме в лабораторию.</w:t>
      </w:r>
    </w:p>
    <w:p w:rsidR="000C77C0" w:rsidRDefault="00777790">
      <w:pPr>
        <w:ind w:left="-15"/>
      </w:pPr>
      <w:r>
        <w:t xml:space="preserve">Из полученных материалов готовят 10% суспензию, растерев фрагменты ткани со стерильным стеклянным песком в фарфоровой ступке, после чего к суспензии добавляют транспортную среду в соотношении 1: 9, которую </w:t>
      </w:r>
      <w:r>
        <w:t>после перемешивания и освобождения от осадка отстаиванием (0,5 ч при 4°С) или центрифугирования в течение 10 мин при 1000 об/мин отбирают и используют для последующего заражения клеток.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Хранение материалов от больных.</w:t>
      </w:r>
    </w:p>
    <w:p w:rsidR="000C77C0" w:rsidRDefault="00777790">
      <w:pPr>
        <w:ind w:left="-15"/>
      </w:pPr>
      <w:r>
        <w:t>Оптимальным для выделения вирусов явля</w:t>
      </w:r>
      <w:r>
        <w:t>ется незамедлительное заражение клеточной культуры, поскольку при хранении материалов инфекционная активность вирусов понижается. При отсутствии выросшей культуры на момент поступления материалов они могут храниться в лаборатории до заражения при +4°С не б</w:t>
      </w:r>
      <w:r>
        <w:t>олее суток.</w:t>
      </w:r>
    </w:p>
    <w:p w:rsidR="000C77C0" w:rsidRDefault="00777790">
      <w:pPr>
        <w:ind w:left="-15"/>
      </w:pPr>
      <w:r>
        <w:t>Для более длительного хранения они должны быть заморожены при температуре не выше -20°С (желательно - при -70°С). Для сохранения инфекционности вируса следует избегать многократного (не более двух раз) замораживания оттаивания клинических матер</w:t>
      </w:r>
      <w:r>
        <w:t>иалов.</w:t>
      </w:r>
    </w:p>
    <w:p w:rsidR="000C77C0" w:rsidRDefault="00777790">
      <w:pPr>
        <w:spacing w:after="14" w:line="258" w:lineRule="auto"/>
        <w:ind w:left="385" w:hanging="10"/>
        <w:jc w:val="left"/>
      </w:pPr>
      <w:r>
        <w:rPr>
          <w:i/>
        </w:rPr>
        <w:t>Инфицирование клеточной культур MDCK клиническими материалами и субкультивирование вируса.</w:t>
      </w:r>
    </w:p>
    <w:p w:rsidR="000C77C0" w:rsidRDefault="00777790">
      <w:pPr>
        <w:spacing w:after="0" w:line="259" w:lineRule="auto"/>
        <w:ind w:firstLine="0"/>
        <w:jc w:val="left"/>
      </w:pPr>
      <w:r>
        <w:rPr>
          <w:i/>
        </w:rPr>
        <w:t xml:space="preserve">     </w:t>
      </w:r>
    </w:p>
    <w:p w:rsidR="000C77C0" w:rsidRDefault="00777790">
      <w:pPr>
        <w:spacing w:after="239" w:line="258" w:lineRule="auto"/>
        <w:ind w:left="10" w:hanging="10"/>
        <w:jc w:val="left"/>
      </w:pPr>
      <w:r>
        <w:rPr>
          <w:i/>
        </w:rPr>
        <w:t xml:space="preserve">     Первичное заражение.</w:t>
      </w:r>
    </w:p>
    <w:p w:rsidR="000C77C0" w:rsidRDefault="00777790">
      <w:pPr>
        <w:ind w:left="-15"/>
      </w:pPr>
      <w:r>
        <w:t xml:space="preserve">Флаконы (пробирки) с монослоем клеток MDCK дважды по 1,5 мл отмывают средой без сыворотки, после чего материалы от больных наносят на монослой клеток из расчета по 0,2-0,3 мл каждого из материалов в 2-3 флакона (пробирки). Инфицированные культуры помещают </w:t>
      </w:r>
      <w:r>
        <w:t>в термостат на 30-40 мин (для адсорбции вируса), после чего в них вносят по 0,9-1,5 мл среды с трипсином (СВ). В контрольные культуры добавляют по 1 мл СВ.</w:t>
      </w:r>
    </w:p>
    <w:p w:rsidR="000C77C0" w:rsidRDefault="00777790">
      <w:pPr>
        <w:ind w:left="-15"/>
      </w:pPr>
      <w:r>
        <w:t>Инфицированные и контрольные культуры помещают в термостат с температурой 35-37°С, желательно с пода</w:t>
      </w:r>
      <w:r>
        <w:t>чей 5% СО</w:t>
      </w:r>
      <w:r>
        <w:rPr>
          <w:noProof/>
        </w:rPr>
        <w:drawing>
          <wp:inline distT="0" distB="0" distL="0" distR="0">
            <wp:extent cx="95290" cy="209638"/>
            <wp:effectExtent l="0" t="0" r="0" b="0"/>
            <wp:docPr id="1475" name="Picture 1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" name="Picture 14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Ежедневно контролируют состояние монослоя с целью обнаружения признаков цитопатогенного действия вируса (ЦПД).</w:t>
      </w:r>
    </w:p>
    <w:p w:rsidR="000C77C0" w:rsidRDefault="00777790">
      <w:pPr>
        <w:ind w:left="-15"/>
      </w:pPr>
      <w:r>
        <w:t>При отсутствии выраженного ЦПД пробы выдерживают при + 37°С вплоть до 7 суток. Периодически, через каждые 2-3 дня, начиная с 24-48 ча</w:t>
      </w:r>
      <w:r>
        <w:t>сов после заражения, размножение вирусов гриппа контролируют в реакции гемагглютинации (РГА). С этой целью из каждого флакона отбирают по 50 мкл культуральной жидкости (КЖ), которую титруют на фосфатно-солевом буфере, рН 7,2-7,4, начиная с цельной пробы до</w:t>
      </w:r>
      <w:r>
        <w:t xml:space="preserve"> разведения 1: 32 (в объеме 50 мкл). К полученным разведениям КЖ добавляют по 50 мкл трижды отмытой физиологическим раствором 0,75% взвеси эритроцитов человека 0 (I) группы крови (наиболее чувствительная система регистрации гемагглютининов). При отрицатель</w:t>
      </w:r>
      <w:r>
        <w:t>ных результатах РГА клетки необходимо разрушить замораживанием-оттаиванием, подготовить объединенные пулы культуральной жидкости (из 2-3 флаконов от каждого пациента) и провести следующий пассаж в 23 флаконах с монослоем клеток MDCK с регистрацией репродук</w:t>
      </w:r>
      <w:r>
        <w:t>ции вируса по ЦПД и в РГА, как указано выше. При отрицательных результатах на протяжении двух пассажей исследование материала прекращают.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Накопление вируса.</w:t>
      </w:r>
    </w:p>
    <w:p w:rsidR="000C77C0" w:rsidRDefault="00777790">
      <w:pPr>
        <w:ind w:left="-15"/>
      </w:pPr>
      <w:r>
        <w:t>Для дальнейшего накопления вируса культуральную жидкость из одного из пенициллиновых флаконов с раз</w:t>
      </w:r>
      <w:r>
        <w:t>вившимся ЦПД или с появившимися гемагглютининами используют для заражения клеток MDCK.</w:t>
      </w:r>
    </w:p>
    <w:p w:rsidR="000C77C0" w:rsidRDefault="00777790">
      <w:pPr>
        <w:ind w:left="-15"/>
      </w:pPr>
      <w:r>
        <w:t xml:space="preserve">Перед заражением монослоя, сформированного на культуральном флаконе Т25, проводят процедуры, описанные выше (удаление ростовой среды, отмывание средой без сыворотки). В </w:t>
      </w:r>
      <w:r>
        <w:t xml:space="preserve">отмытый флакон с монослоем клеток вносят 0,5 мл вируссодержащего материала (при высоких титрах ГА в первичном изоляте, достигающих 1:16 и выше, рекомендуется перед заражением разводить вирус в 10-100 раз). После инкубации при 37°С в течение 30-40 минут во </w:t>
      </w:r>
      <w:r>
        <w:t>флакон вносят 10 мл среды СВ. Флакон помещают в термостат. Ежедневно оценивают развитие ЦПД, через каждые 3 суток определяют присутствие гемагглютининов. При появлении выраженного ЦПД и (или) появлении гемагглютининов культуральную среду собирают, проводят</w:t>
      </w:r>
      <w:r>
        <w:t xml:space="preserve"> центрифугирование в течение 10-15 мин. при 2000 об/мин и используют для последующего типирования возбудителя в РТГА с набором специфических диагностических гриппозных сывороток.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Хранение изолятов.</w:t>
      </w:r>
    </w:p>
    <w:p w:rsidR="000C77C0" w:rsidRDefault="00777790">
      <w:pPr>
        <w:ind w:left="-15"/>
      </w:pPr>
      <w:r>
        <w:t>Для сохранения выделенного вируса к пробе объемом 1 мл, по</w:t>
      </w:r>
      <w:r>
        <w:t xml:space="preserve">мещенной в микропробирку для криоконсервации с завинчивающейся крышкой ("Sarstedt", Германия), добавляют 5 мкл стабилизатора (глицерина). Выделенные вирусы могут храниться в лаборатории в замороженном состоянии при -30°С (желательно при -70°С) в течение 1 </w:t>
      </w:r>
      <w:r>
        <w:t>года (до начала следующего эпидемического сезона).</w:t>
      </w:r>
    </w:p>
    <w:p w:rsidR="000C77C0" w:rsidRDefault="00777790">
      <w:pPr>
        <w:ind w:left="-15"/>
      </w:pPr>
      <w:r>
        <w:t>Примечание: В целях соблюдения правил безопасности всю работу с инфекционным материалом проводят в масках и резиновых перчатках в стерильных ламинарных боксах, оснащенных бактерицидными лампами. Отработанн</w:t>
      </w:r>
      <w:r>
        <w:t>ые посуду и материалы обеззараживают автоклавированием, рабочие поверхности полы обрабатывают 2% раствором хлорамина или лизоформина, по окончании и перед началом работы проводят 1,5-2 часовое облучение бокса бактерицидными лампами. ф.</w:t>
      </w:r>
    </w:p>
    <w:p w:rsidR="000C77C0" w:rsidRDefault="00777790">
      <w:pPr>
        <w:spacing w:after="14" w:line="258" w:lineRule="auto"/>
        <w:ind w:left="10" w:hanging="10"/>
        <w:jc w:val="left"/>
      </w:pPr>
      <w:r>
        <w:rPr>
          <w:i/>
        </w:rPr>
        <w:t>Направление выделенн</w:t>
      </w:r>
      <w:r>
        <w:rPr>
          <w:i/>
        </w:rPr>
        <w:t>ых вирусов</w:t>
      </w:r>
    </w:p>
    <w:p w:rsidR="000C77C0" w:rsidRDefault="00777790">
      <w:pPr>
        <w:spacing w:after="174" w:line="259" w:lineRule="auto"/>
        <w:ind w:firstLine="0"/>
        <w:jc w:val="left"/>
      </w:pPr>
      <w:r>
        <w:rPr>
          <w:b/>
          <w:sz w:val="21"/>
        </w:rPr>
        <w:t xml:space="preserve"> </w:t>
      </w:r>
    </w:p>
    <w:p w:rsidR="000C77C0" w:rsidRDefault="00777790">
      <w:pPr>
        <w:ind w:left="-15"/>
      </w:pPr>
      <w:r>
        <w:t>Все выделенные вирусы гриппа и нетипируемые гемагглютинирующие агенты для последующего изучения их антигенной принадлежности необходимо немедленно пересылать авиатранспортом в холодовом режиме в Федеральный центр по гриппу и другим ОРВИ при НИ</w:t>
      </w:r>
      <w:r>
        <w:t>И гриппа РАМН (197376, Санкт Петербург, ул.проф.Попова, 15/17, тел. /812/234-62-63, e-mail: somin@infos.ru) или в Центр экологии и эпидемиологии гриппа при НИИ вирусологии им.Д.И.Ивановского (123098, Москва, ул.Гамалеи, д.16, тел./495/ 190-30-46, e-mail: f</w:t>
      </w:r>
      <w:r>
        <w:t>lulab@mail.ru) (в соответствии с принадлежностью), известив получателя об отправке.</w:t>
      </w:r>
    </w:p>
    <w:p w:rsidR="000C77C0" w:rsidRDefault="00777790">
      <w:pPr>
        <w:ind w:left="-15"/>
      </w:pPr>
      <w:r>
        <w:t>В Центрах проводится восстановление вирусов, детальное изучение антигенных и биологических свойств возбудителей, после чего они депонируются в Музейных коллекциях институто</w:t>
      </w:r>
      <w:r>
        <w:t>в и могут быть направлены в Сотрудничающие референс-центры Всемирной организации здравоохранения для изучения особенностей глобального распространения антигенных вариантов вирусов гриппа.</w:t>
      </w:r>
    </w:p>
    <w:p w:rsidR="000C77C0" w:rsidRDefault="00777790">
      <w:pPr>
        <w:pStyle w:val="Heading1"/>
      </w:pPr>
      <w:r>
        <w:t>3. ЭФФЕКТИВНОСТЬ ИСПОЛЬЗОВАНИЯ МЕТОДА</w:t>
      </w:r>
    </w:p>
    <w:p w:rsidR="000C77C0" w:rsidRDefault="00777790">
      <w:pPr>
        <w:ind w:left="-15"/>
      </w:pPr>
      <w:r>
        <w:t>Предлагаемый метод выделения современных вирусов гриппа в клеточной культуре MDCK выгодно отличается от метода выделения вирусов гриппа на куриных эмбрионах большей эффективностью, в части случаев результаты изоляции в обеих системах носят взаимодополняющи</w:t>
      </w:r>
      <w:r>
        <w:t>й характер.</w:t>
      </w:r>
    </w:p>
    <w:p w:rsidR="000C77C0" w:rsidRDefault="00777790">
      <w:pPr>
        <w:ind w:left="-15"/>
      </w:pPr>
      <w:r>
        <w:t>В течение ряда лет в НИИ гриппа проводились работы по сравнительной оценке двух способов выделения вирусов гриппа - в куриных эмбрионах и на клеточной культуре MDCK. В эпидсезон 1997-1998 годов частота выделения вирусов гриппа в куриных эмбрион</w:t>
      </w:r>
      <w:r>
        <w:t>ах и культуре клеток MDCK составляла 2,2% и 13%, 1998-1999 год - 6,2 и 7,7% соответственно. При этом результаты изоляции вирусов в обеих системах совпадали лишь в части случаев, что свидетельствовало о различиях в тропизме к рецепторам у циркулирующих виру</w:t>
      </w:r>
      <w:r>
        <w:t>сов. Дальнейшая эволюция современных вирусов гриппа привела к тому, что они практически утратили тропизм к клеткам куриных эмбрионов и в сезоны 2003-2004 и 2004-2005 годов более 99% штаммов было выделено в клеточной культуре. Вместе с тем вирусы, выделенны</w:t>
      </w:r>
      <w:r>
        <w:t>е в клеточной культуре MDCK, в настоящее время не разрешено использовать для производства вакцин, что определяет необходимость продолжения работ по выделению вирусов на куриных эмбрионах с усовершенствованием соответствующих методических подходов.</w:t>
      </w:r>
    </w:p>
    <w:p w:rsidR="000C77C0" w:rsidRDefault="00777790">
      <w:pPr>
        <w:spacing w:after="0"/>
        <w:ind w:left="-15"/>
      </w:pPr>
      <w:r>
        <w:t>Необходи</w:t>
      </w:r>
      <w:r>
        <w:t>мо подчеркнуть, что повышение частоты выделения вирусов гриппа в клеточных культурах достигается только при полном соблюдении изложенных рекомендаций на всех этапах работ, использовании указанных в рекомендациях реагентов и чувствительной линии культуры кл</w:t>
      </w:r>
      <w:r>
        <w:t>еток MDCK.</w:t>
      </w:r>
    </w:p>
    <w:p w:rsidR="000C77C0" w:rsidRDefault="00777790">
      <w:pPr>
        <w:spacing w:after="28" w:line="259" w:lineRule="auto"/>
        <w:ind w:firstLine="0"/>
        <w:jc w:val="left"/>
      </w:pPr>
      <w:r>
        <w:t xml:space="preserve">     </w:t>
      </w:r>
    </w:p>
    <w:p w:rsidR="000C77C0" w:rsidRDefault="00777790">
      <w:pPr>
        <w:pStyle w:val="Heading1"/>
      </w:pPr>
      <w:r>
        <w:t>4. ВЫДЕЛЕНИЕ ВИРУСОВ ГРИППА НА КУРИНЫХ ЭМБРИОНАХ</w:t>
      </w:r>
    </w:p>
    <w:p w:rsidR="000C77C0" w:rsidRDefault="00777790">
      <w:pPr>
        <w:ind w:left="-15"/>
      </w:pPr>
      <w:r>
        <w:t xml:space="preserve">Для выделения вирусов гриппа на куриных эмбрионах исследуемые материалы после их первичной обработки вводят по 0,1 мл в амниотическую полость и по 0,2 мл в аллантоисную полость 9-11-дневных </w:t>
      </w:r>
      <w:r>
        <w:t>куриных эмбрионов.</w:t>
      </w:r>
    </w:p>
    <w:p w:rsidR="000C77C0" w:rsidRDefault="00777790">
      <w:pPr>
        <w:ind w:left="-15"/>
      </w:pPr>
      <w:r>
        <w:t>Заражение проводят в затемненном боксе через боковую поверхность скорлупы, направляя иглу сначала в амниотическую, а затем в аллантоисную полости, предварительно сделав два прокола в скорлупе (над воздушной камерой и в районе глазка эмбр</w:t>
      </w:r>
      <w:r>
        <w:t>иона).</w:t>
      </w:r>
    </w:p>
    <w:p w:rsidR="000C77C0" w:rsidRDefault="00777790">
      <w:pPr>
        <w:ind w:left="-15"/>
      </w:pPr>
      <w:r>
        <w:t>Зараженные эмбрионы инкубируют в термостате 48 ч при температуре 36-37°С (для вирусов гриппа А) и 72 часа при 33-34°С (для вирусов гриппа В). После инкубации эмбрионы помещают на ночь в рефрижератор при +4°С. Амниотическую и аллантоисную жидкость со</w:t>
      </w:r>
      <w:r>
        <w:t>бирают в отдельные пробирки с последующим их титрованием в РГА.</w:t>
      </w:r>
    </w:p>
    <w:p w:rsidR="000C77C0" w:rsidRDefault="00777790">
      <w:pPr>
        <w:ind w:left="-15"/>
      </w:pPr>
      <w:r>
        <w:t>Индикацию вирусов гриппа осуществляют в реакции гемагглютинации (РГА) микрометодом путем добавления 50 мкл 0,5% суспензии отмытых эритроцитов кур или 0,75% эритроцитов человека 0 (I) группы кр</w:t>
      </w:r>
      <w:r>
        <w:t>ови к 50 мкл вируссодержащего материала. Результаты РГА учитывают после 30-40 минутного оседания эритроцитов в лунках панелей при комнатной температуре.</w:t>
      </w:r>
    </w:p>
    <w:p w:rsidR="000C77C0" w:rsidRDefault="00777790">
      <w:pPr>
        <w:ind w:left="-15"/>
      </w:pPr>
      <w:r>
        <w:t>При отсутствии агглютинации эритроцитов проводят 2 дополнительных пассажа путем заражения эмбрионов сме</w:t>
      </w:r>
      <w:r>
        <w:t>сью амниотической и аллантоисной жидкостей от предыдущего пассажа. В случае отрицательных результатов РГА после 2 пассажей материалов исследование прекращают.</w:t>
      </w:r>
    </w:p>
    <w:p w:rsidR="000C77C0" w:rsidRDefault="00777790">
      <w:pPr>
        <w:pStyle w:val="Heading1"/>
      </w:pPr>
      <w:r>
        <w:t>5. ИДЕНТИФИКАЦИЯ ВИРУСОВ ГРИППА</w:t>
      </w:r>
    </w:p>
    <w:p w:rsidR="000C77C0" w:rsidRDefault="00777790">
      <w:pPr>
        <w:spacing w:after="253" w:line="259" w:lineRule="auto"/>
        <w:ind w:left="148" w:hanging="10"/>
        <w:jc w:val="center"/>
      </w:pPr>
      <w:r>
        <w:t>Типирование и субтипирование вирусов проводят в реакции торможени</w:t>
      </w:r>
      <w:r>
        <w:t>я гемагглютинации (РТГА) микрометодом.</w:t>
      </w:r>
    </w:p>
    <w:p w:rsidR="000C77C0" w:rsidRDefault="00777790">
      <w:pPr>
        <w:spacing w:after="425"/>
        <w:ind w:left="10" w:hanging="10"/>
        <w:jc w:val="center"/>
      </w:pPr>
      <w:r>
        <w:rPr>
          <w:b/>
          <w:sz w:val="21"/>
        </w:rPr>
        <w:t>5.1. РЕАГЕНТЫ, НЕОБХОДИМЫЕ ДЛЯ ПОСТАНОВКИ РТГА:</w:t>
      </w:r>
    </w:p>
    <w:p w:rsidR="000C77C0" w:rsidRDefault="00777790">
      <w:pPr>
        <w:ind w:left="-15"/>
      </w:pPr>
      <w:r>
        <w:rPr>
          <w:u w:val="single" w:color="000000"/>
        </w:rPr>
        <w:t>Ре</w:t>
      </w:r>
      <w:r>
        <w:t>ф</w:t>
      </w:r>
      <w:r>
        <w:rPr>
          <w:u w:val="single" w:color="000000"/>
        </w:rPr>
        <w:t>еренс-антигены.</w:t>
      </w:r>
      <w:r>
        <w:t xml:space="preserve"> Референс-антигены (гриппозные диагностикумы) представляют собой инфицированную вирусом гриппа аллантоисную жидкость инактивированную тиомерсалем. Рефе</w:t>
      </w:r>
      <w:r>
        <w:t>ренс-антигены готовятся из вакцинных или антигенно родственных им штаммов. Препарат должен иметь титр гемагглютинина не ниже 160 ГАЕ/0,1мл, но титр гемагглютинина (в жидком виде) может снижаться в процессе хранения. Жидкие и лиофилизированные антигены хран</w:t>
      </w:r>
      <w:r>
        <w:t>ят при 4°С. Все антигены разводят фосфатно-солевым буферным раствором в соотношении 1:10 и титруют непосредственно перед началом постановки реакции. Они не должны использоваться, если их титр будет ниже 32 ГАЕ/0,1мл. В РТГА данные антигены используются в к</w:t>
      </w:r>
      <w:r>
        <w:t>ачестве контрольных образцов.</w:t>
      </w:r>
    </w:p>
    <w:p w:rsidR="000C77C0" w:rsidRDefault="00777790">
      <w:pPr>
        <w:ind w:left="-15"/>
      </w:pPr>
      <w:r>
        <w:rPr>
          <w:u w:val="single" w:color="000000"/>
        </w:rPr>
        <w:t>Ре</w:t>
      </w:r>
      <w:r>
        <w:t>ф</w:t>
      </w:r>
      <w:r>
        <w:rPr>
          <w:u w:val="single" w:color="000000"/>
        </w:rPr>
        <w:t>еренс-сыворотки.</w:t>
      </w:r>
      <w:r>
        <w:t xml:space="preserve"> Референс-сыворотки представляют собой лиофилизированные гипериммунные бараньи (в составе наборов ВОЗ) или очищенные от ингибиторов гипериммунные кроличьи сыворотки (производятся в России). Объем дистиллиров</w:t>
      </w:r>
      <w:r>
        <w:t>анной воды, которую необходимо добавить для разведения сыворотки, указан на этикетке флакона. В качестве консерванта в сыворотках используется 0,1% азид натрия. В диагностический набор ВОЗ включена контрольная (баранья) сыворотка, не содержащая антител к в</w:t>
      </w:r>
      <w:r>
        <w:t xml:space="preserve">ирусу гриппа, которая служит контролем правильности обработки референс-сывороток рецептор-разрушающим энзимом (RDE) для их освобождения от неспецифических ингибиторов. Диагностические сыворотки, выпускаемые ООО "Предприятие по производству диагностических </w:t>
      </w:r>
      <w:r>
        <w:t>препаратов" (Санкт Петербург, Россия), в дополнительной обработке для устранения неспецифических ингибиторов не нуждаются. Лиофилизированные сыворотки хранят при температуре 4°С, растворенные - в замороженном виде при -20°С.</w:t>
      </w:r>
    </w:p>
    <w:p w:rsidR="000C77C0" w:rsidRDefault="00777790">
      <w:pPr>
        <w:ind w:left="-15"/>
      </w:pPr>
      <w:r>
        <w:rPr>
          <w:u w:val="single" w:color="000000"/>
        </w:rPr>
        <w:t>Рецептор разр</w:t>
      </w:r>
      <w:r>
        <w:t>у</w:t>
      </w:r>
      <w:r>
        <w:rPr>
          <w:u w:val="single" w:color="000000"/>
        </w:rPr>
        <w:t xml:space="preserve">шающий энзим </w:t>
      </w:r>
      <w:r>
        <w:t>(</w:t>
      </w:r>
      <w:r>
        <w:rPr>
          <w:u w:val="single" w:color="000000"/>
        </w:rPr>
        <w:t>RDE</w:t>
      </w:r>
      <w:r>
        <w:rPr>
          <w:u w:val="single" w:color="000000"/>
        </w:rPr>
        <w:t>).</w:t>
      </w:r>
      <w:r>
        <w:t xml:space="preserve"> Является коммерческим препаратом и используется для обработки сывороток.</w:t>
      </w:r>
    </w:p>
    <w:p w:rsidR="000C77C0" w:rsidRDefault="000C77C0">
      <w:pPr>
        <w:sectPr w:rsidR="000C77C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899" w:h="16838"/>
          <w:pgMar w:top="1400" w:right="449" w:bottom="1122" w:left="450" w:header="304" w:footer="291" w:gutter="0"/>
          <w:cols w:space="720"/>
        </w:sectPr>
      </w:pPr>
    </w:p>
    <w:p w:rsidR="000C77C0" w:rsidRDefault="00777790">
      <w:pPr>
        <w:spacing w:after="652" w:line="722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0C77C0" w:rsidRDefault="00777790">
      <w:pPr>
        <w:ind w:left="-15"/>
      </w:pPr>
      <w:r>
        <w:rPr>
          <w:u w:val="single" w:color="000000"/>
        </w:rPr>
        <w:t>Тестир</w:t>
      </w:r>
      <w:r>
        <w:t>у</w:t>
      </w:r>
      <w:r>
        <w:rPr>
          <w:u w:val="single" w:color="000000"/>
        </w:rPr>
        <w:t>емые изоляты.</w:t>
      </w:r>
      <w:r>
        <w:t xml:space="preserve"> Изоляты вирусов гриппа могут быть выде</w:t>
      </w:r>
      <w:r>
        <w:t>лены как на куриных эмбрионах, так и на клеточных культурах (MDCK) и должны иметь титры в РГА не ниже 1:8, но предпочтительно 1:16 и выше.</w:t>
      </w:r>
    </w:p>
    <w:p w:rsidR="000C77C0" w:rsidRDefault="00777790">
      <w:pPr>
        <w:spacing w:after="131" w:line="389" w:lineRule="auto"/>
        <w:ind w:left="-15"/>
      </w:pPr>
      <w:r>
        <w:rPr>
          <w:u w:val="single" w:color="000000"/>
        </w:rPr>
        <w:t>С</w:t>
      </w:r>
      <w:r>
        <w:t>у</w:t>
      </w:r>
      <w:r>
        <w:rPr>
          <w:u w:val="single" w:color="000000"/>
        </w:rPr>
        <w:t>спензия эритроцитов.</w:t>
      </w:r>
      <w:r>
        <w:t xml:space="preserve"> Для постановки РТТА могут быть использованы эритроциты кур, индюшек, человеческие эритроциты 0</w:t>
      </w:r>
      <w:r>
        <w:t xml:space="preserve">(I) группы крови или эритроциты морской свинки. Рабочая концентрация для эритроцитов птиц составляет 0,5%, а для эритроцитов млекопитающих - 0,75%. </w:t>
      </w:r>
      <w:r>
        <w:rPr>
          <w:u w:val="single" w:color="000000"/>
        </w:rPr>
        <w:t>Фос</w:t>
      </w:r>
      <w:r>
        <w:t>ф</w:t>
      </w:r>
      <w:r>
        <w:rPr>
          <w:u w:val="single" w:color="000000"/>
        </w:rPr>
        <w:t>атно-солевой бу</w:t>
      </w:r>
      <w:r>
        <w:t>ф</w:t>
      </w:r>
      <w:r>
        <w:rPr>
          <w:u w:val="single" w:color="000000"/>
        </w:rPr>
        <w:t xml:space="preserve">ерный раствор </w:t>
      </w:r>
      <w:r>
        <w:t>(</w:t>
      </w:r>
      <w:r>
        <w:rPr>
          <w:u w:val="single" w:color="000000"/>
        </w:rPr>
        <w:t>ФСБ) рН 7,2 Физиологический раствор 0</w:t>
      </w:r>
      <w:r>
        <w:t>,</w:t>
      </w:r>
      <w:r>
        <w:rPr>
          <w:u w:val="single" w:color="000000"/>
        </w:rPr>
        <w:t>85%.</w:t>
      </w:r>
    </w:p>
    <w:p w:rsidR="000C77C0" w:rsidRDefault="00777790">
      <w:pPr>
        <w:ind w:left="-15"/>
      </w:pPr>
      <w:r>
        <w:rPr>
          <w:u w:val="single" w:color="000000"/>
        </w:rPr>
        <w:t>Обору</w:t>
      </w:r>
      <w:r>
        <w:t>д</w:t>
      </w:r>
      <w:r>
        <w:rPr>
          <w:u w:val="single" w:color="000000"/>
        </w:rPr>
        <w:t xml:space="preserve">ование </w:t>
      </w:r>
      <w:r>
        <w:t>д</w:t>
      </w:r>
      <w:r>
        <w:rPr>
          <w:u w:val="single" w:color="000000"/>
        </w:rPr>
        <w:t xml:space="preserve">ля титрования </w:t>
      </w:r>
      <w:r>
        <w:t>(</w:t>
      </w:r>
      <w:r>
        <w:rPr>
          <w:u w:val="single" w:color="000000"/>
        </w:rPr>
        <w:t>планшеты</w:t>
      </w:r>
      <w:r>
        <w:t>,</w:t>
      </w:r>
      <w:r>
        <w:rPr>
          <w:u w:val="single" w:color="000000"/>
        </w:rPr>
        <w:t xml:space="preserve"> пипетки</w:t>
      </w:r>
      <w:r>
        <w:t>,</w:t>
      </w:r>
      <w:r>
        <w:rPr>
          <w:u w:val="single" w:color="000000"/>
        </w:rPr>
        <w:t xml:space="preserve"> кюветы и т.</w:t>
      </w:r>
      <w:r>
        <w:t>д</w:t>
      </w:r>
      <w:r>
        <w:rPr>
          <w:u w:val="single" w:color="000000"/>
        </w:rPr>
        <w:t>.).</w:t>
      </w:r>
      <w:r>
        <w:t xml:space="preserve"> Для постановки РТГА используют 96-луночные микропланшеты. Планшеты с V-образными лунками обычно применяют, когда реакция проводится с эритроцитами птиц, а планшеты с U-образными лунками - при использовании эритроцитов мле</w:t>
      </w:r>
      <w:r>
        <w:t>копитающих.</w:t>
      </w:r>
    </w:p>
    <w:p w:rsidR="000C77C0" w:rsidRDefault="00777790">
      <w:pPr>
        <w:spacing w:after="425"/>
        <w:ind w:left="10" w:hanging="10"/>
        <w:jc w:val="center"/>
      </w:pPr>
      <w:r>
        <w:rPr>
          <w:b/>
          <w:sz w:val="21"/>
        </w:rPr>
        <w:t>5.2. ОБРАБОТКА РЕФЕРЕНС СЫВОРОТОК ОТ НЕСПЕЦИФИЧЕСКИХ ИНГИБИТОРОВ С ПОМОЩЬЮ ФЕРМЕНТА RDE.</w:t>
      </w:r>
    </w:p>
    <w:p w:rsidR="000C77C0" w:rsidRDefault="00777790">
      <w:pPr>
        <w:ind w:left="-15"/>
      </w:pPr>
      <w:r>
        <w:t>Сыворотки большинства видов животных содержат неспецифические ингибиторы. Эти факторы могут быть причиной ложноположительных результатов реакции. Для удаления неспецифических ингибиторов из сывороток животных применяют рецептор-разрушающий энзим (RDE). Есл</w:t>
      </w:r>
      <w:r>
        <w:t>и обработка сывороток RDE недостаточна, то можно применить альтернативные способы обработки (прогревание, обработка перйодатом калия или трипсином).</w:t>
      </w:r>
    </w:p>
    <w:p w:rsidR="000C77C0" w:rsidRDefault="00777790">
      <w:pPr>
        <w:spacing w:after="169"/>
        <w:ind w:left="10" w:hanging="10"/>
        <w:jc w:val="center"/>
      </w:pPr>
      <w:r>
        <w:rPr>
          <w:b/>
          <w:sz w:val="21"/>
        </w:rPr>
        <w:t>МЕТОДИКА ОБРАБОТКИ РЕФЕРЕНС-СЫВОРОТОК RDE.</w:t>
      </w:r>
    </w:p>
    <w:p w:rsidR="000C77C0" w:rsidRDefault="00777790">
      <w:pPr>
        <w:numPr>
          <w:ilvl w:val="0"/>
          <w:numId w:val="1"/>
        </w:numPr>
        <w:ind w:hanging="217"/>
      </w:pPr>
      <w:r>
        <w:t>RDE представляет собой сухой препарат, который необходимо развес</w:t>
      </w:r>
      <w:r>
        <w:t>ти в 25 мл. физиологического раствора.</w:t>
      </w:r>
    </w:p>
    <w:p w:rsidR="000C77C0" w:rsidRDefault="00777790">
      <w:pPr>
        <w:numPr>
          <w:ilvl w:val="0"/>
          <w:numId w:val="1"/>
        </w:numPr>
        <w:ind w:hanging="217"/>
      </w:pPr>
      <w:r>
        <w:t>Добавить 3 объема КОЕ к 1 объему сыворотки (0,3 мл RDE + 0,1 мл сыворотки).</w:t>
      </w:r>
    </w:p>
    <w:p w:rsidR="000C77C0" w:rsidRDefault="00777790">
      <w:pPr>
        <w:numPr>
          <w:ilvl w:val="0"/>
          <w:numId w:val="1"/>
        </w:numPr>
        <w:ind w:hanging="217"/>
      </w:pPr>
      <w:r>
        <w:t>Инкубировать при 37°С в течении 16-18 часов</w:t>
      </w:r>
    </w:p>
    <w:p w:rsidR="000C77C0" w:rsidRDefault="00777790">
      <w:pPr>
        <w:numPr>
          <w:ilvl w:val="0"/>
          <w:numId w:val="1"/>
        </w:numPr>
        <w:ind w:hanging="217"/>
      </w:pPr>
      <w:r>
        <w:t>Прогреть сыворотку, обработанную RDE при 37°С в течение 30 минут.</w:t>
      </w:r>
    </w:p>
    <w:p w:rsidR="000C77C0" w:rsidRDefault="00777790">
      <w:pPr>
        <w:numPr>
          <w:ilvl w:val="0"/>
          <w:numId w:val="1"/>
        </w:numPr>
        <w:ind w:hanging="217"/>
      </w:pPr>
      <w:r>
        <w:t>Добавить 6 объемов физиологичес</w:t>
      </w:r>
      <w:r>
        <w:t>кого раствора (0,6 мл физ. раствора + 0,4 мл сыворотки обработанной RDE).</w:t>
      </w:r>
    </w:p>
    <w:p w:rsidR="000C77C0" w:rsidRDefault="00777790">
      <w:pPr>
        <w:ind w:left="390" w:firstLine="0"/>
      </w:pPr>
      <w:r>
        <w:t>Обработанная RDE сыворотка используется для постановки РТГА и имеет разведение 1:10.</w:t>
      </w:r>
    </w:p>
    <w:p w:rsidR="000C77C0" w:rsidRDefault="00777790">
      <w:pPr>
        <w:pStyle w:val="Heading2"/>
        <w:spacing w:after="664"/>
      </w:pPr>
      <w:r>
        <w:t>5.3. МЕТОДИКА ПОСТАНОВКИ РТГА МИКРОМЕТОДОМ</w:t>
      </w:r>
    </w:p>
    <w:p w:rsidR="000C77C0" w:rsidRDefault="00777790">
      <w:pPr>
        <w:spacing w:after="238" w:line="259" w:lineRule="auto"/>
        <w:ind w:left="10" w:hanging="10"/>
        <w:jc w:val="left"/>
      </w:pPr>
      <w:r>
        <w:t xml:space="preserve">   </w:t>
      </w:r>
      <w:r>
        <w:rPr>
          <w:b/>
        </w:rPr>
        <w:t xml:space="preserve">  5.3.1. Определение титров гемагглютининов контрол</w:t>
      </w:r>
      <w:r>
        <w:rPr>
          <w:b/>
        </w:rPr>
        <w:t>ьных антигенов и тестируемых изолятов.</w:t>
      </w:r>
    </w:p>
    <w:p w:rsidR="000C77C0" w:rsidRDefault="00777790">
      <w:pPr>
        <w:ind w:left="390" w:firstLine="0"/>
      </w:pPr>
      <w:r>
        <w:t>Схема титрования антигенов.</w:t>
      </w:r>
    </w:p>
    <w:p w:rsidR="000C77C0" w:rsidRDefault="00777790">
      <w:pPr>
        <w:ind w:left="390" w:firstLine="0"/>
      </w:pPr>
      <w:r>
        <w:t>В первую лунку микропланшета вносят 100 мкл контрольного антигена или тестируемого изолята.</w:t>
      </w:r>
    </w:p>
    <w:p w:rsidR="000C77C0" w:rsidRDefault="00777790">
      <w:pPr>
        <w:numPr>
          <w:ilvl w:val="0"/>
          <w:numId w:val="2"/>
        </w:numPr>
      </w:pPr>
      <w:r>
        <w:t>В лунки NN 2-12 вносят по 50 мкл ФСБ.</w:t>
      </w:r>
    </w:p>
    <w:p w:rsidR="000C77C0" w:rsidRDefault="00777790">
      <w:pPr>
        <w:numPr>
          <w:ilvl w:val="0"/>
          <w:numId w:val="2"/>
        </w:numPr>
      </w:pPr>
      <w:r>
        <w:t>Титруют антигены с коэффициентом 2, начиная с 1:2 до 1:512.</w:t>
      </w:r>
      <w:r>
        <w:t xml:space="preserve"> Для приготовления двукратных разведений переносят по 50 мкл тестируемого антигена из лунки в лунку при тщательном перемешивании.</w:t>
      </w:r>
    </w:p>
    <w:p w:rsidR="000C77C0" w:rsidRDefault="00777790">
      <w:pPr>
        <w:numPr>
          <w:ilvl w:val="0"/>
          <w:numId w:val="2"/>
        </w:numPr>
      </w:pPr>
      <w:r>
        <w:t>К каждому разведению добавляют по 50 мкл суспензии эритроцитов (0,5% птичьих эритроцитов или 0,75% эритроцитов млекопитающих).</w:t>
      </w:r>
      <w:r>
        <w:t xml:space="preserve"> В шейкере или путем аккуратного встряхивания планшета перемешивают смесь эритроцитов и антигена. Планшеты оставляют неподвижно на 30-40 минут при комнатной температуре до полного оседания эритроцитов в контрольных лунках (NN 11-12).</w:t>
      </w:r>
    </w:p>
    <w:p w:rsidR="000C77C0" w:rsidRDefault="00777790">
      <w:pPr>
        <w:spacing w:after="652" w:line="722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0C77C0" w:rsidRDefault="00777790">
      <w:pPr>
        <w:ind w:left="-15"/>
      </w:pPr>
      <w:r>
        <w:rPr>
          <w:i/>
        </w:rPr>
        <w:t>Определение титра гемагглютининов</w:t>
      </w:r>
      <w:r>
        <w:t>. Наибольшее разведение вируса, при котором регистрируется полная агглютинация эритроцитов, принимают за его титр.</w:t>
      </w:r>
    </w:p>
    <w:p w:rsidR="000C77C0" w:rsidRDefault="00777790">
      <w:pPr>
        <w:spacing w:after="238" w:line="259" w:lineRule="auto"/>
        <w:ind w:left="385" w:hanging="10"/>
        <w:jc w:val="left"/>
      </w:pPr>
      <w:r>
        <w:rPr>
          <w:b/>
        </w:rPr>
        <w:t>5.3.2. Приготовление стандартизованного антигена.</w:t>
      </w:r>
    </w:p>
    <w:p w:rsidR="000C77C0" w:rsidRDefault="00777790">
      <w:pPr>
        <w:ind w:left="-15"/>
      </w:pPr>
      <w:r>
        <w:t>Единица ГА не является мерой измерения абсолютного количес</w:t>
      </w:r>
      <w:r>
        <w:t>тва вируса, но является "операционной" единицей, зависящей от методических особенностей титрования (объема реагентов, концентрации, вида эритроцитов и т.д.). Единица ГА определяется как количество вируса, необходимое для агглютинации равного объема стандар</w:t>
      </w:r>
      <w:r>
        <w:t>тизированной суспензии эритроцитов.</w:t>
      </w:r>
    </w:p>
    <w:p w:rsidR="000C77C0" w:rsidRDefault="00777790">
      <w:pPr>
        <w:spacing w:after="239" w:line="258" w:lineRule="auto"/>
        <w:ind w:firstLine="390"/>
        <w:jc w:val="left"/>
      </w:pPr>
      <w:r>
        <w:rPr>
          <w:i/>
        </w:rPr>
        <w:t>Определение объема стандартизованного по содержанию ГА антигена (СА), необходимого для постановки РТГА.</w:t>
      </w:r>
    </w:p>
    <w:p w:rsidR="000C77C0" w:rsidRDefault="00777790">
      <w:pPr>
        <w:ind w:left="-15"/>
      </w:pPr>
      <w:r>
        <w:t>Пример: 1 мл СА достаточно для его тестирования с 5 сыворотками, каждая из которых разведена в 8 лунках, при условии</w:t>
      </w:r>
      <w:r>
        <w:t>, что в каждую лунку добавлено по 25 мкл антигена (25 мкл х 5 сывороток х 8 лунок = 1 мл СА).</w:t>
      </w:r>
    </w:p>
    <w:p w:rsidR="000C77C0" w:rsidRDefault="00777790">
      <w:pPr>
        <w:spacing w:after="0" w:line="259" w:lineRule="auto"/>
        <w:ind w:firstLine="0"/>
        <w:jc w:val="right"/>
      </w:pPr>
      <w:r>
        <w:t>Для процедуры "повторного титрования" и с учетом потерь необходимо приготовить дополнительно 1мл СА. Т.о.</w:t>
      </w:r>
    </w:p>
    <w:p w:rsidR="000C77C0" w:rsidRDefault="00777790">
      <w:pPr>
        <w:ind w:left="-15" w:firstLine="0"/>
      </w:pPr>
      <w:r>
        <w:t>для проведения опыта нужно приготовить не менее 2 мл СА.</w:t>
      </w:r>
    </w:p>
    <w:p w:rsidR="000C77C0" w:rsidRDefault="00777790">
      <w:pPr>
        <w:spacing w:after="239" w:line="258" w:lineRule="auto"/>
        <w:ind w:left="385" w:hanging="10"/>
        <w:jc w:val="left"/>
      </w:pPr>
      <w:r>
        <w:rPr>
          <w:i/>
        </w:rPr>
        <w:t>Определение разведения антигена.</w:t>
      </w:r>
    </w:p>
    <w:p w:rsidR="000C77C0" w:rsidRDefault="00777790">
      <w:pPr>
        <w:ind w:left="-15"/>
      </w:pPr>
      <w:r>
        <w:t>Стандартизованный антиген должен содержать 8 ГАЕ в 50 мкл раствора. Необходимое для опыта разведение антигена определяют делением титра гемагглютининов на 8.</w:t>
      </w:r>
    </w:p>
    <w:p w:rsidR="000C77C0" w:rsidRDefault="00777790">
      <w:pPr>
        <w:ind w:left="-15"/>
      </w:pPr>
      <w:r>
        <w:t>Например: титр ГА составил 1:160, антиген разводят в 20 раз (160</w:t>
      </w:r>
      <w:r>
        <w:t>:8=20). Для этого 0,1 мл антигена добавляют к 1,9 мл ФСБ.</w:t>
      </w:r>
    </w:p>
    <w:p w:rsidR="000C77C0" w:rsidRDefault="00777790">
      <w:pPr>
        <w:spacing w:after="239" w:line="258" w:lineRule="auto"/>
        <w:ind w:left="10" w:hanging="10"/>
        <w:jc w:val="left"/>
      </w:pPr>
      <w:r>
        <w:rPr>
          <w:i/>
        </w:rPr>
        <w:t>Контроль дозы СА повторным титрованием.</w:t>
      </w:r>
    </w:p>
    <w:p w:rsidR="000C77C0" w:rsidRDefault="00777790">
      <w:pPr>
        <w:ind w:left="-15"/>
      </w:pPr>
      <w:r>
        <w:t>СА должен содержать 8 ГАЕ/50 мкл. Это означает, что полная агглютинация должна регистрироваться в первых 4 лунках планшета (при титровании в объеме 50 мкл с в</w:t>
      </w:r>
      <w:r>
        <w:t>несением в первую лунку неразведенного СА, а в последующие его двукратных разведений). Схема повторного титрования показана на рис.2. Если СА не содержит 8 ГАЕ/50 мкл, он доводится до нужной дозы добавлением соответствующего количества ФСБ, если титр более</w:t>
      </w:r>
      <w:r>
        <w:t xml:space="preserve"> 8, или неразведенного антигена, если титр ниже 8</w:t>
      </w:r>
    </w:p>
    <w:p w:rsidR="000C77C0" w:rsidRDefault="00777790">
      <w:pPr>
        <w:ind w:left="-15"/>
      </w:pPr>
      <w:r>
        <w:t>Пример, если полная гемагглютинация наблюдается в 5 лунках (титр 1:16), приготовленный СА следует развести в 2 раза. Наоборот, если гемагглютинация наблюдается только в первых 3 лунках (титр 1:4), в пригото</w:t>
      </w:r>
      <w:r>
        <w:t>вленный СА необходимо добавить антиген в том же количестве, что и при первичном приготовлении раствора.</w:t>
      </w:r>
    </w:p>
    <w:p w:rsidR="000C77C0" w:rsidRDefault="00777790">
      <w:pPr>
        <w:ind w:left="-15"/>
      </w:pPr>
      <w:r>
        <w:t xml:space="preserve">После тщательного перемешивания контрольное титрование СА повторяют, доводя его концентрацию до 8 ГАЕ/50 мкл. Разведенный СА следует хранить при +4°С и </w:t>
      </w:r>
      <w:r>
        <w:t>использовать в тот же день.</w:t>
      </w:r>
    </w:p>
    <w:p w:rsidR="000C77C0" w:rsidRDefault="00777790">
      <w:pPr>
        <w:spacing w:after="238" w:line="259" w:lineRule="auto"/>
        <w:ind w:left="385" w:hanging="10"/>
        <w:jc w:val="left"/>
      </w:pPr>
      <w:r>
        <w:rPr>
          <w:b/>
        </w:rPr>
        <w:t>5.3.3. Постановка РТГА.</w:t>
      </w:r>
    </w:p>
    <w:p w:rsidR="000C77C0" w:rsidRDefault="00777790">
      <w:pPr>
        <w:ind w:left="-15"/>
      </w:pPr>
      <w:r>
        <w:rPr>
          <w:i/>
        </w:rPr>
        <w:t>Титрование референс-сывороток.</w:t>
      </w:r>
      <w:r>
        <w:t xml:space="preserve"> Готовят серию двукратных разведений сывороток на ФСБ (от 1:10 до 1:1280) в объеме 25 мкл. Для этого в первые лунки рядов N 1-6 вносят по 50 </w:t>
      </w:r>
      <w:r>
        <w:t>мкл соответствующей референс-сыворотки (имеющей уже исходное разведение 1:10 после обработки RDE и прогревании). В остальные лунки (кроме лунок рядов N 6 и N 7) вносят по 25 мкл ФСБ. 25мкл сыворотки из первой лунки переносят в следующую и после тщательного</w:t>
      </w:r>
      <w:r>
        <w:t xml:space="preserve"> перемешивания процедуру повторяют. Из последней лунки избыток (25 мкл) разведенной сыворотки сбрасывают. Ряды N 6 и N 7 являются контрольными, в каждую лунку которых следует внести по 50 мкл ФСБ.</w:t>
      </w:r>
    </w:p>
    <w:p w:rsidR="000C77C0" w:rsidRDefault="00777790">
      <w:pPr>
        <w:ind w:left="-15"/>
      </w:pPr>
      <w:r>
        <w:rPr>
          <w:i/>
        </w:rPr>
        <w:t>Добавление СА.</w:t>
      </w:r>
      <w:r>
        <w:t xml:space="preserve"> К каждому разведению сыворотки добавляют по </w:t>
      </w:r>
      <w:r>
        <w:t>25 мкл стандартизованного антигена. Панели встряхивают и инкубируют при комнатной температуре в течение 15 минут.</w:t>
      </w:r>
    </w:p>
    <w:p w:rsidR="000C77C0" w:rsidRDefault="00777790">
      <w:pPr>
        <w:ind w:left="-15"/>
      </w:pPr>
      <w:r>
        <w:rPr>
          <w:i/>
        </w:rPr>
        <w:t>Внесение эритроцитов.</w:t>
      </w:r>
      <w:r>
        <w:t xml:space="preserve"> По завершении инкубации в каждую лунку, включая контрольные, добавляют по 50 мкл суспензии эритроцитов.</w:t>
      </w:r>
    </w:p>
    <w:p w:rsidR="000C77C0" w:rsidRDefault="00777790">
      <w:pPr>
        <w:spacing w:after="652" w:line="722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0C77C0" w:rsidRDefault="00777790">
      <w:pPr>
        <w:spacing w:after="238" w:line="259" w:lineRule="auto"/>
        <w:ind w:left="385" w:hanging="10"/>
        <w:jc w:val="left"/>
      </w:pPr>
      <w:r>
        <w:rPr>
          <w:b/>
        </w:rPr>
        <w:t>5.3.4.</w:t>
      </w:r>
      <w:r>
        <w:rPr>
          <w:b/>
        </w:rPr>
        <w:t xml:space="preserve"> Учет результатов.</w:t>
      </w:r>
    </w:p>
    <w:p w:rsidR="000C77C0" w:rsidRDefault="00777790">
      <w:pPr>
        <w:ind w:left="-15"/>
      </w:pPr>
      <w:r>
        <w:t>Результаты реакции учитывают через 30 минут. Оценку результатов РТГА начинают с контрольных лунок планшеты. В контрольных лунках, содержащих только эритроциты (NN 10-12 в рядах G и Н), реакция должна быть четко отрицательной. После этого</w:t>
      </w:r>
      <w:r>
        <w:t xml:space="preserve"> учитывают результаты тигрования контрольного образца сыворотки, не содержащей антител к вирусу гриппа, с используемыми референс-антигенами. Во всех этих лунках (NN 10-12, ряды A-F) должна быть четкая гемагглютинация, свидетельствующая о правильности обраб</w:t>
      </w:r>
      <w:r>
        <w:t>отки сывороток и полном удалении неспецифических ингибиторов. Далее учитывают результаты взаимодействия гомологичных референс-сывороток и референс-антигенов, которые должны быть строго специфичными (ингибиция гемагглютинации в рядах NN 1-3 должна регистрир</w:t>
      </w:r>
      <w:r>
        <w:t>оваться до титров не ниже, чем 1:160). Титром позитивной референс-сыворотки считают ее последнее разведение, обусловившее полное торможение гемагглютинации. При такой картине можно учитывать весь опыт типирования изолятов и полученные результаты считать до</w:t>
      </w:r>
      <w:r>
        <w:t>стоверными. Выводы о результатах типирования вируса делают на основании выявленного взаимодействия тестируемого изолята с одной из позитивных референс-сывороток. Изолят относят к тому или иному типу (субтипу) вируса при условии его взаимодействия с соответ</w:t>
      </w:r>
      <w:r>
        <w:t>ствующей референссывороткой до титра не ниже, чем 1:20</w:t>
      </w:r>
    </w:p>
    <w:p w:rsidR="000C77C0" w:rsidRDefault="00777790">
      <w:pPr>
        <w:spacing w:after="984"/>
        <w:ind w:left="-15"/>
      </w:pPr>
      <w:r>
        <w:t>При отсутствии взаимодействия вновь выделенного вируса с референс-сыворотками его относят к разряду нетипируемых и направляют в соответствующие Центры для последующего более детального антигенного анал</w:t>
      </w:r>
      <w:r>
        <w:t>иза.</w:t>
      </w:r>
    </w:p>
    <w:p w:rsidR="000C77C0" w:rsidRDefault="00777790">
      <w:pPr>
        <w:spacing w:after="0"/>
        <w:ind w:left="-15" w:firstLine="0"/>
      </w:pPr>
      <w:r>
        <w:t>Текст документа сверен по:</w:t>
      </w:r>
    </w:p>
    <w:p w:rsidR="000C77C0" w:rsidRDefault="00777790">
      <w:pPr>
        <w:ind w:left="-15" w:firstLine="0"/>
      </w:pPr>
      <w:r>
        <w:t>рассылка</w:t>
      </w:r>
    </w:p>
    <w:sectPr w:rsidR="000C77C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899" w:h="16838"/>
      <w:pgMar w:top="304" w:right="449" w:bottom="1666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77790">
      <w:pPr>
        <w:spacing w:after="0" w:line="240" w:lineRule="auto"/>
      </w:pPr>
      <w:r>
        <w:separator/>
      </w:r>
    </w:p>
  </w:endnote>
  <w:endnote w:type="continuationSeparator" w:id="0">
    <w:p w:rsidR="00000000" w:rsidRDefault="0077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366" name="Group 18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62" name="Shape 1896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66" style="width:594.96pt;height:1.00043pt;position:absolute;mso-position-horizontal-relative:page;mso-position-horizontal:absolute;margin-left:0pt;mso-position-vertical-relative:page;margin-top:803.337pt;" coordsize="75559,127">
              <v:shape id="Shape 1896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340" name="Group 183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60" name="Shape 1896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40" style="width:594.96pt;height:1.00043pt;position:absolute;mso-position-horizontal-relative:page;mso-position-horizontal:absolute;margin-left:0pt;mso-position-vertical-relative:page;margin-top:803.337pt;" coordsize="75559,127">
              <v:shape id="Shape 1896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</w:t>
    </w:r>
    <w:r>
      <w:rPr>
        <w:sz w:val="16"/>
      </w:rPr>
      <w:t>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314" name="Group 18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58" name="Shape 1895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14" style="width:594.96pt;height:1.00043pt;position:absolute;mso-position-horizontal-relative:page;mso-position-horizontal:absolute;margin-left:0pt;mso-position-vertical-relative:page;margin-top:803.337pt;" coordsize="75559,127">
              <v:shape id="Shape 1895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442" name="Group 18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68" name="Shape 1896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42" style="width:594.96pt;height:1.00043pt;position:absolute;mso-position-horizontal-relative:page;mso-position-horizontal:absolute;margin-left:0pt;mso-position-vertical-relative:page;margin-top:803.337pt;" coordsize="75559,127">
              <v:shape id="Shape 1896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417" name="Group 184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66" name="Shape 1896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17" style="width:594.96pt;height:1.00043pt;position:absolute;mso-position-horizontal-relative:page;mso-position-horizontal:absolute;margin-left:0pt;mso-position-vertical-relative:page;margin-top:803.337pt;" coordsize="75559,127">
              <v:shape id="Shape 1896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8392" name="Group 183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64" name="Shape 1896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92" style="width:594.96pt;height:1.00043pt;position:absolute;mso-position-horizontal-relative:page;mso-position-horizontal:absolute;margin-left:0pt;mso-position-vertical-relative:page;margin-top:803.337pt;" coordsize="75559,127">
              <v:shape id="Shape 1896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</w:t>
    </w:r>
    <w:r>
      <w:rPr>
        <w:sz w:val="16"/>
      </w:rPr>
      <w:t xml:space="preserve">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77790">
      <w:pPr>
        <w:spacing w:after="0" w:line="240" w:lineRule="auto"/>
      </w:pPr>
      <w:r>
        <w:separator/>
      </w:r>
    </w:p>
  </w:footnote>
  <w:footnote w:type="continuationSeparator" w:id="0">
    <w:p w:rsidR="00000000" w:rsidRDefault="00777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351" name="Group 183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50" name="Shape 1895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51" style="width:594.96pt;height:1.00042pt;position:absolute;mso-position-horizontal-relative:page;mso-position-horizontal:absolute;margin-left:0pt;mso-position-vertical-relative:page;margin-top:41.0172pt;" coordsize="75559,127">
              <v:shape id="Shape 1895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эмбрионах и их идентификация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рекомендации Роспотребнадзора от 18 апреля 2006 г. № 0100/4430-06-34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325" name="Group 183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48" name="Shape 1894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25" style="width:594.96pt;height:1.00042pt;position:absolute;mso-position-horizontal-relative:page;mso-position-horizontal:absolute;margin-left:0pt;mso-position-vertical-relative:page;margin-top:41.0172pt;" coordsize="75559,127">
              <v:shape id="Shape 1894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эмбрионах и их идентификация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777790">
      <w:rPr>
        <w:noProof/>
        <w:sz w:val="16"/>
      </w:rPr>
      <w:t>1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</w:t>
    </w:r>
    <w:r>
      <w:rPr>
        <w:i/>
        <w:sz w:val="16"/>
      </w:rPr>
      <w:t>и Роспотребнадзора от 18 апреля 2006 г. № 0100/4430-06-34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299" name="Group 18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46" name="Shape 1894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299" style="width:594.96pt;height:1.00042pt;position:absolute;mso-position-horizontal-relative:page;mso-position-horizontal:absolute;margin-left:0pt;mso-position-vertical-relative:page;margin-top:41.0172pt;" coordsize="75559,127">
              <v:shape id="Shape 1894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эмбрионах и их идентификация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рекомендации Роспотребнадзора от 18 апреля 2006 г. № 0100/443</w:t>
    </w:r>
    <w:r>
      <w:rPr>
        <w:i/>
        <w:sz w:val="16"/>
      </w:rPr>
      <w:t>0-06-34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427" name="Group 18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56" name="Shape 1895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27" style="width:594.96pt;height:1.00042pt;position:absolute;mso-position-horizontal-relative:page;mso-position-horizontal:absolute;margin-left:0pt;mso-position-vertical-relative:page;margin-top:41.0172pt;" coordsize="75559,127">
              <v:shape id="Shape 1895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эмбрионах и их идентификация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рекомендации Роспотребнадзора от 18 апреля 2006 г. № 0100/4430-06-34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402" name="Group 184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54" name="Shape 1895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02" style="width:594.96pt;height:1.00042pt;position:absolute;mso-position-horizontal-relative:page;mso-position-horizontal:absolute;margin-left:0pt;mso-position-vertical-relative:page;margin-top:41.0172pt;" coordsize="75559,127">
              <v:shape id="Shape 1895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эмбрионах и их идентификация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рекомендации Роспотребнадзора от 18 апреля 2006 г. № 0100/4430-06-34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7C0" w:rsidRDefault="00777790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8377" name="Group 183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8952" name="Shape 1895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377" style="width:594.96pt;height:1.00042pt;position:absolute;mso-position-horizontal-relative:page;mso-position-horizontal:absolute;margin-left:0pt;mso-position-vertical-relative:page;margin-top:41.0172pt;" coordsize="75559,127">
              <v:shape id="Shape 1895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Выделение вирусов гриппа в клеточных культурах и куриных э</w:t>
    </w:r>
    <w:r>
      <w:rPr>
        <w:sz w:val="16"/>
      </w:rPr>
      <w:t>мбрионах и их идентификация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0C77C0" w:rsidRDefault="00777790">
    <w:pPr>
      <w:spacing w:after="0" w:line="259" w:lineRule="auto"/>
      <w:ind w:left="-50" w:firstLine="0"/>
      <w:jc w:val="left"/>
    </w:pPr>
    <w:r>
      <w:rPr>
        <w:i/>
        <w:sz w:val="16"/>
      </w:rPr>
      <w:t>Методические рекомендации Роспотребнадзора от 18 апреля 2006 г. № 0100/4430-06-34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067"/>
    <w:multiLevelType w:val="hybridMultilevel"/>
    <w:tmpl w:val="03564FAC"/>
    <w:lvl w:ilvl="0" w:tplc="CFCEC644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6EF3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8013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BEA32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68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04E1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A012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CBEA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7016A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73622B9"/>
    <w:multiLevelType w:val="hybridMultilevel"/>
    <w:tmpl w:val="B0F08674"/>
    <w:lvl w:ilvl="0" w:tplc="9DD4359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1AB75A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ADA04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AEA9A8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D86FD8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1ED482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6CCA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418FC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1E42E0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C0"/>
    <w:rsid w:val="000C77C0"/>
    <w:rsid w:val="0077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C72ED43-1227-4CF4-B241-DEC7CB83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8" w:line="265" w:lineRule="auto"/>
      <w:ind w:firstLine="38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25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25" w:line="265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5680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yperlink" Target="http://docs.cntd.ru/document/1200005680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http://docs.cntd.ru/document/1200005680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200005680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5505</Words>
  <Characters>31379</Characters>
  <Application>Microsoft Office Word</Application>
  <DocSecurity>4</DocSecurity>
  <Lines>261</Lines>
  <Paragraphs>73</Paragraphs>
  <ScaleCrop>false</ScaleCrop>
  <Company/>
  <LinksUpToDate>false</LinksUpToDate>
  <CharactersWithSpaces>36811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2025-02-10T14:17:00Z</dcterms:created>
  <dcterms:modified xsi:type="dcterms:W3CDTF">2025-02-10T14:17:00Z</dcterms:modified>
</cp:coreProperties>
</file>