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C87" w:rsidRDefault="00084EA7">
      <w:pPr>
        <w:spacing w:after="113" w:line="259" w:lineRule="auto"/>
        <w:ind w:left="1754" w:right="0" w:firstLine="0"/>
        <w:jc w:val="lef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3715385" cy="90043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5385" cy="90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C87" w:rsidRDefault="00084EA7">
      <w:pPr>
        <w:spacing w:after="110" w:line="259" w:lineRule="auto"/>
        <w:ind w:right="0" w:firstLine="0"/>
        <w:jc w:val="left"/>
      </w:pPr>
      <w:r>
        <w:rPr>
          <w:b/>
        </w:rPr>
        <w:t xml:space="preserve"> </w:t>
      </w:r>
    </w:p>
    <w:p w:rsidR="00B64C87" w:rsidRDefault="00084EA7">
      <w:pPr>
        <w:spacing w:after="112" w:line="259" w:lineRule="auto"/>
        <w:ind w:right="0" w:firstLine="0"/>
        <w:jc w:val="center"/>
      </w:pPr>
      <w:r>
        <w:t xml:space="preserve"> </w:t>
      </w:r>
    </w:p>
    <w:p w:rsidR="00B64C87" w:rsidRDefault="00084EA7">
      <w:pPr>
        <w:spacing w:after="161" w:line="259" w:lineRule="auto"/>
        <w:ind w:right="0" w:firstLine="0"/>
        <w:jc w:val="center"/>
      </w:pPr>
      <w:r>
        <w:t xml:space="preserve"> </w:t>
      </w:r>
    </w:p>
    <w:p w:rsidR="00B64C87" w:rsidRDefault="00084EA7">
      <w:pPr>
        <w:spacing w:after="112" w:line="259" w:lineRule="auto"/>
        <w:ind w:firstLine="0"/>
        <w:jc w:val="center"/>
      </w:pPr>
      <w:r>
        <w:t xml:space="preserve">Методические указания </w:t>
      </w:r>
    </w:p>
    <w:p w:rsidR="00B64C87" w:rsidRDefault="00084EA7">
      <w:pPr>
        <w:spacing w:after="170" w:line="259" w:lineRule="auto"/>
        <w:ind w:right="0" w:firstLine="0"/>
        <w:jc w:val="center"/>
      </w:pPr>
      <w:r>
        <w:t xml:space="preserve"> </w:t>
      </w:r>
    </w:p>
    <w:p w:rsidR="00B64C87" w:rsidRDefault="00084EA7">
      <w:pPr>
        <w:spacing w:after="2" w:line="356" w:lineRule="auto"/>
        <w:ind w:left="307" w:right="0" w:firstLine="252"/>
        <w:jc w:val="left"/>
      </w:pPr>
      <w:r>
        <w:rPr>
          <w:b/>
        </w:rPr>
        <w:t xml:space="preserve">«Правила проведения химико-токсикологических исследований наличия в организме человека наркотических средств, психотропных и иных токсических </w:t>
      </w:r>
    </w:p>
    <w:p w:rsidR="00B64C87" w:rsidRDefault="00084EA7">
      <w:pPr>
        <w:spacing w:after="151" w:line="270" w:lineRule="auto"/>
        <w:ind w:left="231" w:right="0" w:hanging="10"/>
        <w:jc w:val="left"/>
      </w:pPr>
      <w:r>
        <w:rPr>
          <w:b/>
        </w:rPr>
        <w:t xml:space="preserve">веществ (их метаболитов) при проведении медицинских осмотров и медицинских </w:t>
      </w:r>
    </w:p>
    <w:p w:rsidR="00B64C87" w:rsidRDefault="00084EA7">
      <w:pPr>
        <w:spacing w:after="102" w:line="270" w:lineRule="auto"/>
        <w:ind w:left="1757" w:right="0" w:hanging="10"/>
        <w:jc w:val="left"/>
      </w:pPr>
      <w:r>
        <w:rPr>
          <w:b/>
        </w:rPr>
        <w:t xml:space="preserve">освидетельствований отдельных категорий граждан» </w:t>
      </w:r>
    </w:p>
    <w:p w:rsidR="00B64C87" w:rsidRDefault="00084EA7">
      <w:pPr>
        <w:spacing w:after="162" w:line="259" w:lineRule="auto"/>
        <w:ind w:right="0" w:firstLine="0"/>
        <w:jc w:val="center"/>
      </w:pPr>
      <w:r>
        <w:rPr>
          <w:b/>
        </w:rPr>
        <w:t xml:space="preserve"> </w:t>
      </w:r>
    </w:p>
    <w:p w:rsidR="00B64C87" w:rsidRDefault="00084EA7">
      <w:pPr>
        <w:spacing w:after="167" w:line="249" w:lineRule="auto"/>
        <w:ind w:left="10" w:right="61" w:hanging="10"/>
        <w:jc w:val="center"/>
      </w:pPr>
      <w:r>
        <w:rPr>
          <w:b/>
        </w:rPr>
        <w:t xml:space="preserve">Москва, 2016 </w:t>
      </w:r>
    </w:p>
    <w:p w:rsidR="00B64C87" w:rsidRDefault="00084EA7">
      <w:pPr>
        <w:spacing w:after="112" w:line="259" w:lineRule="auto"/>
        <w:ind w:left="2228" w:right="52" w:firstLine="0"/>
      </w:pPr>
      <w:r>
        <w:t xml:space="preserve">Тип: нормы и правила в сфере охраны здоровья </w:t>
      </w:r>
    </w:p>
    <w:p w:rsidR="00B64C87" w:rsidRDefault="00084EA7">
      <w:pPr>
        <w:spacing w:after="115" w:line="259" w:lineRule="auto"/>
        <w:ind w:right="0" w:firstLine="0"/>
        <w:jc w:val="center"/>
      </w:pPr>
      <w:r>
        <w:t xml:space="preserve"> </w:t>
      </w:r>
    </w:p>
    <w:p w:rsidR="00B64C87" w:rsidRDefault="00084EA7">
      <w:pPr>
        <w:spacing w:after="112" w:line="259" w:lineRule="auto"/>
        <w:ind w:right="0" w:firstLine="0"/>
        <w:jc w:val="center"/>
      </w:pPr>
      <w:r>
        <w:t xml:space="preserve"> </w:t>
      </w:r>
    </w:p>
    <w:p w:rsidR="00B64C87" w:rsidRDefault="00084EA7">
      <w:pPr>
        <w:spacing w:after="159" w:line="259" w:lineRule="auto"/>
        <w:ind w:right="284" w:firstLine="0"/>
        <w:jc w:val="center"/>
      </w:pPr>
      <w:r>
        <w:t xml:space="preserve"> </w:t>
      </w:r>
    </w:p>
    <w:p w:rsidR="00B64C87" w:rsidRDefault="00084EA7">
      <w:pPr>
        <w:spacing w:after="0" w:line="278" w:lineRule="auto"/>
        <w:ind w:left="-5" w:right="5067" w:hanging="10"/>
        <w:jc w:val="left"/>
      </w:pPr>
      <w:r>
        <w:t xml:space="preserve">Главный внештатный специалист по аналитической и судебно-медицинской токсикологии Минздрава России, </w:t>
      </w:r>
    </w:p>
    <w:p w:rsidR="00B64C87" w:rsidRDefault="00084EA7">
      <w:pPr>
        <w:spacing w:line="259" w:lineRule="auto"/>
        <w:ind w:left="-15" w:right="52" w:firstLine="0"/>
      </w:pPr>
      <w:r>
        <w:t xml:space="preserve">вице-президент Ассоциации ФЛМ, </w:t>
      </w:r>
    </w:p>
    <w:p w:rsidR="00B64C87" w:rsidRDefault="00084EA7">
      <w:pPr>
        <w:spacing w:line="249" w:lineRule="auto"/>
        <w:ind w:left="10" w:right="45" w:hanging="10"/>
        <w:jc w:val="right"/>
      </w:pPr>
      <w:r>
        <w:t xml:space="preserve">д.х.н., профессор                                                                                                          Б.Н. Изотов               </w:t>
      </w:r>
    </w:p>
    <w:p w:rsidR="00B64C87" w:rsidRDefault="00084EA7">
      <w:pPr>
        <w:spacing w:after="18" w:line="259" w:lineRule="auto"/>
        <w:ind w:left="3404" w:right="0" w:firstLine="0"/>
        <w:jc w:val="left"/>
      </w:pPr>
      <w:r>
        <w:rPr>
          <w:b/>
        </w:rPr>
        <w:t xml:space="preserve"> </w:t>
      </w:r>
    </w:p>
    <w:p w:rsidR="00B64C87" w:rsidRDefault="00084EA7">
      <w:pPr>
        <w:spacing w:after="0" w:line="278" w:lineRule="auto"/>
        <w:ind w:left="-5" w:right="4971" w:hanging="10"/>
        <w:jc w:val="left"/>
      </w:pPr>
      <w:r>
        <w:t xml:space="preserve">Главный внештатный специалист по клинической лабораторной диагностике Минздрава России, </w:t>
      </w:r>
      <w:r>
        <w:t xml:space="preserve">президент Ассоциации ФЛМ, </w:t>
      </w:r>
    </w:p>
    <w:p w:rsidR="00B64C87" w:rsidRDefault="00084EA7">
      <w:pPr>
        <w:spacing w:line="259" w:lineRule="auto"/>
        <w:ind w:left="-15" w:right="52" w:firstLine="0"/>
      </w:pPr>
      <w:r>
        <w:t xml:space="preserve">д.м.н., профессор                                                                                                        </w:t>
      </w:r>
    </w:p>
    <w:p w:rsidR="00B64C87" w:rsidRDefault="00084EA7">
      <w:pPr>
        <w:spacing w:line="249" w:lineRule="auto"/>
        <w:ind w:left="10" w:right="45" w:hanging="10"/>
        <w:jc w:val="right"/>
      </w:pPr>
      <w:r>
        <w:t xml:space="preserve">А.Г. Кочетов </w:t>
      </w:r>
      <w:r>
        <w:rPr>
          <w:b/>
        </w:rPr>
        <w:t xml:space="preserve"> </w:t>
      </w:r>
    </w:p>
    <w:p w:rsidR="00B64C87" w:rsidRDefault="00084EA7">
      <w:pPr>
        <w:spacing w:after="17" w:line="259" w:lineRule="auto"/>
        <w:ind w:right="0" w:firstLine="0"/>
        <w:jc w:val="left"/>
      </w:pPr>
      <w:r>
        <w:rPr>
          <w:b/>
        </w:rPr>
        <w:t xml:space="preserve"> </w:t>
      </w:r>
    </w:p>
    <w:p w:rsidR="00B64C87" w:rsidRDefault="00084EA7">
      <w:pPr>
        <w:spacing w:line="259" w:lineRule="auto"/>
        <w:ind w:left="-15" w:right="52" w:firstLine="0"/>
      </w:pPr>
      <w:r>
        <w:t xml:space="preserve">Председатель комитета Ассоциации  </w:t>
      </w:r>
    </w:p>
    <w:p w:rsidR="00B64C87" w:rsidRDefault="00084EA7">
      <w:pPr>
        <w:spacing w:line="259" w:lineRule="auto"/>
        <w:ind w:left="-15" w:right="52" w:firstLine="0"/>
      </w:pPr>
      <w:r>
        <w:t xml:space="preserve">специалистов и организаций лабораторной службы  </w:t>
      </w:r>
    </w:p>
    <w:p w:rsidR="00B64C87" w:rsidRDefault="00084EA7">
      <w:pPr>
        <w:spacing w:line="278" w:lineRule="auto"/>
        <w:ind w:left="-15" w:right="5096" w:firstLine="0"/>
      </w:pPr>
      <w:r>
        <w:t>«Федер</w:t>
      </w:r>
      <w:r>
        <w:t xml:space="preserve">ация лабораторной медицины»  по аналитической  </w:t>
      </w:r>
    </w:p>
    <w:p w:rsidR="00B64C87" w:rsidRDefault="00084EA7">
      <w:pPr>
        <w:spacing w:line="259" w:lineRule="auto"/>
        <w:ind w:left="-15" w:right="52" w:firstLine="0"/>
      </w:pPr>
      <w:r>
        <w:t xml:space="preserve">и судебно-медицинской токсикологии                                                                   </w:t>
      </w:r>
    </w:p>
    <w:p w:rsidR="00B64C87" w:rsidRDefault="00084EA7">
      <w:pPr>
        <w:spacing w:line="249" w:lineRule="auto"/>
        <w:ind w:left="10" w:right="45" w:hanging="10"/>
        <w:jc w:val="right"/>
      </w:pPr>
      <w:r>
        <w:t xml:space="preserve">Ю.Е. Кочнев </w:t>
      </w:r>
    </w:p>
    <w:p w:rsidR="00B64C87" w:rsidRDefault="00084EA7">
      <w:pPr>
        <w:spacing w:after="1505" w:line="259" w:lineRule="auto"/>
        <w:ind w:right="0" w:firstLine="0"/>
        <w:jc w:val="left"/>
      </w:pPr>
      <w:r>
        <w:t xml:space="preserve"> </w:t>
      </w:r>
      <w:r>
        <w:tab/>
        <w:t xml:space="preserve"> </w:t>
      </w:r>
    </w:p>
    <w:p w:rsidR="00B64C87" w:rsidRDefault="00084EA7">
      <w:pPr>
        <w:tabs>
          <w:tab w:val="center" w:pos="4652"/>
        </w:tabs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259580" cy="509625"/>
                <wp:effectExtent l="0" t="0" r="0" b="0"/>
                <wp:docPr id="20367" name="Group 20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9580" cy="509625"/>
                          <a:chOff x="0" y="0"/>
                          <a:chExt cx="4259580" cy="50962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34340" y="100050"/>
                            <a:ext cx="3429000" cy="4095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42595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9580" h="7620">
                                <a:moveTo>
                                  <a:pt x="0" y="7620"/>
                                </a:moveTo>
                                <a:lnTo>
                                  <a:pt x="425958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5B9BD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367" style="width:335.4pt;height:40.128pt;mso-position-horizontal-relative:char;mso-position-vertical-relative:line" coordsize="42595,5096">
                <v:shape id="Picture 7" style="position:absolute;width:34290;height:4095;left:4343;top:1000;" filled="f">
                  <v:imagedata r:id="rId9"/>
                </v:shape>
                <v:shape id="Shape 12" style="position:absolute;width:42595;height:76;left:0;top:0;" coordsize="4259580,7620" path="m0,7620l4259580,0">
                  <v:stroke weight="0.5pt" endcap="flat" joinstyle="miter" miterlimit="10" on="true" color="#5b9bd5"/>
                  <v:fill on="false" color="#000000" opacity="0"/>
                </v:shape>
              </v:group>
            </w:pict>
          </mc:Fallback>
        </mc:AlternateContent>
      </w:r>
    </w:p>
    <w:p w:rsidR="00B64C87" w:rsidRDefault="00084EA7">
      <w:pPr>
        <w:spacing w:after="146" w:line="270" w:lineRule="auto"/>
        <w:ind w:left="703" w:right="0" w:hanging="10"/>
        <w:jc w:val="left"/>
      </w:pPr>
      <w:r>
        <w:rPr>
          <w:b/>
        </w:rPr>
        <w:t xml:space="preserve">Разработчики: </w:t>
      </w:r>
    </w:p>
    <w:p w:rsidR="00B64C87" w:rsidRDefault="00084EA7">
      <w:pPr>
        <w:ind w:left="-15" w:right="52"/>
      </w:pPr>
      <w:r>
        <w:t xml:space="preserve">Комитет Ассоциации </w:t>
      </w:r>
      <w:r>
        <w:t xml:space="preserve">специалистов и организаций лабораторной службы «Федерация лабораторной медицины» по аналитической и судебно-медицинской токсикологии. </w:t>
      </w:r>
    </w:p>
    <w:p w:rsidR="00B64C87" w:rsidRDefault="00084EA7">
      <w:pPr>
        <w:spacing w:after="102" w:line="270" w:lineRule="auto"/>
        <w:ind w:left="703" w:right="0" w:hanging="10"/>
        <w:jc w:val="left"/>
      </w:pPr>
      <w:r>
        <w:rPr>
          <w:b/>
        </w:rPr>
        <w:t xml:space="preserve">Ответственный разработчик: </w:t>
      </w:r>
    </w:p>
    <w:p w:rsidR="00B64C87" w:rsidRDefault="00084EA7">
      <w:pPr>
        <w:ind w:left="-15" w:right="52"/>
      </w:pPr>
      <w:r>
        <w:t xml:space="preserve">Ассоциация специалистов и организаций лабораторной службы «Федерация лабораторной медицины». </w:t>
      </w:r>
    </w:p>
    <w:p w:rsidR="00B64C87" w:rsidRDefault="00084EA7">
      <w:pPr>
        <w:ind w:left="-15" w:right="52"/>
      </w:pPr>
      <w:r>
        <w:t xml:space="preserve">Под редакцией главного внештатного специалиста по аналитической и судебномедицинской токсикологии Минздрава России, д.х.н., профессора Изотова Б.Н., главного внештатного специалиста по клинической лабораторной диагностике Минздрава России, </w:t>
      </w:r>
    </w:p>
    <w:p w:rsidR="00B64C87" w:rsidRDefault="00084EA7">
      <w:pPr>
        <w:ind w:left="-15" w:right="52" w:firstLine="0"/>
      </w:pPr>
      <w:r>
        <w:t>д.м.н., профес</w:t>
      </w:r>
      <w:r>
        <w:t>сора Кочетова А. Г., главного внештатного специалиста психиатр-нарколога Минздрава России, д.м.н., профессора Брюна Е.А., председателя комитета Ассоциации специалистов и организаций лабораторной службы «Федерация лабораторной медицины» по аналитической и с</w:t>
      </w:r>
      <w:r>
        <w:t xml:space="preserve">удебно-медицинской токсикологии Кочнева Ю.Е. </w:t>
      </w:r>
    </w:p>
    <w:p w:rsidR="00B64C87" w:rsidRDefault="00084EA7">
      <w:pPr>
        <w:spacing w:after="195" w:line="259" w:lineRule="auto"/>
        <w:ind w:left="708" w:right="0" w:firstLine="0"/>
        <w:jc w:val="left"/>
      </w:pPr>
      <w:r>
        <w:rPr>
          <w:sz w:val="16"/>
        </w:rPr>
        <w:t xml:space="preserve"> </w:t>
      </w:r>
    </w:p>
    <w:p w:rsidR="00B64C87" w:rsidRDefault="00084EA7">
      <w:pPr>
        <w:tabs>
          <w:tab w:val="center" w:pos="1286"/>
          <w:tab w:val="center" w:pos="2618"/>
          <w:tab w:val="center" w:pos="3817"/>
          <w:tab w:val="center" w:pos="6080"/>
          <w:tab w:val="right" w:pos="9417"/>
        </w:tabs>
        <w:spacing w:after="167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Ключевые </w:t>
      </w:r>
      <w:r>
        <w:rPr>
          <w:b/>
        </w:rPr>
        <w:tab/>
        <w:t>слова</w:t>
      </w:r>
      <w:r>
        <w:t xml:space="preserve">: </w:t>
      </w:r>
      <w:r>
        <w:tab/>
        <w:t xml:space="preserve">правила, </w:t>
      </w:r>
      <w:r>
        <w:tab/>
        <w:t xml:space="preserve">химико-токсикологические </w:t>
      </w:r>
      <w:r>
        <w:tab/>
        <w:t xml:space="preserve">исследования, </w:t>
      </w:r>
    </w:p>
    <w:p w:rsidR="00B64C87" w:rsidRDefault="00084EA7">
      <w:pPr>
        <w:spacing w:after="38" w:line="259" w:lineRule="auto"/>
        <w:ind w:left="-15" w:right="52" w:firstLine="0"/>
      </w:pPr>
      <w:r>
        <w:t xml:space="preserve">наркотические средства, психотропные вещества </w:t>
      </w:r>
    </w:p>
    <w:p w:rsidR="00B64C87" w:rsidRDefault="00084EA7">
      <w:pPr>
        <w:spacing w:after="196" w:line="259" w:lineRule="auto"/>
        <w:ind w:left="708" w:right="0" w:firstLine="0"/>
        <w:jc w:val="left"/>
      </w:pPr>
      <w:r>
        <w:rPr>
          <w:sz w:val="16"/>
        </w:rPr>
        <w:t xml:space="preserve"> </w:t>
      </w:r>
    </w:p>
    <w:p w:rsidR="00B64C87" w:rsidRDefault="00084EA7">
      <w:pPr>
        <w:ind w:left="-15" w:right="52"/>
      </w:pPr>
      <w:r>
        <w:t>Настоящие правила устанавливают единые требования выполнения химико</w:t>
      </w:r>
      <w:r>
        <w:t>токсикологических исследований при проведении медицинских осмотров и медицинских освидетельствований отдельных категорий граждан, установленных Федеральным законом от 13 июля 2015 г. № 230-ФЗ «О внесении изменений в отдельные законодательные акты Российско</w:t>
      </w:r>
      <w:r>
        <w:t xml:space="preserve">й Федерации» и другими нормативными правовыми актами Российской Федерации. </w:t>
      </w:r>
    </w:p>
    <w:p w:rsidR="00B64C87" w:rsidRDefault="00084EA7">
      <w:pPr>
        <w:ind w:left="-15" w:right="52"/>
      </w:pPr>
      <w:r>
        <w:t xml:space="preserve">Представлены от Ассоциации специалистов и организаций лабораторной службы «Федерация лабораторной медицины», Ассоциации наркологов России и Общероссийской общественной организации </w:t>
      </w:r>
      <w:r>
        <w:t>«Российская наркологическая лига» в соответствии с п. 2 ст. 76 Федерального закона Российской Федерации от 21 ноября 2011 г. № 323-ФЗ «Об основах охраны здоровья граждан в Российской Федерации». Утверждены профильной комиссией Минздрава России по аналитиче</w:t>
      </w:r>
      <w:r>
        <w:t xml:space="preserve">ской и судебно-медицинской токсикологии при участии членов профильной комиссии Минздрава России по клинической лабораторной диагностике (по компетенции) 13 октября 2016 г. </w:t>
      </w:r>
    </w:p>
    <w:p w:rsidR="00B64C87" w:rsidRDefault="00084EA7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</w:p>
    <w:p w:rsidR="00B64C87" w:rsidRDefault="00084EA7">
      <w:pPr>
        <w:spacing w:after="445" w:line="249" w:lineRule="auto"/>
        <w:ind w:left="10" w:right="60" w:hanging="10"/>
        <w:jc w:val="center"/>
      </w:pPr>
      <w:r>
        <w:rPr>
          <w:b/>
        </w:rPr>
        <w:t xml:space="preserve">ОГЛАВЛЕНИЕ </w:t>
      </w:r>
    </w:p>
    <w:p w:rsidR="00B64C87" w:rsidRDefault="00084EA7">
      <w:pPr>
        <w:spacing w:after="0" w:line="259" w:lineRule="auto"/>
        <w:ind w:left="12" w:right="0" w:firstLine="0"/>
        <w:jc w:val="center"/>
      </w:pPr>
      <w:r>
        <w:rPr>
          <w:rFonts w:ascii="Calibri" w:eastAsia="Calibri" w:hAnsi="Calibri" w:cs="Calibri"/>
          <w:color w:val="2E74B5"/>
          <w:sz w:val="32"/>
        </w:rPr>
        <w:t xml:space="preserve"> </w:t>
      </w:r>
    </w:p>
    <w:p w:rsidR="00B64C87" w:rsidRDefault="00084EA7">
      <w:pPr>
        <w:spacing w:after="8" w:line="248" w:lineRule="auto"/>
        <w:ind w:left="-5" w:right="38" w:hanging="10"/>
        <w:jc w:val="left"/>
      </w:pPr>
      <w:r>
        <w:rPr>
          <w:sz w:val="22"/>
        </w:rPr>
        <w:t xml:space="preserve">Правила проведения химико-токсикологических исследований наличия </w:t>
      </w:r>
      <w:r>
        <w:rPr>
          <w:sz w:val="22"/>
        </w:rPr>
        <w:t xml:space="preserve">в организме человека наркотических средств, психотропных и иных токсических веществ (их метаболитов) в рамках </w:t>
      </w:r>
    </w:p>
    <w:p w:rsidR="00B64C87" w:rsidRDefault="00084EA7">
      <w:pPr>
        <w:spacing w:after="8" w:line="248" w:lineRule="auto"/>
        <w:ind w:left="-5" w:right="38" w:hanging="10"/>
        <w:jc w:val="left"/>
      </w:pPr>
      <w:r>
        <w:rPr>
          <w:sz w:val="22"/>
        </w:rPr>
        <w:t xml:space="preserve">медицинских осмотров и медицинских освидетельствований отдельных категорий граждан (далее </w:t>
      </w:r>
    </w:p>
    <w:p w:rsidR="00B64C87" w:rsidRDefault="00084EA7">
      <w:pPr>
        <w:spacing w:after="0" w:line="259" w:lineRule="auto"/>
        <w:ind w:left="-5" w:right="0" w:hanging="10"/>
        <w:jc w:val="left"/>
      </w:pPr>
      <w:r>
        <w:rPr>
          <w:sz w:val="22"/>
        </w:rPr>
        <w:t>– Правила)</w:t>
      </w:r>
      <w:r>
        <w:rPr>
          <w:rFonts w:ascii="Calibri" w:eastAsia="Calibri" w:hAnsi="Calibri" w:cs="Calibri"/>
          <w:sz w:val="22"/>
        </w:rPr>
        <w:t xml:space="preserve"> ...........................................</w:t>
      </w:r>
      <w:r>
        <w:rPr>
          <w:rFonts w:ascii="Calibri" w:eastAsia="Calibri" w:hAnsi="Calibri" w:cs="Calibri"/>
          <w:sz w:val="22"/>
        </w:rPr>
        <w:t xml:space="preserve">......................................................................................................... 4 </w:t>
      </w:r>
    </w:p>
    <w:p w:rsidR="00B64C87" w:rsidRDefault="00084EA7">
      <w:pPr>
        <w:spacing w:after="8" w:line="248" w:lineRule="auto"/>
        <w:ind w:left="-5" w:right="38" w:hanging="10"/>
        <w:jc w:val="left"/>
      </w:pPr>
      <w:r>
        <w:rPr>
          <w:sz w:val="22"/>
        </w:rPr>
        <w:t xml:space="preserve">Приложение № 1. Правила отбора, транспортировки, хранения, приема и регистрации образцов </w:t>
      </w:r>
    </w:p>
    <w:p w:rsidR="00B64C87" w:rsidRDefault="00084EA7">
      <w:pPr>
        <w:spacing w:after="0" w:line="259" w:lineRule="auto"/>
        <w:ind w:left="-5" w:right="0" w:hanging="10"/>
        <w:jc w:val="left"/>
      </w:pPr>
      <w:r>
        <w:rPr>
          <w:sz w:val="22"/>
        </w:rPr>
        <w:t>мочи</w:t>
      </w:r>
      <w:r>
        <w:rPr>
          <w:rFonts w:ascii="Calibri" w:eastAsia="Calibri" w:hAnsi="Calibri" w:cs="Calibri"/>
          <w:sz w:val="22"/>
        </w:rPr>
        <w:t xml:space="preserve"> ....................................................</w:t>
      </w:r>
      <w:r>
        <w:rPr>
          <w:rFonts w:ascii="Calibri" w:eastAsia="Calibri" w:hAnsi="Calibri" w:cs="Calibri"/>
          <w:sz w:val="22"/>
        </w:rPr>
        <w:t xml:space="preserve">........................................................................................................ 10 </w:t>
      </w:r>
    </w:p>
    <w:p w:rsidR="00B64C87" w:rsidRDefault="00084EA7">
      <w:pPr>
        <w:spacing w:after="8" w:line="248" w:lineRule="auto"/>
        <w:ind w:left="-5" w:right="38" w:hanging="10"/>
        <w:jc w:val="left"/>
      </w:pPr>
      <w:r>
        <w:rPr>
          <w:sz w:val="22"/>
        </w:rPr>
        <w:t xml:space="preserve">Приложение №2. Стандарт оснащения аналитическим и вспомогательным лабораторным </w:t>
      </w:r>
    </w:p>
    <w:p w:rsidR="00B64C87" w:rsidRDefault="00084EA7">
      <w:pPr>
        <w:spacing w:after="8" w:line="248" w:lineRule="auto"/>
        <w:ind w:left="-5" w:right="38" w:hanging="10"/>
        <w:jc w:val="left"/>
      </w:pPr>
      <w:r>
        <w:rPr>
          <w:sz w:val="22"/>
        </w:rPr>
        <w:t>оборудованием медицинских организаций (учреждений), выполняющих пре</w:t>
      </w:r>
      <w:r>
        <w:rPr>
          <w:sz w:val="22"/>
        </w:rPr>
        <w:t>дварительные химико-</w:t>
      </w:r>
    </w:p>
    <w:p w:rsidR="00B64C87" w:rsidRDefault="00084EA7">
      <w:pPr>
        <w:spacing w:after="0" w:line="259" w:lineRule="auto"/>
        <w:ind w:left="-5" w:right="0" w:hanging="10"/>
        <w:jc w:val="left"/>
      </w:pPr>
      <w:r>
        <w:rPr>
          <w:sz w:val="22"/>
        </w:rPr>
        <w:t>токсикологические исследования</w:t>
      </w:r>
      <w:r>
        <w:rPr>
          <w:rFonts w:ascii="Calibri" w:eastAsia="Calibri" w:hAnsi="Calibri" w:cs="Calibri"/>
          <w:sz w:val="22"/>
        </w:rPr>
        <w:t xml:space="preserve"> ............................................................................................................ 13 </w:t>
      </w:r>
    </w:p>
    <w:p w:rsidR="00B64C87" w:rsidRDefault="00084EA7">
      <w:pPr>
        <w:spacing w:after="8" w:line="248" w:lineRule="auto"/>
        <w:ind w:left="-5" w:right="38" w:hanging="10"/>
        <w:jc w:val="left"/>
      </w:pPr>
      <w:r>
        <w:rPr>
          <w:sz w:val="22"/>
        </w:rPr>
        <w:t xml:space="preserve">Приложение № 3. Стандарт оснащения аналитическим лабораторным оборудованием </w:t>
      </w:r>
    </w:p>
    <w:p w:rsidR="00B64C87" w:rsidRDefault="00084EA7">
      <w:pPr>
        <w:spacing w:after="32" w:line="248" w:lineRule="auto"/>
        <w:ind w:left="-5" w:right="38" w:hanging="10"/>
        <w:jc w:val="left"/>
      </w:pPr>
      <w:r>
        <w:rPr>
          <w:sz w:val="22"/>
        </w:rPr>
        <w:t xml:space="preserve">медицинских организаций (учреждений), выполняющих предварительные и подтверждающие </w:t>
      </w:r>
    </w:p>
    <w:p w:rsidR="00B64C87" w:rsidRDefault="00084EA7">
      <w:pPr>
        <w:spacing w:after="0" w:line="259" w:lineRule="auto"/>
        <w:ind w:left="-5" w:right="0" w:hanging="10"/>
        <w:jc w:val="left"/>
      </w:pPr>
      <w:r>
        <w:rPr>
          <w:sz w:val="22"/>
        </w:rPr>
        <w:t>химико-токсикологические исследования</w:t>
      </w:r>
      <w:r>
        <w:rPr>
          <w:rFonts w:ascii="Calibri" w:eastAsia="Calibri" w:hAnsi="Calibri" w:cs="Calibri"/>
          <w:sz w:val="22"/>
        </w:rPr>
        <w:t xml:space="preserve"> .............................................................................................. 15 </w:t>
      </w:r>
    </w:p>
    <w:p w:rsidR="00B64C87" w:rsidRDefault="00084EA7">
      <w:pPr>
        <w:spacing w:after="8" w:line="248" w:lineRule="auto"/>
        <w:ind w:left="-5" w:right="38" w:hanging="10"/>
        <w:jc w:val="left"/>
      </w:pPr>
      <w:r>
        <w:rPr>
          <w:sz w:val="22"/>
        </w:rPr>
        <w:t>Приложение № 4. Требования к технич</w:t>
      </w:r>
      <w:r>
        <w:rPr>
          <w:sz w:val="22"/>
        </w:rPr>
        <w:t xml:space="preserve">еским средствам и реагентам, применяемым с целью обнаружения наркотических средств, психотропных и иных токсических веществ (их метаболитов) в моче, при проведении предварительных химико-токсикологических исследований </w:t>
      </w:r>
    </w:p>
    <w:p w:rsidR="00B64C87" w:rsidRDefault="00084EA7">
      <w:pPr>
        <w:spacing w:after="0" w:line="259" w:lineRule="auto"/>
        <w:ind w:left="-5" w:right="0" w:hanging="10"/>
        <w:jc w:val="left"/>
      </w:pPr>
      <w:r>
        <w:rPr>
          <w:sz w:val="22"/>
        </w:rPr>
        <w:t>(для веществ, указанных в таблице)</w:t>
      </w:r>
      <w:r>
        <w:rPr>
          <w:rFonts w:ascii="Calibri" w:eastAsia="Calibri" w:hAnsi="Calibri" w:cs="Calibri"/>
          <w:sz w:val="22"/>
        </w:rPr>
        <w:t xml:space="preserve"> ..</w:t>
      </w:r>
      <w:r>
        <w:rPr>
          <w:rFonts w:ascii="Calibri" w:eastAsia="Calibri" w:hAnsi="Calibri" w:cs="Calibri"/>
          <w:sz w:val="22"/>
        </w:rPr>
        <w:t xml:space="preserve">...................................................................................................... 18 </w:t>
      </w:r>
    </w:p>
    <w:p w:rsidR="00B64C87" w:rsidRDefault="00084EA7">
      <w:pPr>
        <w:spacing w:after="8" w:line="248" w:lineRule="auto"/>
        <w:ind w:left="-5" w:right="38" w:hanging="10"/>
        <w:jc w:val="left"/>
      </w:pPr>
      <w:r>
        <w:rPr>
          <w:sz w:val="22"/>
        </w:rPr>
        <w:t>Приложение № 5. Минимально возможные для определения концентрации наркотических средств, психотропных веществ, иных химических веществ и их метаболит</w:t>
      </w:r>
      <w:r>
        <w:rPr>
          <w:sz w:val="22"/>
        </w:rPr>
        <w:t xml:space="preserve">ов в моче, определяемые </w:t>
      </w:r>
    </w:p>
    <w:p w:rsidR="00B64C87" w:rsidRDefault="00084EA7">
      <w:pPr>
        <w:spacing w:after="8" w:line="248" w:lineRule="auto"/>
        <w:ind w:left="-5" w:right="38" w:hanging="10"/>
        <w:jc w:val="left"/>
      </w:pPr>
      <w:r>
        <w:rPr>
          <w:sz w:val="22"/>
        </w:rPr>
        <w:t>методами подтверждающего анализа(для веществ, указанных в таблице)</w:t>
      </w:r>
      <w:r>
        <w:rPr>
          <w:rFonts w:ascii="Calibri" w:eastAsia="Calibri" w:hAnsi="Calibri" w:cs="Calibri"/>
          <w:sz w:val="22"/>
        </w:rPr>
        <w:t xml:space="preserve"> ......................................... 19 </w:t>
      </w:r>
    </w:p>
    <w:p w:rsidR="00B64C87" w:rsidRDefault="00084EA7">
      <w:pPr>
        <w:spacing w:after="180" w:line="259" w:lineRule="auto"/>
        <w:ind w:right="0" w:firstLine="0"/>
        <w:jc w:val="left"/>
      </w:pPr>
      <w:r>
        <w:t xml:space="preserve"> </w:t>
      </w:r>
    </w:p>
    <w:p w:rsidR="00B64C87" w:rsidRDefault="00084EA7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B64C87" w:rsidRDefault="00084EA7">
      <w:pPr>
        <w:spacing w:after="0" w:line="259" w:lineRule="auto"/>
        <w:ind w:right="0" w:firstLine="0"/>
        <w:jc w:val="left"/>
      </w:pPr>
      <w:r>
        <w:t xml:space="preserve"> </w:t>
      </w:r>
    </w:p>
    <w:p w:rsidR="00B64C87" w:rsidRDefault="00084EA7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  <w:r>
        <w:br w:type="page"/>
      </w:r>
    </w:p>
    <w:p w:rsidR="00B64C87" w:rsidRDefault="00084EA7">
      <w:pPr>
        <w:spacing w:after="41" w:line="249" w:lineRule="auto"/>
        <w:ind w:left="10" w:right="0" w:hanging="10"/>
        <w:jc w:val="center"/>
      </w:pPr>
      <w:r>
        <w:rPr>
          <w:b/>
        </w:rPr>
        <w:t>Правила проведения химико-токсикологических исследований наличия в организме человека наркотических средств</w:t>
      </w:r>
      <w:r>
        <w:rPr>
          <w:b/>
        </w:rPr>
        <w:t xml:space="preserve">, психотропных и иных токсических веществ (их метаболитов) в рамках медицинских осмотров и медицинских освидетельствований отдельных категорий граждан (далее – Правила) </w:t>
      </w:r>
    </w:p>
    <w:p w:rsidR="00B64C87" w:rsidRDefault="00084EA7">
      <w:pPr>
        <w:spacing w:after="161" w:line="259" w:lineRule="auto"/>
        <w:ind w:left="708" w:right="0" w:firstLine="0"/>
        <w:jc w:val="left"/>
      </w:pPr>
      <w:r>
        <w:t xml:space="preserve"> </w:t>
      </w:r>
    </w:p>
    <w:p w:rsidR="00B64C87" w:rsidRDefault="00084EA7">
      <w:pPr>
        <w:ind w:left="-15" w:right="52"/>
      </w:pPr>
      <w:r>
        <w:t>1. Настоящие Правила регулируют вопросы проведения химико-</w:t>
      </w:r>
      <w:r>
        <w:t>токсикологических исследований с целью установления наличия или отсутствия в организме человека наркотических средств, психотропных веществ и их метаболитов (далее – химикотоксикологические исследования) при проведении медицинских осмотров и медицинских ос</w:t>
      </w:r>
      <w:r>
        <w:t>видетельствований отдельных категорий граждан в соответствии с Федеральным законом от 13 июля 2015 г. № 230-ФЗ «О внесении изменений в отдельные законодательные акты Российской Федерации» и другими нормативными правовыми актами Российской Федерации, в отно</w:t>
      </w:r>
      <w:r>
        <w:t xml:space="preserve">шении: </w:t>
      </w:r>
    </w:p>
    <w:p w:rsidR="00B64C87" w:rsidRDefault="00084EA7">
      <w:pPr>
        <w:numPr>
          <w:ilvl w:val="0"/>
          <w:numId w:val="1"/>
        </w:numPr>
        <w:spacing w:after="157" w:line="259" w:lineRule="auto"/>
        <w:ind w:right="52"/>
      </w:pPr>
      <w:r>
        <w:t xml:space="preserve">частных детективов и частных охранников; </w:t>
      </w:r>
    </w:p>
    <w:p w:rsidR="00B64C87" w:rsidRDefault="00084EA7">
      <w:pPr>
        <w:numPr>
          <w:ilvl w:val="0"/>
          <w:numId w:val="1"/>
        </w:numPr>
        <w:spacing w:after="162" w:line="259" w:lineRule="auto"/>
        <w:ind w:right="52"/>
      </w:pPr>
      <w:r>
        <w:t xml:space="preserve">работников юридических лиц с особыми уставными задачами; </w:t>
      </w:r>
    </w:p>
    <w:p w:rsidR="00B64C87" w:rsidRDefault="00084EA7">
      <w:pPr>
        <w:numPr>
          <w:ilvl w:val="0"/>
          <w:numId w:val="1"/>
        </w:numPr>
        <w:ind w:right="52"/>
      </w:pPr>
      <w:r>
        <w:t>граждан при оформлении лицензии на приобретение оружия, а также являющихся владельцами гражданского огнестрельного оружия, гражданского огнестрельно</w:t>
      </w:r>
      <w:r>
        <w:t xml:space="preserve">го оружия ограниченного поражения, газовых пистолетов, револьверов, спортивного пневматического оружия, охотничьего пневматического оружия; </w:t>
      </w:r>
    </w:p>
    <w:p w:rsidR="00B64C87" w:rsidRDefault="00084EA7">
      <w:pPr>
        <w:numPr>
          <w:ilvl w:val="0"/>
          <w:numId w:val="1"/>
        </w:numPr>
        <w:spacing w:after="159" w:line="259" w:lineRule="auto"/>
        <w:ind w:right="52"/>
      </w:pPr>
      <w:r>
        <w:t xml:space="preserve">лиц из числа специалистов авиационного персонала; </w:t>
      </w:r>
    </w:p>
    <w:p w:rsidR="00B64C87" w:rsidRDefault="00084EA7">
      <w:pPr>
        <w:numPr>
          <w:ilvl w:val="0"/>
          <w:numId w:val="1"/>
        </w:numPr>
        <w:ind w:right="52"/>
      </w:pPr>
      <w:r>
        <w:t>граждан при постановке на воинский учет, призыве или поступлении</w:t>
      </w:r>
      <w:r>
        <w:t xml:space="preserve"> на военную службу по контракту, поступлении в мобилизационный людской резерв, поступлении в военные профессиональные образовательные организации и военные образовательные организации высшего образования, заключении с Министерством обороны Российской Федер</w:t>
      </w:r>
      <w:r>
        <w:t>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запаса, программе военной подготовки сержантов, старшин запаса либо программе военной подг</w:t>
      </w:r>
      <w:r>
        <w:t xml:space="preserve">отовки солдат, матросов запаса, призыве на военные сборы, прохождении альтернативной гражданской службы, а также граждане, ранее признанные ограниченно годными к военной службе по состоянию здоровья; </w:t>
      </w:r>
    </w:p>
    <w:p w:rsidR="00B64C87" w:rsidRDefault="00084EA7">
      <w:pPr>
        <w:numPr>
          <w:ilvl w:val="0"/>
          <w:numId w:val="1"/>
        </w:numPr>
        <w:spacing w:after="158" w:line="259" w:lineRule="auto"/>
        <w:ind w:right="52"/>
      </w:pPr>
      <w:r>
        <w:t xml:space="preserve">военнослужащих; </w:t>
      </w:r>
    </w:p>
    <w:p w:rsidR="00B64C87" w:rsidRDefault="00084EA7">
      <w:pPr>
        <w:numPr>
          <w:ilvl w:val="0"/>
          <w:numId w:val="1"/>
        </w:numPr>
        <w:ind w:right="52"/>
      </w:pPr>
      <w:r>
        <w:t>работников ведомственной охраны; - лиц</w:t>
      </w:r>
      <w:r>
        <w:t xml:space="preserve">, допущенных к работе на судне </w:t>
      </w:r>
    </w:p>
    <w:p w:rsidR="00B64C87" w:rsidRDefault="00084EA7">
      <w:pPr>
        <w:numPr>
          <w:ilvl w:val="0"/>
          <w:numId w:val="1"/>
        </w:numPr>
        <w:spacing w:line="259" w:lineRule="auto"/>
        <w:ind w:right="52"/>
      </w:pPr>
      <w:r>
        <w:t xml:space="preserve">иностранных граждан; </w:t>
      </w:r>
    </w:p>
    <w:p w:rsidR="00B64C87" w:rsidRDefault="00084EA7">
      <w:pPr>
        <w:numPr>
          <w:ilvl w:val="0"/>
          <w:numId w:val="1"/>
        </w:numPr>
        <w:ind w:right="52"/>
      </w:pPr>
      <w:r>
        <w:t xml:space="preserve">лиц, принимаемых на работу, непосредственно связанную с движением поездов и маневровой работой, и работников, выполняющих </w:t>
      </w:r>
      <w:r>
        <w:t xml:space="preserve">такую работу и (или) подвергающихся воздействию вредных и опасных производственных факторов; </w:t>
      </w:r>
    </w:p>
    <w:p w:rsidR="00B64C87" w:rsidRDefault="00084EA7">
      <w:pPr>
        <w:numPr>
          <w:ilvl w:val="0"/>
          <w:numId w:val="1"/>
        </w:numPr>
        <w:spacing w:after="158" w:line="259" w:lineRule="auto"/>
        <w:ind w:right="52"/>
      </w:pPr>
      <w:r>
        <w:t xml:space="preserve">работников подразделений транспортной безопасности; </w:t>
      </w:r>
    </w:p>
    <w:p w:rsidR="00B64C87" w:rsidRDefault="00084EA7">
      <w:pPr>
        <w:numPr>
          <w:ilvl w:val="0"/>
          <w:numId w:val="1"/>
        </w:numPr>
        <w:ind w:right="52"/>
      </w:pPr>
      <w:r>
        <w:t xml:space="preserve">лиц, признанных больными наркоманией, либо потребляющих наркотические средства или психотропные вещества без </w:t>
      </w:r>
      <w:r>
        <w:t xml:space="preserve">назначения врача, либо новые потенциально опасные психоактивные вещества; </w:t>
      </w:r>
    </w:p>
    <w:p w:rsidR="00B64C87" w:rsidRDefault="00084EA7">
      <w:pPr>
        <w:numPr>
          <w:ilvl w:val="0"/>
          <w:numId w:val="1"/>
        </w:numPr>
        <w:spacing w:after="158" w:line="259" w:lineRule="auto"/>
        <w:ind w:right="52"/>
      </w:pPr>
      <w:r>
        <w:t xml:space="preserve">сотрудников органов внутренних дел Российской Федерации; </w:t>
      </w:r>
    </w:p>
    <w:p w:rsidR="00B64C87" w:rsidRDefault="00084EA7">
      <w:pPr>
        <w:numPr>
          <w:ilvl w:val="0"/>
          <w:numId w:val="1"/>
        </w:numPr>
        <w:spacing w:after="172" w:line="249" w:lineRule="auto"/>
        <w:ind w:right="52"/>
      </w:pPr>
      <w:r>
        <w:t xml:space="preserve">водителей транспортных средств (кандидатов в водители транспортных средств); </w:t>
      </w:r>
    </w:p>
    <w:p w:rsidR="00B64C87" w:rsidRDefault="00084EA7">
      <w:pPr>
        <w:numPr>
          <w:ilvl w:val="0"/>
          <w:numId w:val="1"/>
        </w:numPr>
        <w:ind w:right="52"/>
      </w:pPr>
      <w:r>
        <w:t xml:space="preserve">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образования. </w:t>
      </w:r>
    </w:p>
    <w:p w:rsidR="00B64C87" w:rsidRDefault="00084EA7">
      <w:pPr>
        <w:numPr>
          <w:ilvl w:val="0"/>
          <w:numId w:val="2"/>
        </w:numPr>
        <w:ind w:right="52"/>
      </w:pPr>
      <w:r>
        <w:t>Биологическим материалом химико-токсикологических исследований является моча, отбор которой проводитс</w:t>
      </w:r>
      <w:r>
        <w:t xml:space="preserve">я в соответствии с Правилами отбора, транспортировки, хранения, приема и регистрации образцов (Приложение №1). </w:t>
      </w:r>
    </w:p>
    <w:p w:rsidR="00B64C87" w:rsidRDefault="00084EA7">
      <w:pPr>
        <w:numPr>
          <w:ilvl w:val="0"/>
          <w:numId w:val="2"/>
        </w:numPr>
        <w:ind w:right="52"/>
      </w:pPr>
      <w:r>
        <w:t>Химико-токсикологические исследования включают предварительные химикотоксикологические исследования (далее – предварительные исследования) и под</w:t>
      </w:r>
      <w:r>
        <w:t xml:space="preserve">тверждающие химико-токсикологические исследования (далее – подтверждающие исследования). </w:t>
      </w:r>
    </w:p>
    <w:p w:rsidR="00B64C87" w:rsidRDefault="00084EA7">
      <w:pPr>
        <w:numPr>
          <w:ilvl w:val="0"/>
          <w:numId w:val="2"/>
        </w:numPr>
        <w:ind w:right="52"/>
      </w:pPr>
      <w:r>
        <w:t>Предварительные исследования проводятся медицинскими организациями (иными организациями, осуществляющими медицинскую деятельность), независимо от организационно-право</w:t>
      </w:r>
      <w:r>
        <w:t>вой формы, при наличии у указанных организаций лицензии на осуществление медицинской деятельности, предусматривающей выполнение работ (услуг) по клинической лабораторной диагностике или судебно-медицинской экспертизе вещественных доказательств и исследован</w:t>
      </w:r>
      <w:r>
        <w:t>ию биологических объектов (биохимической, генетической, медико-криминалистической, спектрографической, судебно-биологической, судебно-гистологической, судебно-химической, судебно-цитологической, химикотоксикологической), оснащенными в соответствии со Станд</w:t>
      </w:r>
      <w:r>
        <w:t>артом оснащения аналитическим и вспомогательным лабораторным оборудованием медицинских организаций (учреждений), выполняющих химико-токсикологические исследования (приложение №2) и имеющими в штате специалистов, прошедших подготовку в соответствии с приказ</w:t>
      </w:r>
      <w:r>
        <w:t>ом Министерства здравоохранения и социального развития Российской Федерации от 27 января 2006 г. № 40 «Об организации проведения химикотоксикологических исследований при аналитической диагностике наличия в организме человека алкоголя, наркотических средств</w:t>
      </w:r>
      <w:r>
        <w:t xml:space="preserve">, психотропных и других токсических веществ» (зарегистрирован Министерством юстиции Российской Федерации 26 февраля 2006 г., регистрационный № 7544) (далее – приказ № 40). </w:t>
      </w:r>
    </w:p>
    <w:p w:rsidR="00B64C87" w:rsidRDefault="00084EA7">
      <w:pPr>
        <w:numPr>
          <w:ilvl w:val="0"/>
          <w:numId w:val="2"/>
        </w:numPr>
        <w:ind w:right="52"/>
      </w:pPr>
      <w:r>
        <w:t>В сельской местности предварительные исследования проводятся в фельдшерско-акушерск</w:t>
      </w:r>
      <w:r>
        <w:t>их пунктах (далее – ФАП), при наличии лицензии на осуществление медицинской деятельности, предусматривающей выполнение работ (услуг) «лечебное дело», оснащенными в соответствии со Стандартом оснащения аналитическим и вспомогательным лабораторным оборудован</w:t>
      </w:r>
      <w:r>
        <w:t xml:space="preserve">ием медицинских организаций (учреждений), выполняющих химико-токсикологические исследования (приложение №2). </w:t>
      </w:r>
    </w:p>
    <w:p w:rsidR="00B64C87" w:rsidRDefault="00084EA7">
      <w:pPr>
        <w:numPr>
          <w:ilvl w:val="0"/>
          <w:numId w:val="2"/>
        </w:numPr>
        <w:ind w:right="52"/>
      </w:pPr>
      <w:r>
        <w:t>Химико-токсикологические исследования проводят медицинские и иные работники (специалисты) с высшим и средним образованием, имеющие удостоверение о</w:t>
      </w:r>
      <w:r>
        <w:t xml:space="preserve"> прохождении подготовки в соответствии с приказом № 40.  </w:t>
      </w:r>
    </w:p>
    <w:p w:rsidR="00B64C87" w:rsidRDefault="00084EA7">
      <w:pPr>
        <w:numPr>
          <w:ilvl w:val="0"/>
          <w:numId w:val="2"/>
        </w:numPr>
        <w:spacing w:after="34"/>
        <w:ind w:right="52"/>
      </w:pPr>
      <w:r>
        <w:t>Предварительные исследования мочи проводятся иммунохимическими методами с применением технических средств, зарегистрированных Федеральной службой по надзору в сфере здравоохранения и обеспечивающих:</w:t>
      </w:r>
      <w:r>
        <w:t xml:space="preserve"> </w:t>
      </w:r>
    </w:p>
    <w:p w:rsidR="00B64C87" w:rsidRDefault="00084EA7">
      <w:pPr>
        <w:numPr>
          <w:ilvl w:val="0"/>
          <w:numId w:val="3"/>
        </w:numPr>
        <w:spacing w:after="31"/>
        <w:ind w:right="52" w:hanging="360"/>
      </w:pPr>
      <w:r>
        <w:t>обнаружение наркотических средств, психотропных веществ и их метаболитов в концентрации, минимально возможной для определения, указанной в Приложении № 4, рекомендованной  Центральной химико-токсикологической лабораторией Первого Московского государствен</w:t>
      </w:r>
      <w:r>
        <w:t xml:space="preserve">ного медицинского университета имени И. М. Сеченова; </w:t>
      </w:r>
    </w:p>
    <w:p w:rsidR="00B64C87" w:rsidRDefault="00084EA7">
      <w:pPr>
        <w:numPr>
          <w:ilvl w:val="0"/>
          <w:numId w:val="3"/>
        </w:numPr>
        <w:spacing w:after="31"/>
        <w:ind w:right="52" w:hanging="360"/>
      </w:pPr>
      <w:r>
        <w:t xml:space="preserve">регистрацию и количественную оценку результатов исследования путем сравнения полученного результата с калибровочной кривой; </w:t>
      </w:r>
    </w:p>
    <w:p w:rsidR="00B64C87" w:rsidRDefault="00084EA7">
      <w:pPr>
        <w:numPr>
          <w:ilvl w:val="0"/>
          <w:numId w:val="3"/>
        </w:numPr>
        <w:ind w:right="52" w:hanging="360"/>
      </w:pPr>
      <w:r>
        <w:t>распечатку на бумажном носителе перечня выявленных веществ, с указанием конце</w:t>
      </w:r>
      <w:r>
        <w:t xml:space="preserve">нтрации обнаруженных наркотических средств, психотропных и иных токсических веществ (их метаболитов), времени проведения исследований, номера исследования, номера используемого технического средства и серии использованных реагентов. </w:t>
      </w:r>
    </w:p>
    <w:p w:rsidR="00B64C87" w:rsidRDefault="00084EA7">
      <w:pPr>
        <w:numPr>
          <w:ilvl w:val="1"/>
          <w:numId w:val="3"/>
        </w:numPr>
        <w:ind w:right="52"/>
      </w:pPr>
      <w:r>
        <w:t>Не допускается проведе</w:t>
      </w:r>
      <w:r>
        <w:t xml:space="preserve">ние предварительных исследований с применением экспресс-тестов (тест полосок, тест контейнеров и т.д.) с визуальной регистрацией результатов анализа. </w:t>
      </w:r>
    </w:p>
    <w:p w:rsidR="00B64C87" w:rsidRDefault="00084EA7">
      <w:pPr>
        <w:numPr>
          <w:ilvl w:val="1"/>
          <w:numId w:val="3"/>
        </w:numPr>
        <w:ind w:right="52"/>
      </w:pPr>
      <w:r>
        <w:t>Предварительные химико-токсикологические исследования проводятся на месте отбора образца мочи или в лабор</w:t>
      </w:r>
      <w:r>
        <w:t xml:space="preserve">атории медицинской организации, не позднее 2 часов с момента отбора мочи медицинскими работниками (специалистами) указанными в пункте 6 настоящих Правил, имеющими удостоверение о прохождении подготовки в соответствии с приказом N 40.  </w:t>
      </w:r>
    </w:p>
    <w:p w:rsidR="00B64C87" w:rsidRDefault="00084EA7">
      <w:pPr>
        <w:numPr>
          <w:ilvl w:val="1"/>
          <w:numId w:val="3"/>
        </w:numPr>
        <w:ind w:right="52"/>
      </w:pPr>
      <w:r>
        <w:t>Предварительные хими</w:t>
      </w:r>
      <w:r>
        <w:t>ко-токсикологические исследования в обязательном порядке проводятся на следующие группы наркотических средств, психотропных веществ и их метаболитов: опиаты, растительные каннабиноиды, синтетические каннабиноиды, фенилалкиламины, синтетические катиноны. Пе</w:t>
      </w:r>
      <w:r>
        <w:t>речень наркотических средств, психотропных и иных токсических веществ (их метаболитов) может быть дополнен органом исполнительной власти субъекта Российской Федерации в сфере охраны здоровья и/или руководителем медицинской организации, выполняющей предвари</w:t>
      </w:r>
      <w:r>
        <w:t>тельные исследования, составленный с учетом особенностей обследуемого контингента и региональных особенностей. При выполнении химико-токсикологических исследований в медицинских организациях системы МВД России в обязательном порядке проводятся на следующие</w:t>
      </w:r>
      <w:r>
        <w:t xml:space="preserve"> группы наркотических средств, психотропных веществ и их метаболитов: опиаты, растительные каннабиноиды, синтетические каннабиноиды, фенилалкиламины, синтетические катиноны, этилглюкуронид. Перечень наркотических средств, психотропных и иных токсических ве</w:t>
      </w:r>
      <w:r>
        <w:t xml:space="preserve">ществ (их метаболитов) может быть дополнен с учетом особенностей обследуемого контингента и региональных особенностей Департаментом по материально-техническому и медицинскому обеспечению МВД России. </w:t>
      </w:r>
    </w:p>
    <w:p w:rsidR="00B64C87" w:rsidRDefault="00084EA7">
      <w:pPr>
        <w:numPr>
          <w:ilvl w:val="1"/>
          <w:numId w:val="3"/>
        </w:numPr>
        <w:ind w:right="52"/>
      </w:pPr>
      <w:r>
        <w:t xml:space="preserve">При получении отрицательного результата предварительных </w:t>
      </w:r>
      <w:r>
        <w:t>исследований дальнейшие исследования не проводятся, образец мочи утилизируется. В справке о результатах химико-токсикологических исследований, учетная форма № 454/у-06, утвержденной приказом № 40 (далее – справка), в строке «При химико-токсикологических ис</w:t>
      </w:r>
      <w:r>
        <w:t>следованиях обнаружены (вещества, средства)» указывается перечень наркотических средств, психотропных и иных токсических веществ (их метаболитов) на которые проводились предварительные исследования, с отметкой – не обнаружено. Справка оформляется в двух эк</w:t>
      </w:r>
      <w:r>
        <w:t xml:space="preserve">земплярах. Справку  подписывает работник, уполномоченный руководителем медицинской организации (заведующий ФАП) или заведующий лабораторией медицинской организации,  выполняющей предварительные исследования. </w:t>
      </w:r>
    </w:p>
    <w:p w:rsidR="00B64C87" w:rsidRDefault="00084EA7">
      <w:pPr>
        <w:ind w:left="-15" w:right="52"/>
      </w:pPr>
      <w:r>
        <w:t>Первый экземпляр справки выдается на руки гражд</w:t>
      </w:r>
      <w:r>
        <w:t xml:space="preserve">анину, прошедшему химикотоксикологическое исследование, второй экземпляр хранится в медицинской организации выполнившей  предварительные исследования. </w:t>
      </w:r>
    </w:p>
    <w:p w:rsidR="00B64C87" w:rsidRDefault="00084EA7">
      <w:pPr>
        <w:numPr>
          <w:ilvl w:val="1"/>
          <w:numId w:val="3"/>
        </w:numPr>
        <w:ind w:right="52"/>
      </w:pPr>
      <w:r>
        <w:t>При отрицательном результате предварительных исследований, допускается повторное проведение химико-токси</w:t>
      </w:r>
      <w:r>
        <w:t xml:space="preserve">кологических исследований подтверждающими методами. Решение о проведении повторных химико-токсикологических исследований подтверждающими методами принимает медицинский работник (специалист), выполнивший предварительные исследования. </w:t>
      </w:r>
    </w:p>
    <w:p w:rsidR="00B64C87" w:rsidRDefault="00084EA7">
      <w:pPr>
        <w:numPr>
          <w:ilvl w:val="1"/>
          <w:numId w:val="3"/>
        </w:numPr>
        <w:ind w:right="52"/>
      </w:pPr>
      <w:r>
        <w:t>При получении положите</w:t>
      </w:r>
      <w:r>
        <w:t>льного результата предварительных исследований медицинский работник (специалист) опечатывает контейнер с исследуемым образцом мочи, не менее 20 мл, распечатывает результаты предварительных исследований, оформляет направление на подтверждающие исследования,</w:t>
      </w:r>
      <w:r>
        <w:t xml:space="preserve"> по форме и в порядке утвержденном приказом № 40 и доставляет (обеспечивает отправку) контейнера с исследуемым образцом мочи для проведения подтверждающих исследований. При невозможности доставки контейнера с исследуемым образцом мочи в течение суток в мед</w:t>
      </w:r>
      <w:r>
        <w:t>ицинскую организацию, проводящую подтверждающие исследования, объект исследования хранится при температуре минус 14 – 22ºС до момента отправки.  Доставка (отправка) контейнеров в медицинскую организацию, проводящую подтверждающие исследования осуществляетс</w:t>
      </w:r>
      <w:r>
        <w:t>я (обеспечивается) медицинским работником (специалистом), уполномоченным руководителем медицинской организации (заведующим ФАП) или заведующим лабораторией медицинской организации,  выполняющей предварительные исследования. Сроки доставки контейнеров в мед</w:t>
      </w:r>
      <w:r>
        <w:t xml:space="preserve">ицинскую организацию, проводящую подтверждающие исследования не должны превышать десяти рабочих дней. </w:t>
      </w:r>
    </w:p>
    <w:p w:rsidR="00B64C87" w:rsidRDefault="00084EA7">
      <w:pPr>
        <w:numPr>
          <w:ilvl w:val="1"/>
          <w:numId w:val="3"/>
        </w:numPr>
        <w:ind w:right="52"/>
      </w:pPr>
      <w:r>
        <w:t xml:space="preserve">Сроки проведения подтверждающих исследований не должны превышать четырнадцать рабочих дней с момента поступления образца мочи в медицинскую организацию, </w:t>
      </w:r>
      <w:r>
        <w:t xml:space="preserve">проводящую подтверждающие исследования. </w:t>
      </w:r>
    </w:p>
    <w:p w:rsidR="00B64C87" w:rsidRDefault="00084EA7">
      <w:pPr>
        <w:numPr>
          <w:ilvl w:val="1"/>
          <w:numId w:val="3"/>
        </w:numPr>
        <w:spacing w:after="31"/>
        <w:ind w:right="52"/>
      </w:pPr>
      <w:r>
        <w:t xml:space="preserve">Подтверждающие исследования мочи проводятся методами газовой и (или) жидкостной хроматографии с масс-спектрометрическим детектированием с использованием технических средств, обеспечивающих: </w:t>
      </w:r>
    </w:p>
    <w:p w:rsidR="00B64C87" w:rsidRDefault="00084EA7">
      <w:pPr>
        <w:numPr>
          <w:ilvl w:val="0"/>
          <w:numId w:val="3"/>
        </w:numPr>
        <w:spacing w:after="31"/>
        <w:ind w:right="52" w:hanging="360"/>
      </w:pPr>
      <w:r>
        <w:t>регистрацию и обработку результатов исследования путем сравнения полученного результата с данными электронных библиотек масс-спектров, рекомендованных Центральной химико-токсикологической лабораторией Первого Московского государственного медицинского униве</w:t>
      </w:r>
      <w:r>
        <w:t xml:space="preserve">рситета имени И. М. Сеченова; </w:t>
      </w:r>
    </w:p>
    <w:p w:rsidR="00B64C87" w:rsidRDefault="00084EA7">
      <w:pPr>
        <w:numPr>
          <w:ilvl w:val="0"/>
          <w:numId w:val="3"/>
        </w:numPr>
        <w:ind w:right="52" w:hanging="360"/>
      </w:pPr>
      <w:r>
        <w:t xml:space="preserve">обнаружение наркотических средств, психотропных веществ и их метаболитов в концентрациях, минимально возможных для определения, указанных в приложении № 4. </w:t>
      </w:r>
    </w:p>
    <w:p w:rsidR="00B64C87" w:rsidRDefault="00084EA7">
      <w:pPr>
        <w:numPr>
          <w:ilvl w:val="1"/>
          <w:numId w:val="3"/>
        </w:numPr>
        <w:ind w:right="52"/>
      </w:pPr>
      <w:r>
        <w:t>Перед проведением подтверждающих исследований  медицинский работник,</w:t>
      </w:r>
      <w:r>
        <w:t xml:space="preserve"> выполняющий исследования  отбирает из контейнера, содержащего образец мочи контрольный образец в объеме не менее 5 мл в вакуумную пробирку, опечатывает, маркирует и обеспечивает хранение в соответствии с требованиями приказа № 40 до получения результатов </w:t>
      </w:r>
      <w:r>
        <w:t xml:space="preserve">подтверждающих исследований. Оставшийся объем мочи используется для проведения подтверждающих исследований. </w:t>
      </w:r>
    </w:p>
    <w:p w:rsidR="00B64C87" w:rsidRDefault="00084EA7">
      <w:pPr>
        <w:numPr>
          <w:ilvl w:val="1"/>
          <w:numId w:val="3"/>
        </w:numPr>
        <w:ind w:right="52"/>
      </w:pPr>
      <w:r>
        <w:t>При получении отрицательного результата дальнейшие исследования не проводятся, образец мочи и контрольный образец утилизируются. В справке, в строк</w:t>
      </w:r>
      <w:r>
        <w:t xml:space="preserve">е «При химико-токсикологических исследованиях обнаружены (вещества, средства)» указывается перечень наркотических средств, психотропных и иных токсических веществ </w:t>
      </w:r>
    </w:p>
    <w:p w:rsidR="00B64C87" w:rsidRDefault="00084EA7">
      <w:pPr>
        <w:ind w:left="-15" w:right="52" w:firstLine="0"/>
      </w:pPr>
      <w:r>
        <w:t>(их метаболитов) на которые проводились подтверждающие исследования с отметкой – «не обнаруж</w:t>
      </w:r>
      <w:r>
        <w:t>ено». Справка оформляется в двух экземплярах. Справку  подписывает медицинский работник (специалист), уполномоченный заведующим лабораторией медицинской организации,  выполняющей подтверждающие исследования. Первый экземпляр справки передается уполномоченн</w:t>
      </w:r>
      <w:r>
        <w:t xml:space="preserve">ому представителю медицинской организации, выполнившей предварительные исследования, второй экземпляр хранится в медицинской организации выполнившей  подтверждающие исследования. </w:t>
      </w:r>
    </w:p>
    <w:p w:rsidR="00B64C87" w:rsidRDefault="00084EA7">
      <w:pPr>
        <w:numPr>
          <w:ilvl w:val="1"/>
          <w:numId w:val="3"/>
        </w:numPr>
        <w:ind w:right="52"/>
      </w:pPr>
      <w:r>
        <w:t>При обнаружении наркотических средств, психотропных и иных токсических вещес</w:t>
      </w:r>
      <w:r>
        <w:t>тв (их метаболитов) при выполнении подтверждающих исследований, результат исследований считается положительным. В справке, в строке «При химикотоксикологических исследованиях обнаружены (вещества, средства)» указывается перечень наркотических средств, псих</w:t>
      </w:r>
      <w:r>
        <w:t>отропных и иных токсических веществ (их метаболитов) на которые проводились подтверждающие исследования с указанием обнаруженных наркотических средств, психотропных и иных токсических веществ (их метаболитов).  Наименование установленных наркотических сред</w:t>
      </w:r>
      <w:r>
        <w:t>ств, психотропных и иных токсических веществ (их метаболитов) указывается в соответствии с постановлением Правительства Российской Федерации от 30 июня 1998 г. № 681 «Об утверждении перечня наркотических средств, психотропных веществ и их прекурсоров, подл</w:t>
      </w:r>
      <w:r>
        <w:t xml:space="preserve">ежащих контролю в Российской Федерации».  </w:t>
      </w:r>
    </w:p>
    <w:p w:rsidR="00B64C87" w:rsidRDefault="00084EA7">
      <w:pPr>
        <w:numPr>
          <w:ilvl w:val="1"/>
          <w:numId w:val="3"/>
        </w:numPr>
        <w:ind w:right="52"/>
      </w:pPr>
      <w:r>
        <w:t>При получении положительного результата подтверждающих исследований медицинский работник (специалист), выполнивший подтверждающие исследования, обеспечивает хранение контрольного образца в соответствии с требовани</w:t>
      </w:r>
      <w:r>
        <w:t xml:space="preserve">ями приказа № 40. Контрольный образец хранится в течение 3 месяцев с даты выдачи справки. </w:t>
      </w:r>
    </w:p>
    <w:p w:rsidR="00B64C87" w:rsidRDefault="00084EA7">
      <w:pPr>
        <w:numPr>
          <w:ilvl w:val="1"/>
          <w:numId w:val="3"/>
        </w:numPr>
        <w:ind w:right="52"/>
      </w:pPr>
      <w:r>
        <w:t>Справка оформляется в двух экземплярах. Первый экземпляр справки передается уполномоченному представителю медицинской организации выполнившей предварительные исследо</w:t>
      </w:r>
      <w:r>
        <w:t xml:space="preserve">вания, второй экземпляр хранится в медицинской организации выполнившей  подтверждающие исследования. </w:t>
      </w:r>
    </w:p>
    <w:p w:rsidR="00B64C87" w:rsidRDefault="00084EA7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64C87" w:rsidRDefault="00084EA7">
      <w:pPr>
        <w:spacing w:after="24" w:line="270" w:lineRule="auto"/>
        <w:ind w:left="3197" w:right="0" w:hanging="2504"/>
        <w:jc w:val="left"/>
      </w:pPr>
      <w:r>
        <w:rPr>
          <w:b/>
        </w:rPr>
        <w:t xml:space="preserve">Приложение № 1. Правила отбора, транспортировки, хранения, приема и регистрации образцов мочи </w:t>
      </w:r>
    </w:p>
    <w:p w:rsidR="00B64C87" w:rsidRDefault="00084EA7">
      <w:pPr>
        <w:spacing w:after="110" w:line="259" w:lineRule="auto"/>
        <w:ind w:left="706" w:right="0" w:firstLine="0"/>
        <w:jc w:val="center"/>
      </w:pPr>
      <w:r>
        <w:rPr>
          <w:b/>
        </w:rPr>
        <w:t xml:space="preserve"> </w:t>
      </w:r>
    </w:p>
    <w:p w:rsidR="00B64C87" w:rsidRDefault="00084EA7">
      <w:pPr>
        <w:ind w:left="-15" w:right="52"/>
      </w:pPr>
      <w:r>
        <w:t>Отбор образцов мочи производится в объеме не менее 30</w:t>
      </w:r>
      <w:r>
        <w:t xml:space="preserve"> мл в контейнер для сбора мочи, в туалетной комнате, в условиях, исключающих возможность фальсификации и повреждения биологического объекта. </w:t>
      </w:r>
    </w:p>
    <w:p w:rsidR="00B64C87" w:rsidRDefault="00084EA7">
      <w:pPr>
        <w:ind w:left="-15" w:right="52"/>
      </w:pPr>
      <w:r>
        <w:t xml:space="preserve">В целях исключения фальсификации биологического объекта, в течение первых пяти минут после его отбора, проводится </w:t>
      </w:r>
      <w:r>
        <w:t xml:space="preserve">измерение температуры и pH мочи. Измерение температуры проводится с помощью бесконтактного устройства с автоматической регистрацией результатов измерения.  Температура биологического объекта должна быть выше 25° С.  </w:t>
      </w:r>
    </w:p>
    <w:p w:rsidR="00B64C87" w:rsidRDefault="00084EA7">
      <w:pPr>
        <w:ind w:left="-15" w:right="52"/>
      </w:pPr>
      <w:r>
        <w:t>Измерение рН проводится с помощью цифро</w:t>
      </w:r>
      <w:r>
        <w:t xml:space="preserve">вого pH-метра или тест-полосками  для определения рН.    Уровень PH мочи должен находиться в интервале 4 – 8 ед. </w:t>
      </w:r>
    </w:p>
    <w:p w:rsidR="00B64C87" w:rsidRDefault="00084EA7">
      <w:pPr>
        <w:ind w:left="-15" w:right="52"/>
      </w:pPr>
      <w:r>
        <w:t>Если по результатам измерения температуры и pH мочи выявляется несоответствие температурному диапазону 25 – 39ºC и (или) интервалу pH, проводи</w:t>
      </w:r>
      <w:r>
        <w:t xml:space="preserve">тся повторный отбор и измерение температуры и pH мочи.  </w:t>
      </w:r>
    </w:p>
    <w:p w:rsidR="00B64C87" w:rsidRDefault="00084EA7">
      <w:pPr>
        <w:ind w:left="-15" w:right="52"/>
      </w:pPr>
      <w:r>
        <w:t>После измерения температуры и визуального осмотра проводятся предварительные химико-</w:t>
      </w:r>
      <w:r>
        <w:t xml:space="preserve">токсикологические исследования образца мочи. Образцы мочи хранятся не более двух часов до начала проведения предварительных химико-токсикологических исследований. </w:t>
      </w:r>
    </w:p>
    <w:p w:rsidR="00B64C87" w:rsidRDefault="00084EA7">
      <w:pPr>
        <w:tabs>
          <w:tab w:val="center" w:pos="919"/>
          <w:tab w:val="center" w:pos="2035"/>
          <w:tab w:val="center" w:pos="3747"/>
          <w:tab w:val="center" w:pos="5455"/>
          <w:tab w:val="center" w:pos="7253"/>
          <w:tab w:val="right" w:pos="9417"/>
        </w:tabs>
        <w:spacing w:after="132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При </w:t>
      </w:r>
      <w:r>
        <w:tab/>
        <w:t xml:space="preserve">получении </w:t>
      </w:r>
      <w:r>
        <w:tab/>
        <w:t xml:space="preserve">отрицательного </w:t>
      </w:r>
      <w:r>
        <w:tab/>
        <w:t xml:space="preserve">результата </w:t>
      </w:r>
      <w:r>
        <w:tab/>
        <w:t xml:space="preserve">предварительных </w:t>
      </w:r>
      <w:r>
        <w:tab/>
        <w:t>химико-</w:t>
      </w:r>
    </w:p>
    <w:p w:rsidR="00B64C87" w:rsidRDefault="00084EA7">
      <w:pPr>
        <w:ind w:left="-15" w:right="52" w:firstLine="0"/>
      </w:pPr>
      <w:r>
        <w:t>токсикологических иссл</w:t>
      </w:r>
      <w:r>
        <w:t xml:space="preserve">едований образец мочи утилизируется, кроме случаев, указанных в пункте 11 настоящих правил. </w:t>
      </w:r>
    </w:p>
    <w:p w:rsidR="00B64C87" w:rsidRDefault="00084EA7">
      <w:pPr>
        <w:ind w:left="-15" w:right="52"/>
      </w:pPr>
      <w:r>
        <w:t>При получении положительного результата предварительных исследований работник опечатывает контейнер с исследуемым образцом мочи (не менее 20 мл), прикрепляет к нем</w:t>
      </w:r>
      <w:r>
        <w:t>у этикетку, на которую нанесен штрих-код или номер с указанием даты и названия медицинской организации, которая произвела отбор образца мочи и выполнила предварительные химико-токсикологические исследования. Все надписи наносятся несмываемыми чернилами. Ра</w:t>
      </w:r>
      <w:r>
        <w:t>ботник распечатывает результаты исследований в 2 экземплярах, помещает контейнер с образцом мочи и один экземпляр распечатки результата предварительных химико-токсикологических исследований в прозрачный пластиковый пакет, обеспечивающий контроль вскрытия и</w:t>
      </w:r>
      <w:r>
        <w:t xml:space="preserve"> доставляет (обеспечивает отправку) для проведения подтверждающих химико-токсикологических исследований.  При невозможности доставки контейнера с исследуемым образцом мочи в течение суток в медицинскую организацию  проводящую подтверждающие исследования, о</w:t>
      </w:r>
      <w:r>
        <w:t>бъект исследования хранится при температуре минус 14 – 22ºС.  Доставка (отправка) контейнеров в медицинскую организацию, проводящую подтверждающие исследования, осуществляется (обеспечивается) медицинским работником (специалистом), уполномоченным руководит</w:t>
      </w:r>
      <w:r>
        <w:t>елем медицинской организации (заведующим ФАП) или заведующим лабораторией медицинской организации,  выполняющей предварительные исследования. Сроки доставки контейнеров в медицинскую организацию, проводящую подтверждающие исследования не должны превышать д</w:t>
      </w:r>
      <w:r>
        <w:t>есяти рабочих дней. Первый экземпляр распечатки результата предварительных химико-токсикологических исследований хранится в медицинской организации, которая произвела отбор объекта до получения результатов подтверждающих химико-токсикологических исследован</w:t>
      </w:r>
      <w:r>
        <w:t xml:space="preserve">ий. После получения результатов подтверждающих химико-токсикологических исследований первый экземпляр распечатки результата предварительных химико-токсикологических исследований уничтожается.  </w:t>
      </w:r>
    </w:p>
    <w:p w:rsidR="00B64C87" w:rsidRDefault="00084EA7">
      <w:pPr>
        <w:ind w:left="-15" w:right="52"/>
      </w:pPr>
      <w:r>
        <w:t>Приемку образцов мочи осуществляет лицо, уполномоченное заведу</w:t>
      </w:r>
      <w:r>
        <w:t xml:space="preserve">ющим лабораторией медицинской организации,  выполняющей подтверждающие исследования. При приемке образцов уполномоченное лицо проводит наружный осмотр целостности упаковки, проверяет правильность оформления документов.  </w:t>
      </w:r>
    </w:p>
    <w:p w:rsidR="00B64C87" w:rsidRDefault="00084EA7">
      <w:pPr>
        <w:spacing w:after="30"/>
        <w:ind w:left="-15" w:right="52"/>
      </w:pPr>
      <w:r>
        <w:t>Образцы могут быть не приняты для п</w:t>
      </w:r>
      <w:r>
        <w:t xml:space="preserve">роведения подтверждающих химикотоксикологических исследований при выявлении уполномоченным лицом в процессе приемки (проведении исследований) следующих несоответствий: </w:t>
      </w:r>
    </w:p>
    <w:p w:rsidR="00B64C87" w:rsidRDefault="00084EA7">
      <w:pPr>
        <w:numPr>
          <w:ilvl w:val="0"/>
          <w:numId w:val="4"/>
        </w:numPr>
        <w:spacing w:after="136" w:line="259" w:lineRule="auto"/>
        <w:ind w:right="52" w:hanging="360"/>
      </w:pPr>
      <w:r>
        <w:t xml:space="preserve">отсутствие документов на поступившие образцы (образец) мочи; </w:t>
      </w:r>
    </w:p>
    <w:p w:rsidR="00B64C87" w:rsidRDefault="00084EA7">
      <w:pPr>
        <w:numPr>
          <w:ilvl w:val="0"/>
          <w:numId w:val="4"/>
        </w:numPr>
        <w:spacing w:after="31"/>
        <w:ind w:right="52" w:hanging="360"/>
      </w:pPr>
      <w:r>
        <w:t xml:space="preserve">отсутствие необходимых записей в сопроводительной документации и на этикетках вакуумных пробирок, содержащих образцы мочи; </w:t>
      </w:r>
    </w:p>
    <w:p w:rsidR="00B64C87" w:rsidRDefault="00084EA7">
      <w:pPr>
        <w:numPr>
          <w:ilvl w:val="0"/>
          <w:numId w:val="4"/>
        </w:numPr>
        <w:ind w:right="52" w:hanging="360"/>
      </w:pPr>
      <w:r>
        <w:t xml:space="preserve">отсутствие, нарушение целостности или загрязнение номерных этикеток на вакуумных пробирках с образцом мочи; </w:t>
      </w:r>
    </w:p>
    <w:p w:rsidR="00B64C87" w:rsidRDefault="00084EA7">
      <w:pPr>
        <w:numPr>
          <w:ilvl w:val="0"/>
          <w:numId w:val="4"/>
        </w:numPr>
        <w:spacing w:after="136" w:line="259" w:lineRule="auto"/>
        <w:ind w:right="52" w:hanging="360"/>
      </w:pPr>
      <w:r>
        <w:t>наличие одинакового ном</w:t>
      </w:r>
      <w:r>
        <w:t xml:space="preserve">ера у двух и более образцов мочи;  </w:t>
      </w:r>
    </w:p>
    <w:p w:rsidR="00B64C87" w:rsidRDefault="00084EA7">
      <w:pPr>
        <w:numPr>
          <w:ilvl w:val="0"/>
          <w:numId w:val="4"/>
        </w:numPr>
        <w:spacing w:after="138" w:line="259" w:lineRule="auto"/>
        <w:ind w:right="52" w:hanging="360"/>
      </w:pPr>
      <w:r>
        <w:t xml:space="preserve">наличие нескольких этикеток на пробирке, содержащей образец мочи; </w:t>
      </w:r>
    </w:p>
    <w:p w:rsidR="00B64C87" w:rsidRDefault="00084EA7">
      <w:pPr>
        <w:numPr>
          <w:ilvl w:val="0"/>
          <w:numId w:val="4"/>
        </w:numPr>
        <w:ind w:right="52" w:hanging="360"/>
      </w:pPr>
      <w:r>
        <w:t xml:space="preserve">нанесение надписей на этикетки пробирок, содержащих образцы мочи, смываемыми чернилами или карандашом; </w:t>
      </w:r>
    </w:p>
    <w:p w:rsidR="00B64C87" w:rsidRDefault="00084EA7">
      <w:pPr>
        <w:numPr>
          <w:ilvl w:val="0"/>
          <w:numId w:val="4"/>
        </w:numPr>
        <w:ind w:right="52" w:hanging="360"/>
      </w:pPr>
      <w:r>
        <w:t>недостаточное количество или отсутствие (в пробир</w:t>
      </w:r>
      <w:r>
        <w:t xml:space="preserve">ке) образца мочи;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протекающие пробирки, содержащие образец мочи. </w:t>
      </w:r>
    </w:p>
    <w:p w:rsidR="00B64C87" w:rsidRDefault="00084EA7">
      <w:pPr>
        <w:numPr>
          <w:ilvl w:val="0"/>
          <w:numId w:val="4"/>
        </w:numPr>
        <w:ind w:right="52" w:hanging="360"/>
      </w:pPr>
      <w:r>
        <w:t xml:space="preserve">установление факта фальсификации мочи при проведении дополнительных исследований; </w:t>
      </w:r>
    </w:p>
    <w:p w:rsidR="00B64C87" w:rsidRDefault="00084EA7">
      <w:pPr>
        <w:ind w:left="-15" w:right="52"/>
      </w:pPr>
      <w:r>
        <w:t>Мотивированное решение об отказе в проведении подтверждающих химико</w:t>
      </w:r>
      <w:r>
        <w:t>токсикологических исследований принимает уполномоченное лицо, осуществляющее приемку образцов. Мотивированное решение об отказе проведения подтверждающих химико-токсикологических исследований образцов мочи в письменном виде направляется в медицинскую орган</w:t>
      </w:r>
      <w:r>
        <w:t xml:space="preserve">изацию, направившую биологический материал для проведения подтверждающих химико-токсикологических исследований. </w:t>
      </w:r>
    </w:p>
    <w:p w:rsidR="00B64C87" w:rsidRDefault="00084EA7">
      <w:pPr>
        <w:ind w:left="-15" w:right="52"/>
      </w:pPr>
      <w:r>
        <w:t>При получении положительного результата подтверждающих исследований  медицинский работник (специалист), выполнивший подтверждающие исследования</w:t>
      </w:r>
      <w:r>
        <w:t>,  отбирает контрольный образец исследованной мочи в объеме не менее 5 мл в вакуумную пробирку, опечатывает, маркирует и обеспечивает хранение в соответствии с требованиями приказа N 40. Контрольный образец хранится  в течение 3 месяцев с даты выдачи справ</w:t>
      </w:r>
      <w:r>
        <w:t xml:space="preserve">ки. </w:t>
      </w:r>
    </w:p>
    <w:p w:rsidR="00B64C87" w:rsidRDefault="00084EA7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B64C87" w:rsidRDefault="00084EA7">
      <w:pPr>
        <w:spacing w:after="41" w:line="249" w:lineRule="auto"/>
        <w:ind w:left="10" w:right="0" w:hanging="10"/>
        <w:jc w:val="center"/>
      </w:pPr>
      <w:r>
        <w:rPr>
          <w:b/>
        </w:rPr>
        <w:t xml:space="preserve">Приложение №2. Стандарт оснащения аналитическим и вспомогательным лабораторным оборудованием медицинских организаций (учреждений), </w:t>
      </w:r>
    </w:p>
    <w:p w:rsidR="00B64C87" w:rsidRDefault="00084EA7">
      <w:pPr>
        <w:spacing w:after="0" w:line="259" w:lineRule="auto"/>
        <w:ind w:left="10" w:right="618" w:hanging="10"/>
        <w:jc w:val="right"/>
      </w:pPr>
      <w:r>
        <w:rPr>
          <w:b/>
        </w:rPr>
        <w:t xml:space="preserve">выполняющих предварительные химико-токсикологические исследования </w:t>
      </w:r>
    </w:p>
    <w:p w:rsidR="00B64C87" w:rsidRDefault="00084EA7">
      <w:pPr>
        <w:spacing w:after="0" w:line="259" w:lineRule="auto"/>
        <w:ind w:right="0" w:firstLine="0"/>
        <w:jc w:val="left"/>
      </w:pPr>
      <w:r>
        <w:rPr>
          <w:sz w:val="16"/>
        </w:rPr>
        <w:t xml:space="preserve"> </w:t>
      </w:r>
    </w:p>
    <w:tbl>
      <w:tblPr>
        <w:tblStyle w:val="TableGrid"/>
        <w:tblW w:w="10070" w:type="dxa"/>
        <w:tblInd w:w="-881" w:type="dxa"/>
        <w:tblCellMar>
          <w:top w:w="9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648"/>
        <w:gridCol w:w="7381"/>
        <w:gridCol w:w="2041"/>
      </w:tblGrid>
      <w:tr w:rsidR="00B64C87">
        <w:trPr>
          <w:trHeight w:val="5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9" w:line="259" w:lineRule="auto"/>
              <w:ind w:left="9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B64C87" w:rsidRDefault="00084EA7">
            <w:pPr>
              <w:spacing w:after="0" w:line="259" w:lineRule="auto"/>
              <w:ind w:left="43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60" w:firstLine="0"/>
              <w:jc w:val="center"/>
            </w:pPr>
            <w:r>
              <w:rPr>
                <w:b/>
              </w:rPr>
              <w:t xml:space="preserve">Наименование оборудования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Количество</w:t>
            </w:r>
            <w:r>
              <w:rPr>
                <w:b/>
              </w:rPr>
              <w:t xml:space="preserve"> единиц </w:t>
            </w:r>
          </w:p>
        </w:tc>
      </w:tr>
      <w:tr w:rsidR="00B64C87">
        <w:trPr>
          <w:trHeight w:val="4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C87" w:rsidRDefault="00B64C8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4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67" w:firstLine="0"/>
              <w:jc w:val="center"/>
            </w:pPr>
            <w:r>
              <w:rPr>
                <w:b/>
              </w:rPr>
              <w:t xml:space="preserve">Аналитическое оборудование </w:t>
            </w:r>
          </w:p>
        </w:tc>
      </w:tr>
      <w:tr w:rsidR="00B64C87">
        <w:trPr>
          <w:trHeight w:val="66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6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398" w:lineRule="auto"/>
              <w:ind w:right="183" w:firstLine="0"/>
              <w:jc w:val="left"/>
            </w:pPr>
            <w:r>
              <w:t xml:space="preserve">Оборудование и диагностические реагенты для иммунохимического анализа проб, включая: анализатор для химико-токсикологических исследований, обеспечивающий регистрацию и количественную оценку </w:t>
            </w:r>
          </w:p>
          <w:p w:rsidR="00B64C87" w:rsidRDefault="00084EA7">
            <w:pPr>
              <w:spacing w:after="0" w:line="364" w:lineRule="auto"/>
              <w:ind w:right="0" w:firstLine="0"/>
              <w:jc w:val="left"/>
            </w:pPr>
            <w:r>
              <w:t>результатов исследования путем сравнения полученного результата с калибровочной кривой, распечатку на бумажном носителе перечня выявленных веществ, с указанием концентрации обнаруженных наркотических средств, психотропных и иных токсических веществ (их мет</w:t>
            </w:r>
            <w:r>
              <w:t xml:space="preserve">аболитов), времени проведения исследований, номера исследования, номера используемого технического средства и серии использованных реагентов.  </w:t>
            </w:r>
          </w:p>
          <w:p w:rsidR="00B64C87" w:rsidRDefault="00084EA7">
            <w:pPr>
              <w:spacing w:after="112" w:line="259" w:lineRule="auto"/>
              <w:ind w:right="0" w:firstLine="0"/>
              <w:jc w:val="left"/>
            </w:pPr>
            <w:r>
              <w:t xml:space="preserve">Реагенты к анализатору, обеспечивающие обнаружение </w:t>
            </w:r>
          </w:p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наркотических средств, психотропных и иных токсических веществ (их метаболитов), указанных в пункте 9 Правил проведения химикотоксикологических исследований, в концентрациях, установленных в Приложении № 4.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15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58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5" w:line="259" w:lineRule="auto"/>
              <w:ind w:right="65" w:firstLine="0"/>
              <w:jc w:val="center"/>
            </w:pPr>
            <w:r>
              <w:t xml:space="preserve">Не менее 2 </w:t>
            </w:r>
          </w:p>
          <w:p w:rsidR="00B64C87" w:rsidRDefault="00084EA7">
            <w:pPr>
              <w:spacing w:after="112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5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3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5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2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5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2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61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t xml:space="preserve">Обеспечивающих </w:t>
            </w:r>
            <w:r>
              <w:t xml:space="preserve">потребности </w:t>
            </w:r>
          </w:p>
        </w:tc>
      </w:tr>
      <w:tr w:rsidR="00B64C87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C87" w:rsidRDefault="00B64C8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4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69" w:firstLine="0"/>
              <w:jc w:val="center"/>
            </w:pPr>
            <w:r>
              <w:rPr>
                <w:b/>
              </w:rPr>
              <w:t xml:space="preserve">Вспомогательное оборудование </w:t>
            </w:r>
          </w:p>
        </w:tc>
      </w:tr>
      <w:tr w:rsidR="00B64C87">
        <w:trPr>
          <w:trHeight w:val="41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6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59" w:line="259" w:lineRule="auto"/>
              <w:ind w:right="0" w:firstLine="0"/>
              <w:jc w:val="left"/>
            </w:pPr>
            <w:r>
              <w:t xml:space="preserve">Бесконтактный термометр. </w:t>
            </w:r>
          </w:p>
          <w:p w:rsidR="00B64C87" w:rsidRDefault="00084EA7">
            <w:pPr>
              <w:spacing w:after="161" w:line="259" w:lineRule="auto"/>
              <w:ind w:right="0" w:firstLine="0"/>
              <w:jc w:val="left"/>
            </w:pPr>
            <w:r>
              <w:t xml:space="preserve">Диапазон измерения температуры: от 0 до 60,0°С.  </w:t>
            </w:r>
          </w:p>
          <w:p w:rsidR="00B64C87" w:rsidRDefault="00084EA7">
            <w:pPr>
              <w:spacing w:after="159" w:line="259" w:lineRule="auto"/>
              <w:ind w:right="0" w:firstLine="0"/>
              <w:jc w:val="left"/>
            </w:pPr>
            <w:r>
              <w:t xml:space="preserve">Погрешность: ±1,0°С. </w:t>
            </w:r>
          </w:p>
          <w:p w:rsidR="00B64C87" w:rsidRDefault="00084EA7">
            <w:pPr>
              <w:spacing w:after="160" w:line="259" w:lineRule="auto"/>
              <w:ind w:right="0" w:firstLine="0"/>
              <w:jc w:val="left"/>
            </w:pPr>
            <w:r>
              <w:t xml:space="preserve">Разрешающая способность: 0,1°С. </w:t>
            </w:r>
          </w:p>
          <w:p w:rsidR="00B64C87" w:rsidRDefault="00084EA7">
            <w:pPr>
              <w:spacing w:after="155" w:line="259" w:lineRule="auto"/>
              <w:ind w:right="0" w:firstLine="0"/>
              <w:jc w:val="left"/>
            </w:pPr>
            <w:r>
              <w:t xml:space="preserve">Дальность измерения: 5-20 см. </w:t>
            </w:r>
          </w:p>
          <w:p w:rsidR="00B64C87" w:rsidRDefault="00084EA7">
            <w:pPr>
              <w:spacing w:after="156" w:line="259" w:lineRule="auto"/>
              <w:ind w:right="0" w:firstLine="0"/>
              <w:jc w:val="left"/>
            </w:pPr>
            <w:r>
              <w:t xml:space="preserve">Цифровой  pH-метр портативный, без штатива.  </w:t>
            </w:r>
          </w:p>
          <w:p w:rsidR="00B64C87" w:rsidRDefault="00084EA7">
            <w:pPr>
              <w:spacing w:after="159" w:line="259" w:lineRule="auto"/>
              <w:ind w:right="0" w:firstLine="0"/>
              <w:jc w:val="left"/>
            </w:pPr>
            <w:r>
              <w:t xml:space="preserve"> Рабочий диапазон pH: 0 – 14 </w:t>
            </w:r>
          </w:p>
          <w:p w:rsidR="00B64C87" w:rsidRDefault="00084EA7">
            <w:pPr>
              <w:spacing w:after="162" w:line="259" w:lineRule="auto"/>
              <w:ind w:right="0" w:firstLine="0"/>
              <w:jc w:val="left"/>
            </w:pPr>
            <w:r>
              <w:t xml:space="preserve">Разрешение: 0,1pH </w:t>
            </w:r>
          </w:p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Погрешность прибора: ± 0,2рН и/или  тест-полоски  для определения рН мочи.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64" w:firstLine="0"/>
              <w:jc w:val="center"/>
            </w:pPr>
            <w:r>
              <w:t xml:space="preserve">Не менее 2 </w:t>
            </w:r>
          </w:p>
        </w:tc>
      </w:tr>
      <w:tr w:rsidR="00B64C87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6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>Холодильная камера (запираемая) на плюс 2-4</w:t>
            </w:r>
            <w:r>
              <w:rPr>
                <w:vertAlign w:val="superscript"/>
              </w:rPr>
              <w:t>◦</w:t>
            </w:r>
            <w:r>
              <w:t xml:space="preserve">,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65" w:firstLine="0"/>
              <w:jc w:val="center"/>
            </w:pPr>
            <w:r>
              <w:t xml:space="preserve">Не менее 1 </w:t>
            </w:r>
          </w:p>
        </w:tc>
      </w:tr>
      <w:tr w:rsidR="00B64C87">
        <w:trPr>
          <w:trHeight w:val="67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6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>Морозильная камера на минус 20</w:t>
            </w:r>
            <w:r>
              <w:rPr>
                <w:vertAlign w:val="superscript"/>
              </w:rPr>
              <w:t>◦</w:t>
            </w:r>
            <w:r>
              <w:t xml:space="preserve">С.,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65" w:firstLine="0"/>
              <w:jc w:val="center"/>
            </w:pPr>
            <w:r>
              <w:t xml:space="preserve">Не менее 1 </w:t>
            </w:r>
          </w:p>
        </w:tc>
      </w:tr>
      <w:tr w:rsidR="00B64C87">
        <w:trPr>
          <w:trHeight w:val="5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9" w:line="259" w:lineRule="auto"/>
              <w:ind w:left="9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B64C87" w:rsidRDefault="00084EA7">
            <w:pPr>
              <w:spacing w:after="0" w:line="259" w:lineRule="auto"/>
              <w:ind w:left="43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59" w:firstLine="0"/>
              <w:jc w:val="center"/>
            </w:pPr>
            <w:r>
              <w:rPr>
                <w:b/>
              </w:rPr>
              <w:t xml:space="preserve">Наименование оборудования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Количество единиц </w:t>
            </w:r>
          </w:p>
        </w:tc>
      </w:tr>
      <w:tr w:rsidR="00B64C87">
        <w:trPr>
          <w:trHeight w:val="8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6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Боксы (сумки холодильники), охлаждающие элементы для транспортировки образцов биологического материала.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t xml:space="preserve">Обеспечивающих потребности </w:t>
            </w:r>
          </w:p>
        </w:tc>
      </w:tr>
      <w:tr w:rsidR="00B64C87">
        <w:trPr>
          <w:trHeight w:val="8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60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Одноразовые контейнеры для сбора мочи, этикетки номерные.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t xml:space="preserve">Обеспечивающих потребности </w:t>
            </w:r>
          </w:p>
        </w:tc>
      </w:tr>
      <w:tr w:rsidR="00B64C87">
        <w:trPr>
          <w:trHeight w:val="8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60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Одноразовые средства индивидуальной защиты, включая халаты, шапочки, перчатки, маски, очки.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t xml:space="preserve">Обеспечивающих потребности </w:t>
            </w:r>
          </w:p>
        </w:tc>
      </w:tr>
    </w:tbl>
    <w:p w:rsidR="00B64C87" w:rsidRDefault="00084EA7">
      <w:pPr>
        <w:spacing w:after="0" w:line="259" w:lineRule="auto"/>
        <w:ind w:righ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B64C87" w:rsidRDefault="00084EA7">
      <w:pPr>
        <w:spacing w:after="41" w:line="249" w:lineRule="auto"/>
        <w:ind w:left="10" w:right="0" w:hanging="10"/>
        <w:jc w:val="center"/>
      </w:pPr>
      <w:r>
        <w:rPr>
          <w:b/>
        </w:rPr>
        <w:t xml:space="preserve">Приложение № 3. </w:t>
      </w:r>
      <w:r>
        <w:rPr>
          <w:b/>
        </w:rPr>
        <w:t xml:space="preserve">Стандарт оснащения аналитическим лабораторным оборудованием медицинских организаций (учреждений), выполняющих </w:t>
      </w:r>
    </w:p>
    <w:p w:rsidR="00B64C87" w:rsidRDefault="00084EA7">
      <w:pPr>
        <w:spacing w:after="0" w:line="259" w:lineRule="auto"/>
        <w:ind w:left="10" w:right="360" w:hanging="10"/>
        <w:jc w:val="right"/>
      </w:pPr>
      <w:r>
        <w:rPr>
          <w:b/>
        </w:rPr>
        <w:t xml:space="preserve">предварительные и подтверждающие химико-токсикологические исследования </w:t>
      </w:r>
    </w:p>
    <w:p w:rsidR="00B64C87" w:rsidRDefault="00084EA7">
      <w:pPr>
        <w:spacing w:after="0" w:line="259" w:lineRule="auto"/>
        <w:ind w:right="0" w:firstLine="0"/>
        <w:jc w:val="left"/>
      </w:pPr>
      <w:r>
        <w:rPr>
          <w:sz w:val="16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48" w:type="dxa"/>
          <w:left w:w="106" w:type="dxa"/>
          <w:bottom w:w="8" w:type="dxa"/>
          <w:right w:w="17" w:type="dxa"/>
        </w:tblCellMar>
        <w:tblLook w:val="04A0" w:firstRow="1" w:lastRow="0" w:firstColumn="1" w:lastColumn="0" w:noHBand="0" w:noVBand="1"/>
      </w:tblPr>
      <w:tblGrid>
        <w:gridCol w:w="638"/>
        <w:gridCol w:w="6894"/>
        <w:gridCol w:w="2040"/>
      </w:tblGrid>
      <w:tr w:rsidR="00B64C87">
        <w:trPr>
          <w:trHeight w:val="56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№   п/п 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91" w:firstLine="0"/>
              <w:jc w:val="center"/>
            </w:pPr>
            <w:r>
              <w:rPr>
                <w:b/>
              </w:rPr>
              <w:t xml:space="preserve">Наименование оборудования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Количество единиц </w:t>
            </w:r>
          </w:p>
        </w:tc>
      </w:tr>
      <w:tr w:rsidR="00B64C87">
        <w:trPr>
          <w:trHeight w:val="422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left="450" w:right="0" w:firstLine="0"/>
              <w:jc w:val="center"/>
            </w:pPr>
            <w:r>
              <w:rPr>
                <w:b/>
              </w:rPr>
              <w:t xml:space="preserve">Аналитическое оборудование </w:t>
            </w:r>
          </w:p>
        </w:tc>
      </w:tr>
      <w:tr w:rsidR="00B64C87">
        <w:trPr>
          <w:trHeight w:val="735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89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" w:line="373" w:lineRule="auto"/>
              <w:ind w:left="2" w:right="512" w:firstLine="0"/>
              <w:jc w:val="left"/>
            </w:pPr>
            <w:r>
              <w:t xml:space="preserve">Оборудование для анализа проб методом ВЭЖХ/МС/МС, включая: тандемный квадрупольный масс-спектрометр; управляющий компьютер; </w:t>
            </w:r>
          </w:p>
          <w:p w:rsidR="00B64C87" w:rsidRDefault="00084EA7">
            <w:pPr>
              <w:spacing w:after="0" w:line="374" w:lineRule="auto"/>
              <w:ind w:left="2" w:right="65" w:firstLine="0"/>
              <w:jc w:val="left"/>
            </w:pPr>
            <w:r>
              <w:t xml:space="preserve">программное обеспечение для управления масс-спектрометром и жидкостным хроматографом; </w:t>
            </w:r>
          </w:p>
          <w:p w:rsidR="00B64C87" w:rsidRDefault="00084EA7">
            <w:pPr>
              <w:spacing w:after="1" w:line="373" w:lineRule="auto"/>
              <w:ind w:left="2" w:right="1342" w:firstLine="0"/>
              <w:jc w:val="left"/>
            </w:pPr>
            <w:r>
              <w:t xml:space="preserve">программное обеспечение для обработки и хранения результатов анализа;  библиотеки масс-спектров; </w:t>
            </w:r>
          </w:p>
          <w:p w:rsidR="00B64C87" w:rsidRDefault="00084EA7">
            <w:pPr>
              <w:spacing w:after="86" w:line="259" w:lineRule="auto"/>
              <w:ind w:left="2" w:right="0" w:firstLine="0"/>
              <w:jc w:val="left"/>
            </w:pPr>
            <w:r>
              <w:t xml:space="preserve">принтер для распечатки результатов анализа; </w:t>
            </w:r>
          </w:p>
          <w:p w:rsidR="00B64C87" w:rsidRDefault="00084EA7">
            <w:pPr>
              <w:spacing w:after="0" w:line="259" w:lineRule="auto"/>
              <w:ind w:left="2" w:right="110" w:firstLine="0"/>
              <w:jc w:val="left"/>
            </w:pPr>
            <w:r>
              <w:t xml:space="preserve">высокоэффективный жидкостной хроматограф с системой автоматического ввода образцов (автосамплер), двумя насосами, дегазатором, UV-детектором, термостатом; газогенераторную станцию для газоснабжения массспектрометра с компрессором (компрессорами); комплект </w:t>
            </w:r>
            <w:r>
              <w:t xml:space="preserve">расходных материалов для ВЭЖХ/МС/МС, обеспечивающий выполнение всего объема работ (включая аналитические колонки с предколонками, органические растворители и реактивы для хроматографии).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99" w:firstLine="0"/>
              <w:jc w:val="center"/>
            </w:pPr>
            <w:r>
              <w:t xml:space="preserve">Не менее 1 </w:t>
            </w:r>
          </w:p>
        </w:tc>
      </w:tr>
      <w:tr w:rsidR="00B64C87">
        <w:trPr>
          <w:trHeight w:val="232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4C87" w:rsidRDefault="00084EA7">
            <w:pPr>
              <w:spacing w:after="0" w:line="259" w:lineRule="auto"/>
              <w:ind w:right="29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374" w:lineRule="auto"/>
              <w:ind w:left="2" w:right="1261" w:firstLine="0"/>
              <w:jc w:val="left"/>
            </w:pPr>
            <w:r>
              <w:t xml:space="preserve">Пробирки 2 мл, типа Эппендорф, с замком Safe-Lock; </w:t>
            </w:r>
            <w:r>
              <w:t xml:space="preserve">наконечники до 1000 мкл; наконечники до 200 мкл; </w:t>
            </w:r>
          </w:p>
          <w:p w:rsidR="00B64C87" w:rsidRDefault="00084EA7">
            <w:pPr>
              <w:spacing w:after="0" w:line="259" w:lineRule="auto"/>
              <w:ind w:left="2" w:right="0" w:firstLine="0"/>
              <w:jc w:val="left"/>
            </w:pPr>
            <w:r>
              <w:t xml:space="preserve">виалы стеклянные прозрачные на 1.5 мл, с резьбой 9-425; крышки с резьбой 9-425 с центральным отвестием и двухслойными септами для виал 1.5 мл.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t xml:space="preserve">Обеспечивающих потребности </w:t>
            </w:r>
          </w:p>
        </w:tc>
      </w:tr>
      <w:tr w:rsidR="00B64C87">
        <w:trPr>
          <w:trHeight w:val="271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89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374" w:lineRule="auto"/>
              <w:ind w:left="2" w:right="0" w:firstLine="0"/>
              <w:jc w:val="left"/>
            </w:pPr>
            <w:r>
              <w:t xml:space="preserve">Оборудование для анализа проб методом ГХ/МС, включая: газовый хроматограф с квадрупольным масс-селективным детектором;  </w:t>
            </w:r>
          </w:p>
          <w:p w:rsidR="00B64C87" w:rsidRDefault="00084EA7">
            <w:pPr>
              <w:spacing w:after="86" w:line="259" w:lineRule="auto"/>
              <w:ind w:left="2" w:right="0" w:firstLine="0"/>
              <w:jc w:val="left"/>
            </w:pPr>
            <w:r>
              <w:t xml:space="preserve">управляющий компьютер;  </w:t>
            </w:r>
          </w:p>
          <w:p w:rsidR="00B64C87" w:rsidRDefault="00084EA7">
            <w:pPr>
              <w:spacing w:after="0" w:line="259" w:lineRule="auto"/>
              <w:ind w:left="2" w:right="172" w:firstLine="0"/>
              <w:jc w:val="left"/>
            </w:pPr>
            <w:r>
              <w:t>программное обеспечение для управления прибором, обработки и хранения результатов анализа;  библиотеки масс-сп</w:t>
            </w:r>
            <w:r>
              <w:t xml:space="preserve">ектров;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99" w:firstLine="0"/>
              <w:jc w:val="center"/>
            </w:pPr>
            <w:r>
              <w:t xml:space="preserve">Не менее 1 </w:t>
            </w:r>
          </w:p>
        </w:tc>
      </w:tr>
    </w:tbl>
    <w:p w:rsidR="00B64C87" w:rsidRDefault="00B64C87">
      <w:pPr>
        <w:spacing w:after="0" w:line="259" w:lineRule="auto"/>
        <w:ind w:left="-1702" w:right="11119" w:firstLine="0"/>
        <w:jc w:val="left"/>
      </w:pPr>
    </w:p>
    <w:tbl>
      <w:tblPr>
        <w:tblStyle w:val="TableGrid"/>
        <w:tblW w:w="9573" w:type="dxa"/>
        <w:tblInd w:w="-108" w:type="dxa"/>
        <w:tblCellMar>
          <w:top w:w="49" w:type="dxa"/>
          <w:left w:w="106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638"/>
        <w:gridCol w:w="6894"/>
        <w:gridCol w:w="2040"/>
      </w:tblGrid>
      <w:tr w:rsidR="00B64C87">
        <w:trPr>
          <w:trHeight w:val="56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№   п/п 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91" w:firstLine="0"/>
              <w:jc w:val="center"/>
            </w:pPr>
            <w:r>
              <w:rPr>
                <w:b/>
              </w:rPr>
              <w:t xml:space="preserve">Наименование оборудования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Количество единиц </w:t>
            </w:r>
          </w:p>
        </w:tc>
      </w:tr>
      <w:tr w:rsidR="00B64C87">
        <w:trPr>
          <w:trHeight w:val="271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B64C8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373" w:lineRule="auto"/>
              <w:ind w:left="2" w:right="971" w:firstLine="0"/>
              <w:jc w:val="left"/>
            </w:pPr>
            <w:r>
              <w:t xml:space="preserve">принтер для распечатки результатов анализа; систему автоматического ввода образцов (автосамплер); газовый баллон с редуктором; </w:t>
            </w:r>
          </w:p>
          <w:p w:rsidR="00B64C87" w:rsidRDefault="00084EA7">
            <w:pPr>
              <w:spacing w:after="0" w:line="259" w:lineRule="auto"/>
              <w:ind w:left="2" w:right="0" w:firstLine="0"/>
              <w:jc w:val="left"/>
            </w:pPr>
            <w:r>
              <w:t xml:space="preserve">комплект расходных материалов для ГХ/МС, обеспечивающий выполнение всего объема работ (включая аналитические колонки, органические растворители и реактивы для пробоподготовки, газ и фильтры для газа).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B64C87">
            <w:pPr>
              <w:spacing w:after="160" w:line="259" w:lineRule="auto"/>
              <w:ind w:right="0" w:firstLine="0"/>
              <w:jc w:val="left"/>
            </w:pPr>
          </w:p>
        </w:tc>
      </w:tr>
      <w:tr w:rsidR="00B64C87">
        <w:trPr>
          <w:trHeight w:val="348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4C87" w:rsidRDefault="00084EA7">
            <w:pPr>
              <w:spacing w:after="0" w:line="259" w:lineRule="auto"/>
              <w:ind w:right="29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" w:line="373" w:lineRule="auto"/>
              <w:ind w:left="2" w:right="125" w:firstLine="0"/>
              <w:jc w:val="left"/>
            </w:pPr>
            <w:r>
              <w:t>Виалы стеклянные прозрачные на 1.5 мл, с резьбой 9</w:t>
            </w:r>
            <w:r>
              <w:t xml:space="preserve">-425; виалы стеклянные прозрачные на 4 мл, с резьбой 13-425; крышки с резьбой 9-425 с центральным отвестием и двухслойными септами для виал 1.5 мл; </w:t>
            </w:r>
          </w:p>
          <w:p w:rsidR="00B64C87" w:rsidRDefault="00084EA7">
            <w:pPr>
              <w:spacing w:after="1" w:line="373" w:lineRule="auto"/>
              <w:ind w:left="2" w:right="0" w:firstLine="0"/>
              <w:jc w:val="left"/>
            </w:pPr>
            <w:r>
              <w:t xml:space="preserve">крышки с резьбой 13-425 с центральным отвестием и двухслойными септами для виал 4 мл; </w:t>
            </w:r>
          </w:p>
          <w:p w:rsidR="00B64C87" w:rsidRDefault="00084EA7">
            <w:pPr>
              <w:spacing w:after="0" w:line="259" w:lineRule="auto"/>
              <w:ind w:left="2" w:right="1207" w:firstLine="0"/>
              <w:jc w:val="left"/>
            </w:pPr>
            <w:r>
              <w:t>стеклянные вставки о</w:t>
            </w:r>
            <w:r>
              <w:t xml:space="preserve">бъемом 300 мкл для виал 1,5 мл; наконечники до 1000 мкл; наконечники до 200 мкл.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t xml:space="preserve">Обеспечивающих потребности </w:t>
            </w:r>
          </w:p>
        </w:tc>
      </w:tr>
      <w:tr w:rsidR="00B64C87">
        <w:trPr>
          <w:trHeight w:val="580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89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32" w:line="259" w:lineRule="auto"/>
              <w:ind w:left="2" w:right="0" w:firstLine="0"/>
              <w:jc w:val="left"/>
            </w:pPr>
            <w:r>
              <w:t xml:space="preserve">Оборудование для анализа методом ГХ, включая: </w:t>
            </w:r>
          </w:p>
          <w:p w:rsidR="00B64C87" w:rsidRDefault="00084EA7">
            <w:pPr>
              <w:spacing w:after="1" w:line="373" w:lineRule="auto"/>
              <w:ind w:left="2" w:right="3034" w:firstLine="0"/>
              <w:jc w:val="left"/>
            </w:pPr>
            <w:r>
              <w:t xml:space="preserve">газовый хроматограф; термоионный детектор; пламенно-ионизационный детектор;  катарометр; </w:t>
            </w:r>
          </w:p>
          <w:p w:rsidR="00B64C87" w:rsidRDefault="00084EA7">
            <w:pPr>
              <w:spacing w:after="86" w:line="259" w:lineRule="auto"/>
              <w:ind w:left="2" w:right="0" w:firstLine="0"/>
              <w:jc w:val="left"/>
            </w:pPr>
            <w:r>
              <w:t xml:space="preserve">управляющий компьютер;  </w:t>
            </w:r>
          </w:p>
          <w:p w:rsidR="00B64C87" w:rsidRDefault="00084EA7">
            <w:pPr>
              <w:spacing w:after="0" w:line="374" w:lineRule="auto"/>
              <w:ind w:left="2" w:right="172" w:firstLine="0"/>
              <w:jc w:val="left"/>
            </w:pPr>
            <w:r>
              <w:t>программное обеспечение для управления прибором, обработки и хранения результатов анализа;  принтер для распечатки результатов анализа, систему автоматического ввода образцов (автосамплер); газовый баллон с редуктором (газогенерато</w:t>
            </w:r>
            <w:r>
              <w:t xml:space="preserve">р); </w:t>
            </w:r>
          </w:p>
          <w:p w:rsidR="00B64C87" w:rsidRDefault="00084EA7">
            <w:pPr>
              <w:spacing w:after="0" w:line="259" w:lineRule="auto"/>
              <w:ind w:left="2" w:right="0" w:firstLine="0"/>
              <w:jc w:val="left"/>
            </w:pPr>
            <w:r>
              <w:t xml:space="preserve">комплект расходных материалов для ГХ, обеспечивающий выполнение всего объема работ (включая аналитические колонки, </w:t>
            </w:r>
            <w:r>
              <w:tab/>
              <w:t xml:space="preserve">органические </w:t>
            </w:r>
            <w:r>
              <w:tab/>
              <w:t xml:space="preserve">растворители </w:t>
            </w:r>
            <w:r>
              <w:tab/>
              <w:t xml:space="preserve">и </w:t>
            </w:r>
            <w:r>
              <w:tab/>
              <w:t xml:space="preserve">реактивы </w:t>
            </w:r>
            <w:r>
              <w:tab/>
              <w:t xml:space="preserve">для пробоподготовки, газ и фильтры для газа).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99" w:firstLine="0"/>
              <w:jc w:val="center"/>
            </w:pPr>
            <w:r>
              <w:t xml:space="preserve">Не менее 1 </w:t>
            </w:r>
          </w:p>
        </w:tc>
      </w:tr>
      <w:tr w:rsidR="00B64C87">
        <w:trPr>
          <w:trHeight w:val="194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4C87" w:rsidRDefault="00084EA7">
            <w:pPr>
              <w:spacing w:after="0" w:line="259" w:lineRule="auto"/>
              <w:ind w:right="29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" w:line="373" w:lineRule="auto"/>
              <w:ind w:left="2" w:right="125" w:firstLine="0"/>
              <w:jc w:val="left"/>
            </w:pPr>
            <w:r>
              <w:t xml:space="preserve">Виалы стеклянные прозрачные на 1.5 мл, с резьбой 9-425; виалы стеклянные прозрачные на 4 мл, с резьбой 13-425; крышки с резьбой 9-425 с центральным отвестием и двухслойными септами для виал 1.5 мл; </w:t>
            </w:r>
          </w:p>
          <w:p w:rsidR="00B64C87" w:rsidRDefault="00084EA7">
            <w:pPr>
              <w:spacing w:after="0" w:line="259" w:lineRule="auto"/>
              <w:ind w:left="2" w:right="0" w:firstLine="0"/>
              <w:jc w:val="left"/>
            </w:pPr>
            <w:r>
              <w:t xml:space="preserve">крышки с резьбой 13-425 с центральным отвестием и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t xml:space="preserve">Обеспечивающих потребности </w:t>
            </w:r>
          </w:p>
        </w:tc>
      </w:tr>
      <w:tr w:rsidR="00B64C87">
        <w:trPr>
          <w:trHeight w:val="56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№   п/п 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91" w:firstLine="0"/>
              <w:jc w:val="center"/>
            </w:pPr>
            <w:r>
              <w:rPr>
                <w:b/>
              </w:rPr>
              <w:t xml:space="preserve">Наименование оборудования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Количество единиц </w:t>
            </w:r>
          </w:p>
        </w:tc>
      </w:tr>
      <w:tr w:rsidR="00B64C87">
        <w:trPr>
          <w:trHeight w:val="155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B64C8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33" w:line="259" w:lineRule="auto"/>
              <w:ind w:left="2" w:right="0" w:firstLine="0"/>
              <w:jc w:val="left"/>
            </w:pPr>
            <w:r>
              <w:t xml:space="preserve">двухслойными септами для виал 4 мл; </w:t>
            </w:r>
          </w:p>
          <w:p w:rsidR="00B64C87" w:rsidRDefault="00084EA7">
            <w:pPr>
              <w:spacing w:after="0" w:line="259" w:lineRule="auto"/>
              <w:ind w:left="2" w:right="1207" w:firstLine="0"/>
              <w:jc w:val="left"/>
            </w:pPr>
            <w:r>
              <w:t xml:space="preserve">стеклянные вставки объемом 300 мкл для виал 1,5 мл; наконечники до 1000 мкл; наконечники до 200 мкл.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B64C87">
            <w:pPr>
              <w:spacing w:after="160" w:line="259" w:lineRule="auto"/>
              <w:ind w:right="0" w:firstLine="0"/>
              <w:jc w:val="left"/>
            </w:pPr>
          </w:p>
        </w:tc>
      </w:tr>
      <w:tr w:rsidR="00B64C87">
        <w:trPr>
          <w:trHeight w:val="1044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89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34" w:line="345" w:lineRule="auto"/>
              <w:ind w:left="2" w:right="381" w:firstLine="0"/>
              <w:jc w:val="left"/>
            </w:pPr>
            <w:r>
              <w:t xml:space="preserve">Оборудование и диагностические реагенты для иммунохимического анализа проб, включая: анализатор для химико-токсикологических исследований, обеспечивающий регистрацию и количественную оценку результатов исследования путем сравнения полученного результата с </w:t>
            </w:r>
            <w:r>
              <w:t>калибровочной кривой, распечатку на бумажном носителе перечня выявленных веществ, с указанием концентрации обнаруженных наркотических средств, психотропных и иных токсических веществ (их метаболитов), времени проведения исследований, номера исследования, н</w:t>
            </w:r>
            <w:r>
              <w:t xml:space="preserve">омера используемого технического средства и серии использованных реагентов.  </w:t>
            </w:r>
          </w:p>
          <w:p w:rsidR="00B64C87" w:rsidRDefault="00084EA7">
            <w:pPr>
              <w:spacing w:after="23" w:line="354" w:lineRule="auto"/>
              <w:ind w:left="2" w:right="0" w:firstLine="0"/>
              <w:jc w:val="left"/>
            </w:pPr>
            <w:r>
              <w:t>Реагенты к анализатору, обеспечивающие обнаружение наркотических средств, психотропных и иных токсических веществ (их метаболитов), указанных в пункте 9 Правил проведения химико-</w:t>
            </w:r>
            <w:r>
              <w:t xml:space="preserve">токсикологических исследований, в концентрациях, установленных в Приложении № 4. </w:t>
            </w:r>
          </w:p>
          <w:p w:rsidR="00B64C87" w:rsidRDefault="00084EA7">
            <w:pPr>
              <w:spacing w:after="133" w:line="259" w:lineRule="auto"/>
              <w:ind w:left="2" w:right="0" w:firstLine="0"/>
              <w:jc w:val="left"/>
            </w:pPr>
            <w:r>
              <w:t xml:space="preserve">Бесконтактный термометр.  </w:t>
            </w:r>
          </w:p>
          <w:p w:rsidR="00B64C87" w:rsidRDefault="00084EA7">
            <w:pPr>
              <w:spacing w:after="132" w:line="259" w:lineRule="auto"/>
              <w:ind w:left="2" w:right="0" w:firstLine="0"/>
              <w:jc w:val="left"/>
            </w:pPr>
            <w:r>
              <w:t xml:space="preserve">Диапазон измерения температуры: от 0 до 60,0°С.  </w:t>
            </w:r>
          </w:p>
          <w:p w:rsidR="00B64C87" w:rsidRDefault="00084EA7">
            <w:pPr>
              <w:spacing w:after="133" w:line="259" w:lineRule="auto"/>
              <w:ind w:left="2" w:right="0" w:firstLine="0"/>
              <w:jc w:val="left"/>
            </w:pPr>
            <w:r>
              <w:t xml:space="preserve">Погрешность: ±1,0°С. </w:t>
            </w:r>
          </w:p>
          <w:p w:rsidR="00B64C87" w:rsidRDefault="00084EA7">
            <w:pPr>
              <w:spacing w:after="131" w:line="259" w:lineRule="auto"/>
              <w:ind w:left="2" w:right="0" w:firstLine="0"/>
              <w:jc w:val="left"/>
            </w:pPr>
            <w:r>
              <w:t xml:space="preserve">Разрешающая способность: 0,1°С. </w:t>
            </w:r>
          </w:p>
          <w:p w:rsidR="00B64C87" w:rsidRDefault="00084EA7">
            <w:pPr>
              <w:spacing w:after="127" w:line="259" w:lineRule="auto"/>
              <w:ind w:left="2" w:right="0" w:firstLine="0"/>
              <w:jc w:val="left"/>
            </w:pPr>
            <w:r>
              <w:t xml:space="preserve">Дальность измерения: 5-20 см. </w:t>
            </w:r>
          </w:p>
          <w:p w:rsidR="00B64C87" w:rsidRDefault="00084EA7">
            <w:pPr>
              <w:spacing w:after="134" w:line="259" w:lineRule="auto"/>
              <w:ind w:left="2" w:right="0" w:firstLine="0"/>
              <w:jc w:val="left"/>
            </w:pPr>
            <w:r>
              <w:t xml:space="preserve"> Цифровой  </w:t>
            </w:r>
            <w:r>
              <w:t>pH-метр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портативный, без штатива.  </w:t>
            </w:r>
          </w:p>
          <w:p w:rsidR="00B64C87" w:rsidRDefault="00084EA7">
            <w:pPr>
              <w:spacing w:after="132" w:line="259" w:lineRule="auto"/>
              <w:ind w:left="2" w:right="0" w:firstLine="0"/>
              <w:jc w:val="left"/>
            </w:pPr>
            <w:r>
              <w:t xml:space="preserve"> Рабочий диапазон pH: 0 – 14 </w:t>
            </w:r>
          </w:p>
          <w:p w:rsidR="00B64C87" w:rsidRDefault="00084EA7">
            <w:pPr>
              <w:spacing w:after="133" w:line="259" w:lineRule="auto"/>
              <w:ind w:left="2" w:right="0" w:firstLine="0"/>
              <w:jc w:val="left"/>
            </w:pPr>
            <w:r>
              <w:t xml:space="preserve">Разрешение: 0,1pH </w:t>
            </w:r>
          </w:p>
          <w:p w:rsidR="00B64C87" w:rsidRDefault="00084EA7">
            <w:pPr>
              <w:spacing w:after="0" w:line="259" w:lineRule="auto"/>
              <w:ind w:left="2" w:right="0" w:firstLine="0"/>
              <w:jc w:val="left"/>
            </w:pPr>
            <w:r>
              <w:t xml:space="preserve">Погрешность прибора: ± 0,2рН и/или  тест-полоски  для определения рН мочи.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12" w:line="259" w:lineRule="auto"/>
              <w:ind w:right="99" w:firstLine="0"/>
              <w:jc w:val="center"/>
            </w:pPr>
            <w:r>
              <w:t xml:space="preserve">Не менее 2 </w:t>
            </w:r>
          </w:p>
          <w:p w:rsidR="00B64C87" w:rsidRDefault="00084EA7">
            <w:pPr>
              <w:spacing w:after="115" w:line="259" w:lineRule="auto"/>
              <w:ind w:right="34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2" w:line="259" w:lineRule="auto"/>
              <w:ind w:right="34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5" w:line="259" w:lineRule="auto"/>
              <w:ind w:right="34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2" w:line="259" w:lineRule="auto"/>
              <w:ind w:right="34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5" w:line="259" w:lineRule="auto"/>
              <w:ind w:right="34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2" w:line="259" w:lineRule="auto"/>
              <w:ind w:right="34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5" w:line="259" w:lineRule="auto"/>
              <w:ind w:right="34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2" w:line="259" w:lineRule="auto"/>
              <w:ind w:right="34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0" w:line="397" w:lineRule="auto"/>
              <w:ind w:right="0" w:firstLine="0"/>
              <w:jc w:val="center"/>
            </w:pPr>
            <w:r>
              <w:t xml:space="preserve">Обеспечивающих потребности </w:t>
            </w:r>
          </w:p>
          <w:p w:rsidR="00B64C87" w:rsidRDefault="00084EA7">
            <w:pPr>
              <w:spacing w:after="115" w:line="259" w:lineRule="auto"/>
              <w:ind w:right="34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112" w:line="259" w:lineRule="auto"/>
              <w:ind w:right="34" w:firstLine="0"/>
              <w:jc w:val="center"/>
            </w:pPr>
            <w:r>
              <w:t xml:space="preserve"> </w:t>
            </w:r>
          </w:p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t xml:space="preserve">Обеспечивающих потребности </w:t>
            </w:r>
          </w:p>
        </w:tc>
      </w:tr>
    </w:tbl>
    <w:p w:rsidR="00B64C87" w:rsidRDefault="00084EA7">
      <w:pPr>
        <w:spacing w:after="115" w:line="259" w:lineRule="auto"/>
        <w:ind w:right="0" w:firstLine="0"/>
        <w:jc w:val="right"/>
      </w:pPr>
      <w:r>
        <w:t xml:space="preserve"> </w:t>
      </w:r>
    </w:p>
    <w:p w:rsidR="00B64C87" w:rsidRDefault="00084EA7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64C87" w:rsidRDefault="00084EA7">
      <w:pPr>
        <w:spacing w:after="41" w:line="249" w:lineRule="auto"/>
        <w:ind w:left="10" w:right="0" w:hanging="10"/>
        <w:jc w:val="center"/>
      </w:pPr>
      <w:r>
        <w:rPr>
          <w:b/>
        </w:rPr>
        <w:t xml:space="preserve">Приложение № 4. Требования к техническим средствам и реагентам, применяемым с целью обнаружения наркотических средств, психотропных и иных токсических </w:t>
      </w:r>
    </w:p>
    <w:p w:rsidR="00B64C87" w:rsidRDefault="00084EA7">
      <w:pPr>
        <w:spacing w:after="41" w:line="249" w:lineRule="auto"/>
        <w:ind w:left="10" w:right="0" w:hanging="10"/>
        <w:jc w:val="center"/>
      </w:pPr>
      <w:r>
        <w:rPr>
          <w:b/>
        </w:rPr>
        <w:t>веществ (их метаболитов) в моче, при проведении предварительных химикотоксикологических исследований (дл</w:t>
      </w:r>
      <w:r>
        <w:rPr>
          <w:b/>
        </w:rPr>
        <w:t xml:space="preserve">я веществ, указанных в таблице) </w:t>
      </w:r>
    </w:p>
    <w:p w:rsidR="00B64C87" w:rsidRDefault="00084EA7">
      <w:pPr>
        <w:spacing w:after="0" w:line="259" w:lineRule="auto"/>
        <w:ind w:left="540" w:right="0" w:firstLine="0"/>
        <w:jc w:val="left"/>
      </w:pPr>
      <w:r>
        <w:t xml:space="preserve"> </w:t>
      </w:r>
    </w:p>
    <w:tbl>
      <w:tblPr>
        <w:tblStyle w:val="TableGrid"/>
        <w:tblW w:w="9542" w:type="dxa"/>
        <w:tblInd w:w="-5" w:type="dxa"/>
        <w:tblCellMar>
          <w:top w:w="9" w:type="dxa"/>
          <w:left w:w="15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681"/>
        <w:gridCol w:w="4861"/>
      </w:tblGrid>
      <w:tr w:rsidR="00B64C87">
        <w:trPr>
          <w:trHeight w:val="838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rPr>
                <w:b/>
              </w:rPr>
              <w:t xml:space="preserve">Наименование групп веществ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Концентрация нг/мл, минимально возможная для определения </w:t>
            </w:r>
          </w:p>
        </w:tc>
      </w:tr>
      <w:tr w:rsidR="00B64C87">
        <w:trPr>
          <w:trHeight w:val="1253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15" w:line="259" w:lineRule="auto"/>
              <w:ind w:right="0" w:firstLine="0"/>
              <w:jc w:val="left"/>
            </w:pPr>
            <w:r>
              <w:t xml:space="preserve">Опиаты </w:t>
            </w:r>
          </w:p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(6 моноацетилморфин, морфин, кодеин, дезоморфин и др.)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300 </w:t>
            </w:r>
          </w:p>
        </w:tc>
      </w:tr>
      <w:tr w:rsidR="00B64C87">
        <w:trPr>
          <w:trHeight w:val="422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Каннабиноиды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15 </w:t>
            </w:r>
          </w:p>
        </w:tc>
      </w:tr>
      <w:tr w:rsidR="00B64C87">
        <w:trPr>
          <w:trHeight w:val="838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Фенилалкиламины (амфетамин, метамфетамин, мефедрон и др.)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25 </w:t>
            </w:r>
          </w:p>
        </w:tc>
      </w:tr>
      <w:tr w:rsidR="00B64C87">
        <w:trPr>
          <w:trHeight w:val="425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Метадон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25 </w:t>
            </w:r>
          </w:p>
        </w:tc>
      </w:tr>
      <w:tr w:rsidR="00B64C87">
        <w:trPr>
          <w:trHeight w:val="425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Бензодиазепины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20 </w:t>
            </w:r>
          </w:p>
        </w:tc>
      </w:tr>
      <w:tr w:rsidR="00B64C87">
        <w:trPr>
          <w:trHeight w:val="422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МДМА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40 </w:t>
            </w:r>
          </w:p>
        </w:tc>
      </w:tr>
      <w:tr w:rsidR="00B64C87">
        <w:trPr>
          <w:trHeight w:val="425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Кокаин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25 </w:t>
            </w:r>
          </w:p>
        </w:tc>
      </w:tr>
      <w:tr w:rsidR="00B64C87">
        <w:trPr>
          <w:trHeight w:val="425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Барбитураты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50 </w:t>
            </w:r>
          </w:p>
        </w:tc>
      </w:tr>
      <w:tr w:rsidR="00B64C87">
        <w:trPr>
          <w:trHeight w:val="422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Котинин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20 </w:t>
            </w:r>
          </w:p>
        </w:tc>
      </w:tr>
      <w:tr w:rsidR="00B64C87">
        <w:trPr>
          <w:trHeight w:val="425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Синтетические каннабиноиды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5 </w:t>
            </w:r>
          </w:p>
        </w:tc>
      </w:tr>
      <w:tr w:rsidR="00B64C87">
        <w:trPr>
          <w:trHeight w:val="425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Синтетические катиноны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20 </w:t>
            </w:r>
          </w:p>
        </w:tc>
      </w:tr>
      <w:tr w:rsidR="00B64C87">
        <w:trPr>
          <w:trHeight w:val="425"/>
        </w:trPr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Этилглюкуронид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39" w:firstLine="0"/>
              <w:jc w:val="center"/>
            </w:pPr>
            <w:r>
              <w:t xml:space="preserve">900 </w:t>
            </w:r>
          </w:p>
        </w:tc>
      </w:tr>
    </w:tbl>
    <w:p w:rsidR="00B64C87" w:rsidRDefault="00084EA7">
      <w:pPr>
        <w:spacing w:after="110" w:line="259" w:lineRule="auto"/>
        <w:ind w:right="0" w:firstLine="0"/>
        <w:jc w:val="left"/>
      </w:pPr>
      <w:r>
        <w:t xml:space="preserve"> </w:t>
      </w:r>
    </w:p>
    <w:p w:rsidR="00B64C87" w:rsidRDefault="00084EA7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</w:p>
    <w:p w:rsidR="00B64C87" w:rsidRDefault="00084EA7">
      <w:pPr>
        <w:spacing w:after="0" w:line="249" w:lineRule="auto"/>
        <w:ind w:left="10" w:right="0" w:hanging="10"/>
        <w:jc w:val="center"/>
      </w:pPr>
      <w:r>
        <w:rPr>
          <w:b/>
        </w:rPr>
        <w:t xml:space="preserve">Приложение № 5. Минимально возможные для определения концентрации наркотических средств, психотропных веществ, иных химических веществ и их </w:t>
      </w:r>
    </w:p>
    <w:p w:rsidR="00B64C87" w:rsidRDefault="00084EA7">
      <w:pPr>
        <w:spacing w:after="41" w:line="249" w:lineRule="auto"/>
        <w:ind w:left="10" w:right="0" w:hanging="10"/>
        <w:jc w:val="center"/>
      </w:pPr>
      <w:r>
        <w:rPr>
          <w:b/>
        </w:rPr>
        <w:t xml:space="preserve">метаболитов в моче, определяемые методами подтверждающего анализа(для веществ, указанных в таблице) </w:t>
      </w:r>
    </w:p>
    <w:p w:rsidR="00B64C87" w:rsidRDefault="00084EA7">
      <w:pPr>
        <w:spacing w:after="0" w:line="259" w:lineRule="auto"/>
        <w:ind w:left="540" w:right="0" w:firstLine="0"/>
        <w:jc w:val="left"/>
      </w:pPr>
      <w:r>
        <w:t xml:space="preserve"> </w:t>
      </w:r>
    </w:p>
    <w:tbl>
      <w:tblPr>
        <w:tblStyle w:val="TableGrid"/>
        <w:tblW w:w="9931" w:type="dxa"/>
        <w:tblInd w:w="-5" w:type="dxa"/>
        <w:tblCellMar>
          <w:top w:w="9" w:type="dxa"/>
          <w:left w:w="151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86"/>
        <w:gridCol w:w="5245"/>
      </w:tblGrid>
      <w:tr w:rsidR="00B64C87">
        <w:trPr>
          <w:trHeight w:val="562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Наименование группы обнаруживаемых веществ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158" w:firstLine="0"/>
              <w:jc w:val="center"/>
            </w:pPr>
            <w:r>
              <w:rPr>
                <w:b/>
              </w:rPr>
              <w:t xml:space="preserve">Концентрация (нг/мл) </w:t>
            </w:r>
          </w:p>
        </w:tc>
      </w:tr>
      <w:tr w:rsidR="00B64C87">
        <w:trPr>
          <w:trHeight w:val="425"/>
        </w:trPr>
        <w:tc>
          <w:tcPr>
            <w:tcW w:w="9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9" w:firstLine="0"/>
              <w:jc w:val="center"/>
            </w:pPr>
            <w:r>
              <w:t xml:space="preserve">Группа амфетамина </w:t>
            </w:r>
          </w:p>
        </w:tc>
      </w:tr>
      <w:tr w:rsidR="00B64C87">
        <w:trPr>
          <w:trHeight w:val="422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Амфетамин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20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Метамфетамин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20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Метилендиоксиамфетамин (МДА)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40 </w:t>
            </w:r>
          </w:p>
        </w:tc>
      </w:tr>
      <w:tr w:rsidR="00B64C87">
        <w:trPr>
          <w:trHeight w:val="422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Метилендиоксиметамфетамин (МДМА)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40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Другие вещества амфетаминовой группы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40 </w:t>
            </w:r>
          </w:p>
        </w:tc>
      </w:tr>
      <w:tr w:rsidR="00B64C87">
        <w:trPr>
          <w:trHeight w:val="425"/>
        </w:trPr>
        <w:tc>
          <w:tcPr>
            <w:tcW w:w="9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2" w:firstLine="0"/>
              <w:jc w:val="center"/>
            </w:pPr>
            <w:r>
              <w:t xml:space="preserve">Группа опиатов </w:t>
            </w:r>
          </w:p>
        </w:tc>
      </w:tr>
      <w:tr w:rsidR="00B64C87">
        <w:trPr>
          <w:trHeight w:val="422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Морфин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10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Кодеин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20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6-моноацетилморфин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5 </w:t>
            </w:r>
          </w:p>
        </w:tc>
      </w:tr>
      <w:tr w:rsidR="00B64C87">
        <w:trPr>
          <w:trHeight w:val="422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Другие вещества опийной группы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10 </w:t>
            </w:r>
          </w:p>
        </w:tc>
      </w:tr>
      <w:tr w:rsidR="00B64C87">
        <w:trPr>
          <w:trHeight w:val="425"/>
        </w:trPr>
        <w:tc>
          <w:tcPr>
            <w:tcW w:w="9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5" w:firstLine="0"/>
              <w:jc w:val="center"/>
            </w:pPr>
            <w:r>
              <w:t xml:space="preserve">Группа бензодиазепина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Оксазепам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50 </w:t>
            </w:r>
          </w:p>
        </w:tc>
      </w:tr>
      <w:tr w:rsidR="00B64C87">
        <w:trPr>
          <w:trHeight w:val="422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Диазепам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50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Нордиазепам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50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Мидазолам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20 </w:t>
            </w:r>
          </w:p>
        </w:tc>
      </w:tr>
      <w:tr w:rsidR="00B64C87">
        <w:trPr>
          <w:trHeight w:val="422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Феназепам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50 </w:t>
            </w:r>
          </w:p>
        </w:tc>
      </w:tr>
      <w:tr w:rsidR="00B64C87">
        <w:trPr>
          <w:trHeight w:val="838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115" w:line="259" w:lineRule="auto"/>
              <w:ind w:right="0" w:firstLine="0"/>
              <w:jc w:val="left"/>
            </w:pPr>
            <w:r>
              <w:t xml:space="preserve">Другие вещества группы бензодиазепина </w:t>
            </w:r>
          </w:p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50 </w:t>
            </w:r>
          </w:p>
        </w:tc>
      </w:tr>
      <w:tr w:rsidR="00B64C87">
        <w:trPr>
          <w:trHeight w:val="425"/>
        </w:trPr>
        <w:tc>
          <w:tcPr>
            <w:tcW w:w="9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2" w:firstLine="0"/>
              <w:jc w:val="center"/>
            </w:pPr>
            <w:r>
              <w:t xml:space="preserve">Группа барбитуратов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Фенобарбитал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5" w:firstLine="0"/>
              <w:jc w:val="center"/>
            </w:pPr>
            <w:r>
              <w:t xml:space="preserve">1000 </w:t>
            </w:r>
          </w:p>
        </w:tc>
      </w:tr>
      <w:tr w:rsidR="00B64C87">
        <w:trPr>
          <w:trHeight w:val="422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Барбамил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5" w:firstLine="0"/>
              <w:jc w:val="center"/>
            </w:pPr>
            <w:r>
              <w:t xml:space="preserve">100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Этаминал натрия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5" w:firstLine="0"/>
              <w:jc w:val="center"/>
            </w:pPr>
            <w:r>
              <w:t xml:space="preserve">100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Другие вещества группы барбитуратов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5" w:firstLine="0"/>
              <w:jc w:val="center"/>
            </w:pPr>
            <w:r>
              <w:t xml:space="preserve">100 </w:t>
            </w:r>
          </w:p>
        </w:tc>
      </w:tr>
      <w:tr w:rsidR="00B64C87">
        <w:trPr>
          <w:trHeight w:val="422"/>
        </w:trPr>
        <w:tc>
          <w:tcPr>
            <w:tcW w:w="9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1" w:firstLine="0"/>
              <w:jc w:val="center"/>
            </w:pPr>
            <w:r>
              <w:t xml:space="preserve">Вещества других групп </w:t>
            </w:r>
          </w:p>
        </w:tc>
      </w:tr>
      <w:tr w:rsidR="00B64C87">
        <w:trPr>
          <w:trHeight w:val="1253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11-нор-Δ9-тетрагидроканнабиноловая кислота (основной метаболит Δ9-тетрагидроканнабинола)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15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Бензоилэкгонин (метаболит кокаина)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50 </w:t>
            </w:r>
          </w:p>
        </w:tc>
      </w:tr>
      <w:tr w:rsidR="00B64C87">
        <w:trPr>
          <w:trHeight w:val="564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Наименование группы обнаруживаемых веществ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C87" w:rsidRDefault="00084EA7">
            <w:pPr>
              <w:spacing w:after="0" w:line="259" w:lineRule="auto"/>
              <w:ind w:right="158" w:firstLine="0"/>
              <w:jc w:val="center"/>
            </w:pPr>
            <w:r>
              <w:rPr>
                <w:b/>
              </w:rPr>
              <w:t xml:space="preserve">Концентрация (нг/мл) </w:t>
            </w:r>
          </w:p>
        </w:tc>
      </w:tr>
      <w:tr w:rsidR="00B64C87">
        <w:trPr>
          <w:trHeight w:val="423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Метадон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50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Пропоксифен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40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Бупренорфин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5 </w:t>
            </w:r>
          </w:p>
        </w:tc>
      </w:tr>
      <w:tr w:rsidR="00B64C87">
        <w:trPr>
          <w:trHeight w:val="422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ЛСД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1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Фентанил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4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Метаквалон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5" w:firstLine="0"/>
              <w:jc w:val="center"/>
            </w:pPr>
            <w:r>
              <w:t xml:space="preserve">100 </w:t>
            </w:r>
          </w:p>
        </w:tc>
      </w:tr>
      <w:tr w:rsidR="00B64C87">
        <w:trPr>
          <w:trHeight w:val="422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Фенциклидин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20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Котинин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20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Синтетические каннабиноиды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5 </w:t>
            </w:r>
          </w:p>
        </w:tc>
      </w:tr>
      <w:tr w:rsidR="00B64C87">
        <w:trPr>
          <w:trHeight w:val="423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Синтетические катиноны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3" w:firstLine="0"/>
              <w:jc w:val="center"/>
            </w:pPr>
            <w:r>
              <w:t xml:space="preserve">10 </w:t>
            </w:r>
          </w:p>
        </w:tc>
      </w:tr>
      <w:tr w:rsidR="00B64C87">
        <w:trPr>
          <w:trHeight w:val="4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0" w:firstLine="0"/>
              <w:jc w:val="left"/>
            </w:pPr>
            <w:r>
              <w:t xml:space="preserve">Этилглюкуронид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87" w:rsidRDefault="00084EA7">
            <w:pPr>
              <w:spacing w:after="0" w:line="259" w:lineRule="auto"/>
              <w:ind w:right="155" w:firstLine="0"/>
              <w:jc w:val="center"/>
            </w:pPr>
            <w:r>
              <w:t xml:space="preserve">900 </w:t>
            </w:r>
          </w:p>
        </w:tc>
      </w:tr>
    </w:tbl>
    <w:p w:rsidR="00B64C87" w:rsidRDefault="00084EA7">
      <w:pPr>
        <w:spacing w:after="0" w:line="259" w:lineRule="auto"/>
        <w:ind w:left="9357" w:right="0" w:firstLine="0"/>
      </w:pPr>
      <w:r>
        <w:t xml:space="preserve"> </w:t>
      </w:r>
    </w:p>
    <w:sectPr w:rsidR="00B64C87">
      <w:footerReference w:type="even" r:id="rId10"/>
      <w:footerReference w:type="default" r:id="rId11"/>
      <w:footerReference w:type="first" r:id="rId12"/>
      <w:pgSz w:w="11906" w:h="16838"/>
      <w:pgMar w:top="440" w:right="788" w:bottom="507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84EA7">
      <w:pPr>
        <w:spacing w:after="0" w:line="240" w:lineRule="auto"/>
      </w:pPr>
      <w:r>
        <w:separator/>
      </w:r>
    </w:p>
  </w:endnote>
  <w:endnote w:type="continuationSeparator" w:id="0">
    <w:p w:rsidR="00000000" w:rsidRDefault="00084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87" w:rsidRDefault="00084EA7">
    <w:pPr>
      <w:spacing w:after="0" w:line="259" w:lineRule="auto"/>
      <w:ind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87" w:rsidRDefault="00084EA7">
    <w:pPr>
      <w:spacing w:after="0" w:line="259" w:lineRule="auto"/>
      <w:ind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87" w:rsidRDefault="00B64C87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84EA7">
      <w:pPr>
        <w:spacing w:after="0" w:line="240" w:lineRule="auto"/>
      </w:pPr>
      <w:r>
        <w:separator/>
      </w:r>
    </w:p>
  </w:footnote>
  <w:footnote w:type="continuationSeparator" w:id="0">
    <w:p w:rsidR="00000000" w:rsidRDefault="00084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7324A"/>
    <w:multiLevelType w:val="hybridMultilevel"/>
    <w:tmpl w:val="D706BF0E"/>
    <w:lvl w:ilvl="0" w:tplc="28442908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C8A1B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0861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AEFF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2A8FA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50D91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52BE0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B8AEE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D890E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72731C"/>
    <w:multiLevelType w:val="hybridMultilevel"/>
    <w:tmpl w:val="B19658B8"/>
    <w:lvl w:ilvl="0" w:tplc="1C58CF3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BE86E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42F68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6A307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5070D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8E5FA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C858B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922A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0AD9B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B70D66"/>
    <w:multiLevelType w:val="hybridMultilevel"/>
    <w:tmpl w:val="81BA4A80"/>
    <w:lvl w:ilvl="0" w:tplc="6372650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76B2E0">
      <w:start w:val="8"/>
      <w:numFmt w:val="decimal"/>
      <w:lvlRestart w:val="0"/>
      <w:lvlText w:val="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B8AEE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1AECE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80039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B00CD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38C54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DE174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C9DB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9216A8"/>
    <w:multiLevelType w:val="hybridMultilevel"/>
    <w:tmpl w:val="A4165F1A"/>
    <w:lvl w:ilvl="0" w:tplc="F2C2A8E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B2EC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FA40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EC86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DE57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AADFE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8AF0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A68D2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1472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C87"/>
    <w:rsid w:val="00084EA7"/>
    <w:rsid w:val="00B6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5FEA88A-15C7-4A1A-9936-DDD4E1F8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" w:line="388" w:lineRule="auto"/>
      <w:ind w:right="63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5014</Words>
  <Characters>28585</Characters>
  <Application>Microsoft Office Word</Application>
  <DocSecurity>4</DocSecurity>
  <Lines>238</Lines>
  <Paragraphs>67</Paragraphs>
  <ScaleCrop>false</ScaleCrop>
  <Company/>
  <LinksUpToDate>false</LinksUpToDate>
  <CharactersWithSpaces>33532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Vasily Velkov</dc:creator>
  <cp:keywords/>
  <cp:lastModifiedBy>word</cp:lastModifiedBy>
  <cp:revision>2</cp:revision>
  <dcterms:created xsi:type="dcterms:W3CDTF">2025-02-11T12:52:00Z</dcterms:created>
  <dcterms:modified xsi:type="dcterms:W3CDTF">2025-02-11T12:52:00Z</dcterms:modified>
</cp:coreProperties>
</file>