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31E79" w:rsidRDefault="000749FE">
      <w:pPr>
        <w:spacing w:after="0" w:line="259" w:lineRule="auto"/>
        <w:ind w:left="-1702" w:right="1138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564" cy="10692384"/>
                <wp:effectExtent l="0" t="0" r="0" b="0"/>
                <wp:wrapTopAndBottom/>
                <wp:docPr id="35527" name="Group 355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564" cy="10692384"/>
                          <a:chOff x="0" y="0"/>
                          <a:chExt cx="7560564" cy="10692384"/>
                        </a:xfrm>
                      </wpg:grpSpPr>
                      <wps:wsp>
                        <wps:cNvPr id="42014" name="Shape 42014"/>
                        <wps:cNvSpPr/>
                        <wps:spPr>
                          <a:xfrm>
                            <a:off x="0" y="0"/>
                            <a:ext cx="7560564" cy="10692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0564" h="10692384">
                                <a:moveTo>
                                  <a:pt x="0" y="0"/>
                                </a:moveTo>
                                <a:lnTo>
                                  <a:pt x="7560564" y="0"/>
                                </a:lnTo>
                                <a:lnTo>
                                  <a:pt x="7560564" y="10692384"/>
                                </a:lnTo>
                                <a:lnTo>
                                  <a:pt x="0" y="106923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B595D">
                              <a:alpha val="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15" name="Shape 42015"/>
                        <wps:cNvSpPr/>
                        <wps:spPr>
                          <a:xfrm>
                            <a:off x="260350" y="337820"/>
                            <a:ext cx="7038975" cy="7988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8975" h="7988300">
                                <a:moveTo>
                                  <a:pt x="0" y="0"/>
                                </a:moveTo>
                                <a:lnTo>
                                  <a:pt x="7038975" y="0"/>
                                </a:lnTo>
                                <a:lnTo>
                                  <a:pt x="7038975" y="7988300"/>
                                </a:lnTo>
                                <a:lnTo>
                                  <a:pt x="0" y="7988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16" name="Shape 42016"/>
                        <wps:cNvSpPr/>
                        <wps:spPr>
                          <a:xfrm>
                            <a:off x="254000" y="8509213"/>
                            <a:ext cx="3530600" cy="2139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600" h="2139950">
                                <a:moveTo>
                                  <a:pt x="0" y="0"/>
                                </a:moveTo>
                                <a:lnTo>
                                  <a:pt x="3530600" y="0"/>
                                </a:lnTo>
                                <a:lnTo>
                                  <a:pt x="3530600" y="2139950"/>
                                </a:lnTo>
                                <a:lnTo>
                                  <a:pt x="0" y="21399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57556" y="8557258"/>
                            <a:ext cx="3523488" cy="20421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Rectangle 13"/>
                        <wps:cNvSpPr/>
                        <wps:spPr>
                          <a:xfrm>
                            <a:off x="348996" y="8593114"/>
                            <a:ext cx="1077276" cy="166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Утверждены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158545" y="8563144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48996" y="8830123"/>
                            <a:ext cx="385913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Национальным обществом детских онкологов 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48996" y="9070704"/>
                            <a:ext cx="977954" cy="170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гематологов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082345" y="9042933"/>
                            <a:ext cx="46720" cy="2068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48996" y="9311961"/>
                            <a:ext cx="381978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Национальным обществом экспертов в области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48996" y="9552753"/>
                            <a:ext cx="1478201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иммунодефицитов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460246" y="9525043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48996" y="9793545"/>
                            <a:ext cx="4337447" cy="1696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Российской ассоциацией аллергологов и клинических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48996" y="10034337"/>
                            <a:ext cx="1062730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иммунологов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1147877" y="10006626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48996" y="10247419"/>
                            <a:ext cx="699288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___ 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875081" y="10275129"/>
                            <a:ext cx="160705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____________201_г.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082038" y="10247419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027481" y="10491259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530350" y="72222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568450" y="72222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4051681" y="129092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530350" y="149209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3359531" y="149209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078988" y="711162"/>
                            <a:ext cx="1417447" cy="9475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017" name="Shape 42017"/>
                        <wps:cNvSpPr/>
                        <wps:spPr>
                          <a:xfrm>
                            <a:off x="1186815" y="3030855"/>
                            <a:ext cx="2014855" cy="254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4855" h="254635">
                                <a:moveTo>
                                  <a:pt x="0" y="0"/>
                                </a:moveTo>
                                <a:lnTo>
                                  <a:pt x="2014855" y="0"/>
                                </a:lnTo>
                                <a:lnTo>
                                  <a:pt x="2014855" y="254635"/>
                                </a:lnTo>
                                <a:lnTo>
                                  <a:pt x="0" y="2546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7" name="Picture 3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190244" y="3080004"/>
                            <a:ext cx="2008632" cy="1569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Rectangle 38"/>
                        <wps:cNvSpPr/>
                        <wps:spPr>
                          <a:xfrm>
                            <a:off x="1281938" y="3113655"/>
                            <a:ext cx="242744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>Клинические рекомендации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108071" y="308353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018" name="Shape 42018"/>
                        <wps:cNvSpPr/>
                        <wps:spPr>
                          <a:xfrm>
                            <a:off x="1193165" y="5860034"/>
                            <a:ext cx="5829300" cy="131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9300" h="1318260">
                                <a:moveTo>
                                  <a:pt x="0" y="0"/>
                                </a:moveTo>
                                <a:lnTo>
                                  <a:pt x="5829300" y="0"/>
                                </a:lnTo>
                                <a:lnTo>
                                  <a:pt x="5829300" y="1318260"/>
                                </a:lnTo>
                                <a:lnTo>
                                  <a:pt x="0" y="1318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196340" y="5908548"/>
                            <a:ext cx="5823204" cy="12207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Rectangle 43"/>
                        <wps:cNvSpPr/>
                        <wps:spPr>
                          <a:xfrm>
                            <a:off x="1288034" y="5942453"/>
                            <a:ext cx="279694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>Профессиональные ассоциации: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391535" y="591233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1288034" y="617598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918970" y="6441161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1957070" y="6473737"/>
                            <a:ext cx="538451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Национальное общество детских гематологов и онкологов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6007354" y="6441161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966214" y="6737389"/>
                            <a:ext cx="640628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Национальное общество экспертов по первичным иммунодефицитам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6786119" y="670481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1966214" y="6999310"/>
                            <a:ext cx="6171115" cy="1814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Российская ассоциация аллергологов и клинических иммунологов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6607810" y="6966670"/>
                            <a:ext cx="50774" cy="2248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019" name="Shape 42019"/>
                        <wps:cNvSpPr/>
                        <wps:spPr>
                          <a:xfrm>
                            <a:off x="1190625" y="3295904"/>
                            <a:ext cx="4972050" cy="826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72050" h="826135">
                                <a:moveTo>
                                  <a:pt x="0" y="0"/>
                                </a:moveTo>
                                <a:lnTo>
                                  <a:pt x="4972050" y="0"/>
                                </a:lnTo>
                                <a:lnTo>
                                  <a:pt x="4972050" y="826135"/>
                                </a:lnTo>
                                <a:lnTo>
                                  <a:pt x="0" y="826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5" name="Picture 5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193292" y="3345180"/>
                            <a:ext cx="4966716" cy="7284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Rectangle 56"/>
                        <wps:cNvSpPr/>
                        <wps:spPr>
                          <a:xfrm>
                            <a:off x="1284986" y="3416016"/>
                            <a:ext cx="5552397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 xml:space="preserve">Синдром делеции 22 хромосомы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87" name="Rectangle 35487"/>
                        <wps:cNvSpPr/>
                        <wps:spPr>
                          <a:xfrm>
                            <a:off x="1284986" y="3736057"/>
                            <a:ext cx="123519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88" name="Rectangle 35488"/>
                        <wps:cNvSpPr/>
                        <wps:spPr>
                          <a:xfrm>
                            <a:off x="1377857" y="3736057"/>
                            <a:ext cx="3228172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>синдром Ди Георга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807587" y="3676442"/>
                            <a:ext cx="92731" cy="410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91" name="Rectangle 35491"/>
                        <wps:cNvSpPr/>
                        <wps:spPr>
                          <a:xfrm>
                            <a:off x="3970562" y="3736057"/>
                            <a:ext cx="2152857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>Ди Джорджи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90" name="Rectangle 35490"/>
                        <wps:cNvSpPr/>
                        <wps:spPr>
                          <a:xfrm>
                            <a:off x="5589251" y="3736057"/>
                            <a:ext cx="123519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89" name="Rectangle 35489"/>
                        <wps:cNvSpPr/>
                        <wps:spPr>
                          <a:xfrm>
                            <a:off x="3877691" y="3736057"/>
                            <a:ext cx="123519" cy="331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5682742" y="3676442"/>
                            <a:ext cx="123522" cy="410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5775706" y="3676442"/>
                            <a:ext cx="185970" cy="410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284986" y="3998006"/>
                            <a:ext cx="92732" cy="410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1734566" y="3998006"/>
                            <a:ext cx="92732" cy="410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020" name="Shape 42020"/>
                        <wps:cNvSpPr/>
                        <wps:spPr>
                          <a:xfrm>
                            <a:off x="1205865" y="4137660"/>
                            <a:ext cx="5521325" cy="861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1325" h="861060">
                                <a:moveTo>
                                  <a:pt x="0" y="0"/>
                                </a:moveTo>
                                <a:lnTo>
                                  <a:pt x="5521325" y="0"/>
                                </a:lnTo>
                                <a:lnTo>
                                  <a:pt x="5521325" y="861060"/>
                                </a:lnTo>
                                <a:lnTo>
                                  <a:pt x="0" y="8610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6" name="Picture 6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208532" y="4186428"/>
                            <a:ext cx="5515356" cy="7635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7" name="Rectangle 67"/>
                        <wps:cNvSpPr/>
                        <wps:spPr>
                          <a:xfrm>
                            <a:off x="1300226" y="4220079"/>
                            <a:ext cx="78806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Коды по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1893062" y="4220079"/>
                            <a:ext cx="7412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>МКБ 10: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2451227" y="4189958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2489327" y="4189958"/>
                            <a:ext cx="146378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2599055" y="4189958"/>
                            <a:ext cx="352684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82.1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2864231" y="4189958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1300226" y="4483731"/>
                            <a:ext cx="198881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Возрастная категория: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2797175" y="4486187"/>
                            <a:ext cx="1483908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дети и взрослые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3912743" y="445361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1300226" y="4745859"/>
                            <a:ext cx="342204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>Год утверждения (частота пересмотра):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3874643" y="471573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A6A6A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912743" y="4715739"/>
                            <a:ext cx="30403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4141597" y="4715739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4217797" y="471573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4257421" y="4715739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4309237" y="4748315"/>
                            <a:ext cx="1766258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пересмотр каждые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93" name="Rectangle 35493"/>
                        <wps:cNvSpPr/>
                        <wps:spPr>
                          <a:xfrm>
                            <a:off x="5714746" y="4748315"/>
                            <a:ext cx="449571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года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92" name="Rectangle 35492"/>
                        <wps:cNvSpPr/>
                        <wps:spPr>
                          <a:xfrm>
                            <a:off x="5638546" y="4748315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6053074" y="4715739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6103366" y="471573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021" name="Shape 42021"/>
                        <wps:cNvSpPr/>
                        <wps:spPr>
                          <a:xfrm>
                            <a:off x="1196340" y="4958969"/>
                            <a:ext cx="1424305" cy="668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4305" h="668020">
                                <a:moveTo>
                                  <a:pt x="0" y="0"/>
                                </a:moveTo>
                                <a:lnTo>
                                  <a:pt x="1424305" y="0"/>
                                </a:lnTo>
                                <a:lnTo>
                                  <a:pt x="1424305" y="668020"/>
                                </a:lnTo>
                                <a:lnTo>
                                  <a:pt x="0" y="6680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8" name="Picture 8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199388" y="5007864"/>
                            <a:ext cx="1418844" cy="5699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9" name="Rectangle 89"/>
                        <wps:cNvSpPr/>
                        <wps:spPr>
                          <a:xfrm>
                            <a:off x="1291082" y="5011649"/>
                            <a:ext cx="26751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>ID: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1492250" y="501164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1530350" y="5011649"/>
                            <a:ext cx="30403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1760474" y="501164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1291082" y="5276825"/>
                            <a:ext cx="45946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>URL: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1638554" y="527682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8080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022" name="Shape 42022"/>
                        <wps:cNvSpPr/>
                        <wps:spPr>
                          <a:xfrm>
                            <a:off x="3879850" y="8515564"/>
                            <a:ext cx="3473450" cy="2139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3450" h="2139951">
                                <a:moveTo>
                                  <a:pt x="0" y="0"/>
                                </a:moveTo>
                                <a:lnTo>
                                  <a:pt x="3473450" y="0"/>
                                </a:lnTo>
                                <a:lnTo>
                                  <a:pt x="3473450" y="2139951"/>
                                </a:lnTo>
                                <a:lnTo>
                                  <a:pt x="0" y="21399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7" name="Picture 9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3883152" y="8564879"/>
                            <a:ext cx="3467100" cy="20421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" name="Rectangle 98"/>
                        <wps:cNvSpPr/>
                        <wps:spPr>
                          <a:xfrm>
                            <a:off x="4204081" y="8600735"/>
                            <a:ext cx="862827" cy="166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Одобрены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4851781" y="8570764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4204081" y="8836219"/>
                            <a:ext cx="2658784" cy="1696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Научным советом Министерства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6203950" y="8836219"/>
                            <a:ext cx="1416849" cy="1696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Здравоохранения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4204081" y="9076800"/>
                            <a:ext cx="1853122" cy="17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Российской Федерации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5597398" y="9049029"/>
                            <a:ext cx="46720" cy="2068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4204081" y="9322629"/>
                            <a:ext cx="17043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__ __________201_ г.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5484241" y="9294919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E79" w:rsidRDefault="000749F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527" style="width:595.32pt;height:841.92pt;position:absolute;mso-position-horizontal-relative:page;mso-position-horizontal:absolute;margin-left:0pt;mso-position-vertical-relative:page;margin-top:0pt;" coordsize="75605,106923">
                <v:shape id="Shape 42023" style="position:absolute;width:75605;height:106923;left:0;top:0;" coordsize="7560564,10692384" path="m0,0l7560564,0l7560564,10692384l0,10692384l0,0">
                  <v:stroke weight="0pt" endcap="flat" joinstyle="miter" miterlimit="10" on="false" color="#000000" opacity="0"/>
                  <v:fill on="true" color="#0b595d" opacity="0.0980392"/>
                </v:shape>
                <v:shape id="Shape 42024" style="position:absolute;width:70389;height:79883;left:2603;top:3378;" coordsize="7038975,7988300" path="m0,0l7038975,0l7038975,7988300l0,7988300l0,0">
                  <v:stroke weight="0pt" endcap="flat" joinstyle="miter" miterlimit="10" on="false" color="#000000" opacity="0"/>
                  <v:fill on="true" color="#ffffff"/>
                </v:shape>
                <v:shape id="Shape 42025" style="position:absolute;width:35306;height:21399;left:2540;top:85092;" coordsize="3530600,2139950" path="m0,0l3530600,0l3530600,2139950l0,2139950l0,0">
                  <v:stroke weight="0pt" endcap="flat" joinstyle="miter" miterlimit="10" on="false" color="#000000" opacity="0"/>
                  <v:fill on="true" color="#ffffff"/>
                </v:shape>
                <v:shape id="Picture 12" style="position:absolute;width:35234;height:20421;left:2575;top:85572;" filled="f">
                  <v:imagedata r:id="rId37"/>
                </v:shape>
                <v:rect id="Rectangle 13" style="position:absolute;width:10772;height:1666;left:3489;top:859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2"/>
                          </w:rPr>
                          <w:t xml:space="preserve">Утверждены</w:t>
                        </w:r>
                      </w:p>
                    </w:txbxContent>
                  </v:textbox>
                </v:rect>
                <v:rect id="Rectangle 14" style="position:absolute;width:466;height:2064;left:11585;top:856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style="position:absolute;width:38591;height:1696;left:3489;top:883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Национальным обществом детских онкологов и </w:t>
                        </w:r>
                      </w:p>
                    </w:txbxContent>
                  </v:textbox>
                </v:rect>
                <v:rect id="Rectangle 16" style="position:absolute;width:9779;height:1700;left:3489;top:907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гематологов</w:t>
                        </w:r>
                      </w:p>
                    </w:txbxContent>
                  </v:textbox>
                </v:rect>
                <v:rect id="Rectangle 17" style="position:absolute;width:467;height:2068;left:10823;top:904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style="position:absolute;width:38197;height:1696;left:3489;top:931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Национальным обществом экспертов в области </w:t>
                        </w:r>
                      </w:p>
                    </w:txbxContent>
                  </v:textbox>
                </v:rect>
                <v:rect id="Rectangle 19" style="position:absolute;width:14782;height:1696;left:3489;top:955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иммунодефицитов</w:t>
                        </w:r>
                      </w:p>
                    </w:txbxContent>
                  </v:textbox>
                </v:rect>
                <v:rect id="Rectangle 20" style="position:absolute;width:466;height:2064;left:14602;top:952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style="position:absolute;width:43374;height:1696;left:3489;top:979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Российской ассоциацией аллергологов и клинических </w:t>
                        </w:r>
                      </w:p>
                    </w:txbxContent>
                  </v:textbox>
                </v:rect>
                <v:rect id="Rectangle 22" style="position:absolute;width:10627;height:1696;left:3489;top:1003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иммунологов</w:t>
                        </w:r>
                      </w:p>
                    </w:txbxContent>
                  </v:textbox>
                </v:rect>
                <v:rect id="Rectangle 23" style="position:absolute;width:466;height:2064;left:11478;top:1000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style="position:absolute;width:6992;height:2064;left:3489;top:1024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___ ____</w:t>
                        </w:r>
                      </w:p>
                    </w:txbxContent>
                  </v:textbox>
                </v:rect>
                <v:rect id="Rectangle 25" style="position:absolute;width:16070;height:1696;left:8750;top:1027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____________201_г.</w:t>
                        </w:r>
                      </w:p>
                    </w:txbxContent>
                  </v:textbox>
                </v:rect>
                <v:rect id="Rectangle 26" style="position:absolute;width:466;height:2064;left:20820;top:1024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style="position:absolute;width:466;height:2064;left:10274;top:1049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style="position:absolute;width:506;height:2243;left:15303;top:72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9" style="position:absolute;width:506;height:2243;left:15684;top:72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30" style="position:absolute;width:506;height:2243;left:40516;top:129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31" style="position:absolute;width:506;height:2243;left:15303;top:149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32" style="position:absolute;width:506;height:2243;left:33595;top:149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34" style="position:absolute;width:14174;height:9475;left:30789;top:7111;" filled="f">
                  <v:imagedata r:id="rId38"/>
                </v:shape>
                <v:shape id="Shape 42026" style="position:absolute;width:20148;height:2546;left:11868;top:30308;" coordsize="2014855,254635" path="m0,0l2014855,0l2014855,254635l0,254635l0,0">
                  <v:stroke weight="0pt" endcap="flat" joinstyle="miter" miterlimit="10" on="false" color="#000000" opacity="0"/>
                  <v:fill on="true" color="#ffffff"/>
                </v:shape>
                <v:shape id="Picture 37" style="position:absolute;width:20086;height:1569;left:11902;top:30800;" filled="f">
                  <v:imagedata r:id="rId39"/>
                </v:shape>
                <v:rect id="Rectangle 38" style="position:absolute;width:24274;height:1843;left:12819;top:311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Клинические рекомендации</w:t>
                        </w:r>
                      </w:p>
                    </w:txbxContent>
                  </v:textbox>
                </v:rect>
                <v:rect id="Rectangle 39" style="position:absolute;width:506;height:2243;left:31080;top:308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2027" style="position:absolute;width:58293;height:13182;left:11931;top:58600;" coordsize="5829300,1318260" path="m0,0l5829300,0l5829300,1318260l0,1318260l0,0">
                  <v:stroke weight="0pt" endcap="flat" joinstyle="miter" miterlimit="10" on="false" color="#000000" opacity="0"/>
                  <v:fill on="true" color="#ffffff"/>
                </v:shape>
                <v:shape id="Picture 42" style="position:absolute;width:58232;height:12207;left:11963;top:59085;" filled="f">
                  <v:imagedata r:id="rId40"/>
                </v:shape>
                <v:rect id="Rectangle 43" style="position:absolute;width:27969;height:1843;left:12880;top:594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Профессиональные ассоциации:</w:t>
                        </w:r>
                      </w:p>
                    </w:txbxContent>
                  </v:textbox>
                </v:rect>
                <v:rect id="Rectangle 44" style="position:absolute;width:506;height:2243;left:33915;top:591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style="position:absolute;width:506;height:2243;left:12880;top:617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" style="position:absolute;width:506;height:2243;left:19189;top:644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style="position:absolute;width:53845;height:1811;left:19570;top:647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Национальное общество детских гематологов и онкологов</w:t>
                        </w:r>
                      </w:p>
                    </w:txbxContent>
                  </v:textbox>
                </v:rect>
                <v:rect id="Rectangle 48" style="position:absolute;width:506;height:2243;left:60073;top:644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" style="position:absolute;width:64062;height:1811;left:19662;top:673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Национальное общество экспертов по первичным иммунодефицитам</w:t>
                        </w:r>
                      </w:p>
                    </w:txbxContent>
                  </v:textbox>
                </v:rect>
                <v:rect id="Rectangle 50" style="position:absolute;width:506;height:2243;left:67861;top:670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style="position:absolute;width:61711;height:1814;left:19662;top:699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Российская ассоциация аллергологов и клинических иммунологов</w:t>
                        </w:r>
                      </w:p>
                    </w:txbxContent>
                  </v:textbox>
                </v:rect>
                <v:rect id="Rectangle 52" style="position:absolute;width:507;height:2248;left:66078;top:696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2028" style="position:absolute;width:49720;height:8261;left:11906;top:32959;" coordsize="4972050,826135" path="m0,0l4972050,0l4972050,826135l0,826135l0,0">
                  <v:stroke weight="0pt" endcap="flat" joinstyle="miter" miterlimit="10" on="false" color="#000000" opacity="0"/>
                  <v:fill on="true" color="#ffffff"/>
                </v:shape>
                <v:shape id="Picture 55" style="position:absolute;width:49667;height:7284;left:11932;top:33451;" filled="f">
                  <v:imagedata r:id="rId41"/>
                </v:shape>
                <v:rect id="Rectangle 56" style="position:absolute;width:55523;height:3314;left:12849;top:341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Синдром делеции 22 хромосомы </w:t>
                        </w:r>
                      </w:p>
                    </w:txbxContent>
                  </v:textbox>
                </v:rect>
                <v:rect id="Rectangle 35487" style="position:absolute;width:1235;height:3314;left:12849;top:37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35488" style="position:absolute;width:32281;height:3314;left:13778;top:37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синдром Ди Георга</w:t>
                        </w:r>
                      </w:p>
                    </w:txbxContent>
                  </v:textbox>
                </v:rect>
                <v:rect id="Rectangle 58" style="position:absolute;width:927;height:4106;left:38075;top:367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491" style="position:absolute;width:21528;height:3314;left:39705;top:37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Ди Джорджи</w:t>
                        </w:r>
                      </w:p>
                    </w:txbxContent>
                  </v:textbox>
                </v:rect>
                <v:rect id="Rectangle 35490" style="position:absolute;width:1235;height:3314;left:55892;top:37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)</w:t>
                        </w:r>
                      </w:p>
                    </w:txbxContent>
                  </v:textbox>
                </v:rect>
                <v:rect id="Rectangle 35489" style="position:absolute;width:1235;height:3314;left:38776;top:37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60" style="position:absolute;width:1235;height:4106;left:56827;top:367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)</w:t>
                        </w:r>
                      </w:p>
                    </w:txbxContent>
                  </v:textbox>
                </v:rect>
                <v:rect id="Rectangle 61" style="position:absolute;width:1859;height:4106;left:57757;top:367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62" style="position:absolute;width:927;height:4106;left:12849;top:399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style="position:absolute;width:927;height:4106;left:17345;top:399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2029" style="position:absolute;width:55213;height:8610;left:12058;top:41376;" coordsize="5521325,861060" path="m0,0l5521325,0l5521325,861060l0,861060l0,0">
                  <v:stroke weight="0pt" endcap="flat" joinstyle="miter" miterlimit="10" on="false" color="#000000" opacity="0"/>
                  <v:fill on="true" color="#ffffff"/>
                </v:shape>
                <v:shape id="Picture 66" style="position:absolute;width:55153;height:7635;left:12085;top:41864;" filled="f">
                  <v:imagedata r:id="rId42"/>
                </v:shape>
                <v:rect id="Rectangle 67" style="position:absolute;width:7880;height:1843;left:13002;top:422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Коды по </w:t>
                        </w:r>
                      </w:p>
                    </w:txbxContent>
                  </v:textbox>
                </v:rect>
                <v:rect id="Rectangle 68" style="position:absolute;width:7412;height:1843;left:18930;top:422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МКБ 10:</w:t>
                        </w:r>
                      </w:p>
                    </w:txbxContent>
                  </v:textbox>
                </v:rect>
                <v:rect id="Rectangle 69" style="position:absolute;width:506;height:2243;left:24512;top:418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0" style="position:absolute;width:1463;height:2243;left:24893;top:418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D</w:t>
                        </w:r>
                      </w:p>
                    </w:txbxContent>
                  </v:textbox>
                </v:rect>
                <v:rect id="Rectangle 71" style="position:absolute;width:3526;height:2243;left:25990;top:418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82.1</w:t>
                        </w:r>
                      </w:p>
                    </w:txbxContent>
                  </v:textbox>
                </v:rect>
                <v:rect id="Rectangle 72" style="position:absolute;width:506;height:2243;left:28642;top:418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73" style="position:absolute;width:19888;height:1843;left:13002;top:448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Возрастная категория: </w:t>
                        </w:r>
                      </w:p>
                    </w:txbxContent>
                  </v:textbox>
                </v:rect>
                <v:rect id="Rectangle 74" style="position:absolute;width:14839;height:1811;left:27971;top:448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дети и взрослые</w:t>
                        </w:r>
                      </w:p>
                    </w:txbxContent>
                  </v:textbox>
                </v:rect>
                <v:rect id="Rectangle 75" style="position:absolute;width:506;height:2243;left:39127;top:445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76" style="position:absolute;width:34220;height:1843;left:13002;top:474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Год утверждения (частота пересмотра):</w:t>
                        </w:r>
                      </w:p>
                    </w:txbxContent>
                  </v:textbox>
                </v:rect>
                <v:rect id="Rectangle 77" style="position:absolute;width:506;height:2243;left:38746;top:471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a6a6a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" style="position:absolute;width:3040;height:2243;left:39127;top:471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201</w:t>
                        </w:r>
                      </w:p>
                    </w:txbxContent>
                  </v:textbox>
                </v:rect>
                <v:rect id="Rectangle 79" style="position:absolute;width:1013;height:2243;left:41415;top:471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8</w:t>
                        </w:r>
                      </w:p>
                    </w:txbxContent>
                  </v:textbox>
                </v:rect>
                <v:rect id="Rectangle 80" style="position:absolute;width:506;height:2243;left:42177;top:471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" style="position:absolute;width:674;height:2243;left:42574;top:471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82" style="position:absolute;width:17662;height:1811;left:43092;top:474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пересмотр каждые </w:t>
                        </w:r>
                      </w:p>
                    </w:txbxContent>
                  </v:textbox>
                </v:rect>
                <v:rect id="Rectangle 35493" style="position:absolute;width:4495;height:1811;left:57147;top:474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года</w:t>
                        </w:r>
                      </w:p>
                    </w:txbxContent>
                  </v:textbox>
                </v:rect>
                <v:rect id="Rectangle 35492" style="position:absolute;width:1013;height:1811;left:56385;top:474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3</w:t>
                        </w:r>
                      </w:p>
                    </w:txbxContent>
                  </v:textbox>
                </v:rect>
                <v:rect id="Rectangle 84" style="position:absolute;width:674;height:2243;left:60530;top:471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)</w:t>
                        </w:r>
                      </w:p>
                    </w:txbxContent>
                  </v:textbox>
                </v:rect>
                <v:rect id="Rectangle 85" style="position:absolute;width:506;height:2243;left:61033;top:471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42030" style="position:absolute;width:14243;height:6680;left:11963;top:49589;" coordsize="1424305,668020" path="m0,0l1424305,0l1424305,668020l0,668020l0,0">
                  <v:stroke weight="0pt" endcap="flat" joinstyle="miter" miterlimit="10" on="false" color="#000000" opacity="0"/>
                  <v:fill on="true" color="#ffffff"/>
                </v:shape>
                <v:shape id="Picture 88" style="position:absolute;width:14188;height:5699;left:11993;top:50078;" filled="f">
                  <v:imagedata r:id="rId43"/>
                </v:shape>
                <v:rect id="Rectangle 89" style="position:absolute;width:2675;height:2243;left:12910;top:501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ID:</w:t>
                        </w:r>
                      </w:p>
                    </w:txbxContent>
                  </v:textbox>
                </v:rect>
                <v:rect id="Rectangle 90" style="position:absolute;width:506;height:2243;left:14922;top:501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" style="position:absolute;width:3040;height:2243;left:15303;top:501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___</w:t>
                        </w:r>
                      </w:p>
                    </w:txbxContent>
                  </v:textbox>
                </v:rect>
                <v:rect id="Rectangle 92" style="position:absolute;width:506;height:2243;left:17604;top:501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3" style="position:absolute;width:4594;height:2243;left:12910;top:527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URL:</w:t>
                        </w:r>
                      </w:p>
                    </w:txbxContent>
                  </v:textbox>
                </v:rect>
                <v:rect id="Rectangle 94" style="position:absolute;width:506;height:2243;left:16385;top:527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80808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2031" style="position:absolute;width:34734;height:21399;left:38798;top:85155;" coordsize="3473450,2139951" path="m0,0l3473450,0l3473450,2139951l0,2139951l0,0">
                  <v:stroke weight="0pt" endcap="flat" joinstyle="miter" miterlimit="10" on="false" color="#000000" opacity="0"/>
                  <v:fill on="true" color="#ffffff"/>
                </v:shape>
                <v:shape id="Picture 97" style="position:absolute;width:34671;height:20421;left:38831;top:85648;" filled="f">
                  <v:imagedata r:id="rId44"/>
                </v:shape>
                <v:rect id="Rectangle 98" style="position:absolute;width:8628;height:1666;left:42040;top:860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2"/>
                          </w:rPr>
                          <w:t xml:space="preserve">Одобрены</w:t>
                        </w:r>
                      </w:p>
                    </w:txbxContent>
                  </v:textbox>
                </v:rect>
                <v:rect id="Rectangle 99" style="position:absolute;width:466;height:2064;left:48517;top:857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0" style="position:absolute;width:26587;height:1696;left:42040;top:883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Научным советом Министерства </w:t>
                        </w:r>
                      </w:p>
                    </w:txbxContent>
                  </v:textbox>
                </v:rect>
                <v:rect id="Rectangle 101" style="position:absolute;width:14168;height:1696;left:62039;top:883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Здравоохранения </w:t>
                        </w:r>
                      </w:p>
                    </w:txbxContent>
                  </v:textbox>
                </v:rect>
                <v:rect id="Rectangle 102" style="position:absolute;width:18531;height:1700;left:42040;top:907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Российской Федерации</w:t>
                        </w:r>
                      </w:p>
                    </w:txbxContent>
                  </v:textbox>
                </v:rect>
                <v:rect id="Rectangle 103" style="position:absolute;width:467;height:2068;left:55973;top:904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4" style="position:absolute;width:17043;height:1696;left:42040;top:932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__ __________201_ г.</w:t>
                        </w:r>
                      </w:p>
                    </w:txbxContent>
                  </v:textbox>
                </v:rect>
                <v:rect id="Rectangle 105" style="position:absolute;width:466;height:2064;left:54842;top:929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br w:type="page"/>
      </w:r>
    </w:p>
    <w:p w:rsidR="00E31E79" w:rsidRDefault="000749FE">
      <w:pPr>
        <w:spacing w:after="0" w:line="259" w:lineRule="auto"/>
        <w:ind w:right="328"/>
        <w:jc w:val="center"/>
      </w:pPr>
      <w:r>
        <w:rPr>
          <w:b/>
          <w:sz w:val="28"/>
        </w:rPr>
        <w:lastRenderedPageBreak/>
        <w:t xml:space="preserve">Оглавление </w:t>
      </w:r>
    </w:p>
    <w:p w:rsidR="00E31E79" w:rsidRDefault="000749FE">
      <w:pPr>
        <w:spacing w:after="214"/>
      </w:pPr>
      <w:r>
        <w:t>Ключевые слова ............................................................................................................................. 4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spacing w:line="441" w:lineRule="auto"/>
      </w:pPr>
      <w:r>
        <w:t>Список сокращений ..................................................................................</w:t>
      </w:r>
      <w:r>
        <w:t>..................................... 5</w:t>
      </w:r>
      <w:r>
        <w:rPr>
          <w:rFonts w:ascii="Calibri" w:eastAsia="Calibri" w:hAnsi="Calibri" w:cs="Calibri"/>
        </w:rPr>
        <w:t xml:space="preserve"> </w:t>
      </w:r>
      <w:r>
        <w:t>Термины и определения ................................................................................................................ 7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0"/>
          <w:numId w:val="1"/>
        </w:numPr>
        <w:spacing w:after="213"/>
        <w:ind w:hanging="300"/>
      </w:pPr>
      <w:r>
        <w:t>Краткая информация ...........................................................</w:t>
      </w:r>
      <w:r>
        <w:t>...................................................... 8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21"/>
        <w:ind w:hanging="480"/>
      </w:pPr>
      <w:r>
        <w:rPr>
          <w:u w:val="single" w:color="000000"/>
        </w:rPr>
        <w:t>Определение</w:t>
      </w:r>
      <w:r>
        <w:t xml:space="preserve"> ............................................................................................................. 8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15"/>
        <w:ind w:hanging="480"/>
      </w:pPr>
      <w:r>
        <w:rPr>
          <w:u w:val="single" w:color="000000"/>
        </w:rPr>
        <w:t>Этиология и патогенез</w:t>
      </w:r>
      <w:r>
        <w:t>............................................................................................. 8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19"/>
        <w:ind w:hanging="480"/>
      </w:pPr>
      <w:r>
        <w:rPr>
          <w:u w:val="single" w:color="000000"/>
        </w:rPr>
        <w:t>Эпидемиология</w:t>
      </w:r>
      <w:r>
        <w:t xml:space="preserve"> ........................................................................................................ 9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15"/>
        <w:ind w:hanging="480"/>
      </w:pPr>
      <w:r>
        <w:rPr>
          <w:u w:val="single" w:color="000000"/>
        </w:rPr>
        <w:t>Кодирование по МКБ-10</w:t>
      </w:r>
      <w:r>
        <w:t xml:space="preserve"> ...............</w:t>
      </w:r>
      <w:r>
        <w:t>.......................................................................... 9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18"/>
        <w:ind w:hanging="480"/>
      </w:pPr>
      <w:r>
        <w:rPr>
          <w:u w:val="single" w:color="000000"/>
        </w:rPr>
        <w:t>Классификация</w:t>
      </w:r>
      <w:r>
        <w:t xml:space="preserve"> ....................................................................................................... 10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12"/>
        <w:ind w:hanging="480"/>
      </w:pPr>
      <w:r>
        <w:rPr>
          <w:u w:val="single" w:color="000000"/>
        </w:rPr>
        <w:t>Клиническая картина</w:t>
      </w:r>
      <w:r>
        <w:t xml:space="preserve"> ....................................</w:t>
      </w:r>
      <w:r>
        <w:t>......................................................... 10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0"/>
          <w:numId w:val="1"/>
        </w:numPr>
        <w:spacing w:after="217"/>
        <w:ind w:hanging="300"/>
      </w:pPr>
      <w:r>
        <w:t>Диагностика ............................................................................................................................. 12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24"/>
        <w:ind w:hanging="480"/>
      </w:pPr>
      <w:r>
        <w:rPr>
          <w:u w:val="single" w:color="000000"/>
        </w:rPr>
        <w:t>Жалобы и анамнез</w:t>
      </w:r>
      <w:r>
        <w:t xml:space="preserve"> ...................................</w:t>
      </w:r>
      <w:r>
        <w:t>.............................................................. 12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22"/>
        <w:ind w:hanging="480"/>
      </w:pPr>
      <w:r>
        <w:rPr>
          <w:u w:val="single" w:color="000000"/>
        </w:rPr>
        <w:t>Физикальное обследование</w:t>
      </w:r>
      <w:r>
        <w:t>................................................................................... 12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24"/>
        <w:ind w:hanging="480"/>
      </w:pPr>
      <w:r>
        <w:rPr>
          <w:u w:val="single" w:color="000000"/>
        </w:rPr>
        <w:t>Лабораторная диагностика</w:t>
      </w:r>
      <w:r>
        <w:t xml:space="preserve"> ....................................................</w:t>
      </w:r>
      <w:r>
        <w:t>............................... 13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16"/>
        <w:ind w:hanging="480"/>
      </w:pPr>
      <w:r>
        <w:rPr>
          <w:u w:val="single" w:color="000000"/>
        </w:rPr>
        <w:t>Инструментальная диагностика</w:t>
      </w:r>
      <w:r>
        <w:t xml:space="preserve"> ........................................................................... 14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09"/>
        <w:ind w:hanging="480"/>
      </w:pPr>
      <w:r>
        <w:rPr>
          <w:u w:val="single" w:color="000000"/>
        </w:rPr>
        <w:t>Иная диагностика</w:t>
      </w:r>
      <w:r>
        <w:t xml:space="preserve"> ..............................................................................................</w:t>
      </w:r>
      <w:r>
        <w:t>..... 15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0"/>
          <w:numId w:val="1"/>
        </w:numPr>
        <w:spacing w:after="220"/>
        <w:ind w:hanging="300"/>
      </w:pPr>
      <w:r>
        <w:t>Лечение ..................................................................................................................................... 17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23"/>
        <w:ind w:hanging="480"/>
      </w:pPr>
      <w:r>
        <w:rPr>
          <w:u w:val="single" w:color="000000"/>
        </w:rPr>
        <w:t>Консервативное лечение</w:t>
      </w:r>
      <w:r>
        <w:t xml:space="preserve"> .............................................................................</w:t>
      </w:r>
      <w:r>
        <w:t>.......... 17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14"/>
        <w:ind w:hanging="480"/>
      </w:pPr>
      <w:r>
        <w:rPr>
          <w:u w:val="single" w:color="000000"/>
        </w:rPr>
        <w:t>Хирургическое лечение</w:t>
      </w:r>
      <w:r>
        <w:t xml:space="preserve"> ....................................................................................... 18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1"/>
          <w:numId w:val="1"/>
        </w:numPr>
        <w:spacing w:after="212"/>
        <w:ind w:hanging="480"/>
      </w:pPr>
      <w:r>
        <w:rPr>
          <w:u w:val="single" w:color="000000"/>
        </w:rPr>
        <w:t>Иное лечение</w:t>
      </w:r>
      <w:r>
        <w:t xml:space="preserve"> .......................................................................................................... 19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0"/>
          <w:numId w:val="1"/>
        </w:numPr>
        <w:spacing w:after="227"/>
        <w:ind w:hanging="300"/>
      </w:pPr>
      <w:r>
        <w:t>Реабилитация ........................................................................................................................... 20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0"/>
          <w:numId w:val="1"/>
        </w:numPr>
        <w:spacing w:after="243"/>
        <w:ind w:hanging="300"/>
      </w:pPr>
      <w:r>
        <w:t>Профилактика и диспансерное наблюдение ......................................................................... 20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0"/>
          <w:numId w:val="1"/>
        </w:numPr>
        <w:spacing w:after="224"/>
        <w:ind w:hanging="300"/>
      </w:pPr>
      <w:r>
        <w:t>Дополнительная информация, влияющая на течение и исход заболевания ...................... 22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numPr>
          <w:ilvl w:val="0"/>
          <w:numId w:val="1"/>
        </w:numPr>
        <w:spacing w:after="234"/>
        <w:ind w:hanging="300"/>
      </w:pPr>
      <w:r>
        <w:t>Организация медицинской помощи ..................................................................................... 22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spacing w:after="216"/>
      </w:pPr>
      <w:r>
        <w:t>Критерии оценки качества оказания медиц</w:t>
      </w:r>
      <w:r>
        <w:t>инской помощи ................................................... 24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spacing w:after="225"/>
      </w:pPr>
      <w:r>
        <w:t>Список литературы ...................................................................................................................... 25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spacing w:after="398"/>
      </w:pPr>
      <w:r>
        <w:t>Приложение А1. Состав рабочей группы ........</w:t>
      </w:r>
      <w:r>
        <w:t>......................................................................... 28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spacing w:after="0" w:line="259" w:lineRule="auto"/>
        <w:ind w:left="713" w:right="327"/>
        <w:jc w:val="center"/>
      </w:pPr>
      <w:r>
        <w:t xml:space="preserve">2 </w:t>
      </w:r>
    </w:p>
    <w:p w:rsidR="00E31E79" w:rsidRDefault="000749FE">
      <w:pPr>
        <w:spacing w:after="0" w:line="259" w:lineRule="auto"/>
        <w:ind w:left="708" w:firstLine="0"/>
        <w:jc w:val="left"/>
      </w:pPr>
      <w:r>
        <w:t xml:space="preserve"> </w:t>
      </w:r>
    </w:p>
    <w:p w:rsidR="00E31E79" w:rsidRDefault="000749FE">
      <w:pPr>
        <w:spacing w:after="229"/>
      </w:pPr>
      <w:r>
        <w:t>Приложение Б. Алгоритмы ведения пациента ......................................................................... 31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spacing w:after="13619"/>
      </w:pPr>
      <w:r>
        <w:t>Приложение В. Информация для пациента ................</w:t>
      </w:r>
      <w:r>
        <w:t>.............................................................. 32</w:t>
      </w:r>
      <w:r>
        <w:rPr>
          <w:rFonts w:ascii="Calibri" w:eastAsia="Calibri" w:hAnsi="Calibri" w:cs="Calibri"/>
        </w:rPr>
        <w:t xml:space="preserve"> </w:t>
      </w:r>
    </w:p>
    <w:p w:rsidR="00E31E79" w:rsidRDefault="000749FE">
      <w:pPr>
        <w:spacing w:after="0" w:line="259" w:lineRule="auto"/>
        <w:ind w:left="713" w:right="327"/>
        <w:jc w:val="center"/>
      </w:pPr>
      <w:r>
        <w:t xml:space="preserve">3 </w:t>
      </w:r>
    </w:p>
    <w:p w:rsidR="00E31E79" w:rsidRDefault="000749FE">
      <w:pPr>
        <w:spacing w:after="0" w:line="259" w:lineRule="auto"/>
        <w:ind w:left="708" w:firstLine="0"/>
        <w:jc w:val="left"/>
      </w:pPr>
      <w:r>
        <w:t xml:space="preserve"> </w:t>
      </w:r>
    </w:p>
    <w:p w:rsidR="00E31E79" w:rsidRDefault="000749FE">
      <w:pPr>
        <w:spacing w:after="694" w:line="259" w:lineRule="auto"/>
        <w:ind w:left="0" w:firstLine="0"/>
        <w:jc w:val="left"/>
      </w:pPr>
      <w:r>
        <w:t xml:space="preserve"> </w:t>
      </w:r>
    </w:p>
    <w:p w:rsidR="00E31E79" w:rsidRDefault="000749FE">
      <w:pPr>
        <w:pStyle w:val="Heading1"/>
        <w:spacing w:after="140"/>
        <w:ind w:right="3941"/>
        <w:jc w:val="right"/>
      </w:pPr>
      <w:r>
        <w:t xml:space="preserve">Ключевые слова </w:t>
      </w:r>
    </w:p>
    <w:p w:rsidR="00E31E79" w:rsidRDefault="000749FE">
      <w:pPr>
        <w:spacing w:after="30" w:line="387" w:lineRule="auto"/>
        <w:ind w:left="708" w:right="3437" w:firstLine="0"/>
        <w:jc w:val="left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Аутоиммунные осложнения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Велофарингеальная недостаточность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Врожденный порок сердца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Гипокальциемия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Гипопаратиреоз 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Делеция 22 хромосомы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Дефект Т-</w:t>
      </w:r>
      <w:r>
        <w:t xml:space="preserve">клеточного звена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Задержка речевого и психомоторного развития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Задержка физического развития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Внутривенные иммуноглобулины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Инфекционные осложнения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Расщепление неба и верхней губы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Синдром Ди Георга</w:t>
      </w:r>
      <w:r>
        <w:br w:type="page"/>
      </w:r>
    </w:p>
    <w:p w:rsidR="00E31E79" w:rsidRDefault="000749FE">
      <w:pPr>
        <w:pStyle w:val="Heading1"/>
        <w:ind w:right="329"/>
      </w:pPr>
      <w:r>
        <w:t xml:space="preserve">Список сокращений </w:t>
      </w:r>
    </w:p>
    <w:p w:rsidR="00E31E79" w:rsidRDefault="000749FE">
      <w:pPr>
        <w:spacing w:after="151"/>
        <w:ind w:left="718"/>
      </w:pPr>
      <w:r>
        <w:t>АИГА – аутоиммунная гемо</w:t>
      </w:r>
      <w:r>
        <w:t xml:space="preserve">литическая анемия </w:t>
      </w:r>
    </w:p>
    <w:p w:rsidR="00E31E79" w:rsidRDefault="000749FE">
      <w:pPr>
        <w:spacing w:after="154"/>
        <w:ind w:left="718"/>
      </w:pPr>
      <w:r>
        <w:t xml:space="preserve">АЛТ — аланинаминотрансфераза </w:t>
      </w:r>
    </w:p>
    <w:p w:rsidR="00E31E79" w:rsidRDefault="000749FE">
      <w:pPr>
        <w:spacing w:after="151"/>
        <w:ind w:left="718"/>
      </w:pPr>
      <w:r>
        <w:t xml:space="preserve">АСТ — аспартатаминотрансфераза </w:t>
      </w:r>
    </w:p>
    <w:p w:rsidR="00E31E79" w:rsidRDefault="000749FE">
      <w:pPr>
        <w:spacing w:after="155"/>
        <w:ind w:left="718"/>
      </w:pPr>
      <w:r>
        <w:t xml:space="preserve">ВВИГ —   внутривенные иммуноглобулины </w:t>
      </w:r>
    </w:p>
    <w:p w:rsidR="00E31E79" w:rsidRDefault="000749FE">
      <w:pPr>
        <w:spacing w:after="152"/>
        <w:ind w:left="718"/>
      </w:pPr>
      <w:r>
        <w:t xml:space="preserve">ВЗК – воспалительные заболевания кишечника </w:t>
      </w:r>
    </w:p>
    <w:p w:rsidR="00E31E79" w:rsidRDefault="000749FE">
      <w:pPr>
        <w:spacing w:after="154"/>
        <w:ind w:left="718"/>
      </w:pPr>
      <w:r>
        <w:t xml:space="preserve">ВПС – врожденный порок сердца </w:t>
      </w:r>
    </w:p>
    <w:p w:rsidR="00E31E79" w:rsidRDefault="000749FE">
      <w:pPr>
        <w:spacing w:after="153"/>
        <w:ind w:left="718"/>
      </w:pPr>
      <w:r>
        <w:t xml:space="preserve">ГКС — глюкокортикостероиды </w:t>
      </w:r>
    </w:p>
    <w:p w:rsidR="00E31E79" w:rsidRDefault="000749FE">
      <w:pPr>
        <w:spacing w:after="153"/>
        <w:ind w:left="718"/>
      </w:pPr>
      <w:r>
        <w:t>ДНК — дезоксирибонуклеиновая кисл</w:t>
      </w:r>
      <w:r>
        <w:t xml:space="preserve">ота </w:t>
      </w:r>
    </w:p>
    <w:p w:rsidR="00E31E79" w:rsidRDefault="000749FE">
      <w:pPr>
        <w:spacing w:after="152"/>
        <w:ind w:left="718"/>
      </w:pPr>
      <w:r>
        <w:t xml:space="preserve">ЖКТ — желудочно-кишечный тракт </w:t>
      </w:r>
    </w:p>
    <w:p w:rsidR="00E31E79" w:rsidRDefault="000749FE">
      <w:pPr>
        <w:spacing w:after="152"/>
        <w:ind w:left="718"/>
      </w:pPr>
      <w:r>
        <w:t xml:space="preserve">ИТП – иммунная тромбоцитопения </w:t>
      </w:r>
    </w:p>
    <w:p w:rsidR="00E31E79" w:rsidRDefault="000749FE">
      <w:pPr>
        <w:spacing w:after="151"/>
        <w:ind w:left="718"/>
      </w:pPr>
      <w:r>
        <w:t xml:space="preserve">КМ — костный мозг </w:t>
      </w:r>
    </w:p>
    <w:p w:rsidR="00E31E79" w:rsidRDefault="000749FE">
      <w:pPr>
        <w:spacing w:after="153"/>
        <w:ind w:left="718"/>
      </w:pPr>
      <w:r>
        <w:t xml:space="preserve">КТ — компьютерная томография </w:t>
      </w:r>
    </w:p>
    <w:p w:rsidR="00E31E79" w:rsidRDefault="000749FE">
      <w:pPr>
        <w:spacing w:after="151"/>
        <w:ind w:left="718"/>
      </w:pPr>
      <w:r>
        <w:t xml:space="preserve">ЛОР - оториноларинголог </w:t>
      </w:r>
    </w:p>
    <w:p w:rsidR="00E31E79" w:rsidRDefault="000749FE">
      <w:pPr>
        <w:spacing w:after="154"/>
        <w:ind w:left="718"/>
      </w:pPr>
      <w:r>
        <w:t xml:space="preserve">ЛПУ — лечебно-профилактическое учреждение </w:t>
      </w:r>
    </w:p>
    <w:p w:rsidR="00E31E79" w:rsidRDefault="000749FE">
      <w:pPr>
        <w:spacing w:after="151"/>
        <w:ind w:left="718"/>
      </w:pPr>
      <w:r>
        <w:t xml:space="preserve">МЗ — Министерство здравоохранения </w:t>
      </w:r>
    </w:p>
    <w:p w:rsidR="00E31E79" w:rsidRDefault="000749FE">
      <w:pPr>
        <w:spacing w:after="152"/>
        <w:ind w:left="718"/>
      </w:pPr>
      <w:r>
        <w:t xml:space="preserve">МКБ-10 — </w:t>
      </w:r>
      <w:r>
        <w:t xml:space="preserve">Международная классификация болезней 10-го пересмотра </w:t>
      </w:r>
    </w:p>
    <w:p w:rsidR="00E31E79" w:rsidRDefault="000749FE">
      <w:pPr>
        <w:spacing w:after="155"/>
        <w:ind w:left="718"/>
      </w:pPr>
      <w:r>
        <w:t xml:space="preserve">МРТ —магнитно-резонансная томография </w:t>
      </w:r>
    </w:p>
    <w:p w:rsidR="00E31E79" w:rsidRDefault="000749FE">
      <w:pPr>
        <w:spacing w:after="152"/>
        <w:ind w:left="718"/>
      </w:pPr>
      <w:r>
        <w:t xml:space="preserve">РКИ — рандомизированные контролируемые исследования </w:t>
      </w:r>
    </w:p>
    <w:p w:rsidR="00E31E79" w:rsidRDefault="000749FE">
      <w:pPr>
        <w:spacing w:after="154"/>
        <w:ind w:left="718"/>
      </w:pPr>
      <w:r>
        <w:t xml:space="preserve">РНК — рибонуклеиновая кислота </w:t>
      </w:r>
    </w:p>
    <w:p w:rsidR="00E31E79" w:rsidRDefault="000749FE">
      <w:pPr>
        <w:spacing w:after="148"/>
        <w:ind w:left="718"/>
      </w:pPr>
      <w:r>
        <w:t xml:space="preserve">РФ — Российская Федерация </w:t>
      </w:r>
    </w:p>
    <w:p w:rsidR="00E31E79" w:rsidRDefault="000749FE">
      <w:pPr>
        <w:spacing w:after="154"/>
        <w:ind w:left="718"/>
      </w:pPr>
      <w:r>
        <w:t>Синдром del 22q11 – синдром делеции 22 хромосомы=син</w:t>
      </w:r>
      <w:r>
        <w:t xml:space="preserve">дром Ди Георга (синдром Ди </w:t>
      </w:r>
    </w:p>
    <w:p w:rsidR="00E31E79" w:rsidRDefault="000749FE">
      <w:pPr>
        <w:spacing w:after="150"/>
      </w:pPr>
      <w:r>
        <w:t xml:space="preserve">Джорджи) </w:t>
      </w:r>
    </w:p>
    <w:p w:rsidR="00E31E79" w:rsidRDefault="000749FE">
      <w:pPr>
        <w:spacing w:after="155"/>
        <w:ind w:left="718"/>
      </w:pPr>
      <w:r>
        <w:t xml:space="preserve">СДГ - синдром Ди Георга (Ди Джорджи) </w:t>
      </w:r>
    </w:p>
    <w:p w:rsidR="00E31E79" w:rsidRDefault="000749FE">
      <w:pPr>
        <w:spacing w:after="152"/>
        <w:ind w:left="718"/>
      </w:pPr>
      <w:r>
        <w:t xml:space="preserve">ТГСК – трансплантация гемопоэтических стволовых клеток  </w:t>
      </w:r>
    </w:p>
    <w:p w:rsidR="00E31E79" w:rsidRDefault="000749FE">
      <w:pPr>
        <w:spacing w:after="154"/>
        <w:ind w:left="718"/>
      </w:pPr>
      <w:r>
        <w:t xml:space="preserve">УЗИ – ультразвуковое исследование  </w:t>
      </w:r>
    </w:p>
    <w:p w:rsidR="00E31E79" w:rsidRDefault="000749FE">
      <w:pPr>
        <w:spacing w:after="151"/>
        <w:ind w:left="718"/>
      </w:pPr>
      <w:r>
        <w:t xml:space="preserve">ЭКГ – электрокардиограмма </w:t>
      </w:r>
    </w:p>
    <w:p w:rsidR="00E31E79" w:rsidRDefault="000749FE">
      <w:pPr>
        <w:spacing w:after="155"/>
        <w:ind w:left="718"/>
      </w:pPr>
      <w:r>
        <w:t xml:space="preserve">ЭхоКГ -эхокардиография </w:t>
      </w:r>
    </w:p>
    <w:p w:rsidR="00E31E79" w:rsidRDefault="000749FE">
      <w:pPr>
        <w:spacing w:line="389" w:lineRule="auto"/>
        <w:ind w:left="718" w:right="2464"/>
      </w:pPr>
      <w:r>
        <w:t>ЮРА – ювенильный ревматоидный артрит</w:t>
      </w:r>
      <w:r>
        <w:t xml:space="preserve"> del 22q11.2 – делеция длинного плеча 22 хромосомы локус 11.2 </w:t>
      </w:r>
    </w:p>
    <w:p w:rsidR="00E31E79" w:rsidRDefault="000749FE">
      <w:pPr>
        <w:spacing w:line="387" w:lineRule="auto"/>
        <w:ind w:left="-15" w:right="75" w:firstLine="698"/>
        <w:jc w:val="left"/>
      </w:pPr>
      <w:r>
        <w:t>САТСН 22 - Cardiac defects, Abnormal facies, Thymic hypoplasia, Cleft palate, Hypocalcemia, 22q deletion – порок сердца, лицевые аномалии, гипоплазия тимуса, расщелина неба, гипокальцемия, деле</w:t>
      </w:r>
      <w:r>
        <w:t xml:space="preserve">ция 22 </w:t>
      </w:r>
    </w:p>
    <w:p w:rsidR="00E31E79" w:rsidRDefault="000749FE">
      <w:pPr>
        <w:ind w:left="718"/>
      </w:pPr>
      <w:r>
        <w:t xml:space="preserve">FISH –fluorescent in situ hybridization - флуоресцентная гибридизация in situ </w:t>
      </w:r>
    </w:p>
    <w:p w:rsidR="00E31E79" w:rsidRDefault="000749FE">
      <w:pPr>
        <w:spacing w:after="149"/>
        <w:ind w:left="718"/>
      </w:pPr>
      <w:r>
        <w:t xml:space="preserve">ТВХ 1 ген –Т бокс 1 ген </w:t>
      </w:r>
    </w:p>
    <w:p w:rsidR="00E31E79" w:rsidRDefault="000749FE">
      <w:pPr>
        <w:spacing w:after="13724"/>
        <w:ind w:left="718"/>
      </w:pPr>
      <w:r>
        <w:t xml:space="preserve">MLPA- мультиплексная лигазная амплификация </w:t>
      </w:r>
    </w:p>
    <w:p w:rsidR="00E31E79" w:rsidRDefault="000749FE">
      <w:pPr>
        <w:spacing w:after="0" w:line="259" w:lineRule="auto"/>
        <w:ind w:left="0" w:right="4595" w:firstLine="0"/>
        <w:jc w:val="right"/>
      </w:pPr>
      <w:r>
        <w:t xml:space="preserve">6 </w:t>
      </w:r>
    </w:p>
    <w:p w:rsidR="00E31E79" w:rsidRDefault="000749FE">
      <w:pPr>
        <w:spacing w:after="0" w:line="259" w:lineRule="auto"/>
        <w:ind w:left="708" w:firstLine="0"/>
        <w:jc w:val="left"/>
      </w:pPr>
      <w:r>
        <w:t xml:space="preserve"> </w:t>
      </w:r>
    </w:p>
    <w:p w:rsidR="00E31E79" w:rsidRDefault="000749FE">
      <w:pPr>
        <w:pStyle w:val="Heading1"/>
        <w:spacing w:after="93"/>
        <w:ind w:right="332"/>
      </w:pPr>
      <w:r>
        <w:t xml:space="preserve">Термины и определения </w:t>
      </w:r>
    </w:p>
    <w:p w:rsidR="00E31E79" w:rsidRDefault="000749FE">
      <w:pPr>
        <w:spacing w:after="161" w:line="259" w:lineRule="auto"/>
        <w:ind w:left="0" w:firstLine="0"/>
        <w:jc w:val="left"/>
      </w:pPr>
      <w:r>
        <w:t xml:space="preserve"> </w:t>
      </w:r>
    </w:p>
    <w:p w:rsidR="00E31E79" w:rsidRDefault="000749FE">
      <w:pPr>
        <w:spacing w:line="397" w:lineRule="auto"/>
        <w:ind w:left="0" w:right="333" w:firstLine="708"/>
      </w:pPr>
      <w:r>
        <w:rPr>
          <w:b/>
        </w:rPr>
        <w:t xml:space="preserve">Внутривенные иммуноглобулины – </w:t>
      </w:r>
      <w:r>
        <w:t xml:space="preserve">препараты, содержащие преимущественно нормальный человеческий IgG. Изготовляются из пулированной плазмы тысяч здоровых доноров, с применением специальных методов очистки и вирус- инактивации. </w:t>
      </w:r>
    </w:p>
    <w:p w:rsidR="00E31E79" w:rsidRDefault="000749FE">
      <w:pPr>
        <w:spacing w:after="153"/>
        <w:ind w:left="718"/>
      </w:pPr>
      <w:r>
        <w:rPr>
          <w:b/>
        </w:rPr>
        <w:t>Делеция</w:t>
      </w:r>
      <w:r>
        <w:t xml:space="preserve"> – потеря участка хромосомы </w:t>
      </w:r>
    </w:p>
    <w:p w:rsidR="00E31E79" w:rsidRDefault="000749FE">
      <w:pPr>
        <w:spacing w:line="398" w:lineRule="auto"/>
        <w:ind w:left="718"/>
      </w:pPr>
      <w:r>
        <w:rPr>
          <w:b/>
        </w:rPr>
        <w:t>Хромосомные аберрации</w:t>
      </w:r>
      <w:r>
        <w:t xml:space="preserve"> – изм</w:t>
      </w:r>
      <w:r>
        <w:t xml:space="preserve">енение числа и\или структуры хромосом </w:t>
      </w:r>
      <w:r>
        <w:rPr>
          <w:b/>
        </w:rPr>
        <w:t>Микрогнатия</w:t>
      </w:r>
      <w:r>
        <w:t xml:space="preserve"> - недоразвитие (гипоплазия) челюстных костей. </w:t>
      </w:r>
    </w:p>
    <w:p w:rsidR="00E31E79" w:rsidRDefault="000749FE">
      <w:pPr>
        <w:spacing w:after="161" w:line="259" w:lineRule="auto"/>
        <w:ind w:left="713" w:right="977"/>
        <w:jc w:val="center"/>
      </w:pPr>
      <w:r>
        <w:rPr>
          <w:b/>
        </w:rPr>
        <w:t>Ретрогнатия</w:t>
      </w:r>
      <w:r>
        <w:t xml:space="preserve"> - смещение челюстной кости в дорзальном направлении (кзади) </w:t>
      </w:r>
    </w:p>
    <w:p w:rsidR="00E31E79" w:rsidRDefault="000749FE">
      <w:pPr>
        <w:spacing w:after="157"/>
        <w:ind w:left="718"/>
      </w:pPr>
      <w:r>
        <w:rPr>
          <w:b/>
        </w:rPr>
        <w:t>Гипертелоризм</w:t>
      </w:r>
      <w:r>
        <w:t xml:space="preserve"> - увеличенное расстояние между глазами </w:t>
      </w:r>
    </w:p>
    <w:p w:rsidR="00E31E79" w:rsidRDefault="000749FE">
      <w:pPr>
        <w:spacing w:line="387" w:lineRule="auto"/>
        <w:ind w:left="-15" w:right="75" w:firstLine="698"/>
        <w:jc w:val="left"/>
      </w:pPr>
      <w:r>
        <w:rPr>
          <w:b/>
        </w:rPr>
        <w:t>Трансплантация гематопоэтических</w:t>
      </w:r>
      <w:r>
        <w:rPr>
          <w:b/>
        </w:rPr>
        <w:t xml:space="preserve"> стволовых клеток – </w:t>
      </w:r>
      <w:r>
        <w:t>метод лечения некоторых наследственных и приобретенных гематологических, онкологических и иммунных заболеваний, основанный на замене собственного, патологического кроветворения пациента на нормальное кроветворение донора.</w:t>
      </w:r>
      <w:r>
        <w:br w:type="page"/>
      </w:r>
    </w:p>
    <w:p w:rsidR="00E31E79" w:rsidRDefault="000749FE">
      <w:pPr>
        <w:spacing w:after="689" w:line="259" w:lineRule="auto"/>
        <w:ind w:left="0" w:firstLine="0"/>
        <w:jc w:val="left"/>
      </w:pPr>
      <w:r>
        <w:t xml:space="preserve"> </w:t>
      </w:r>
    </w:p>
    <w:p w:rsidR="00E31E79" w:rsidRDefault="000749FE">
      <w:pPr>
        <w:pStyle w:val="Heading1"/>
        <w:spacing w:after="334"/>
        <w:ind w:right="330"/>
      </w:pPr>
      <w:r>
        <w:t xml:space="preserve">1. </w:t>
      </w:r>
      <w:r>
        <w:t xml:space="preserve">Краткая информация </w:t>
      </w:r>
    </w:p>
    <w:p w:rsidR="00E31E79" w:rsidRDefault="000749FE">
      <w:pPr>
        <w:pStyle w:val="Heading2"/>
        <w:spacing w:after="150" w:line="259" w:lineRule="auto"/>
        <w:ind w:left="703"/>
      </w:pPr>
      <w:r>
        <w:rPr>
          <w:u w:val="single" w:color="000000"/>
        </w:rPr>
        <w:t>1.1 Определение</w:t>
      </w:r>
      <w:r>
        <w:t xml:space="preserve"> </w:t>
      </w:r>
    </w:p>
    <w:p w:rsidR="00E31E79" w:rsidRDefault="000749FE">
      <w:pPr>
        <w:spacing w:line="380" w:lineRule="auto"/>
        <w:ind w:left="0" w:right="332" w:firstLine="708"/>
      </w:pPr>
      <w:r>
        <w:t xml:space="preserve">Синдром делеции 22-й хромосомы (синдром del 22q11) (при выраженных иммунологических изменениях синдром Ди Георга (СДГ)) — это совокупность морфологических, иммунологических и неврологических изменений, которые являются </w:t>
      </w:r>
      <w:r>
        <w:t xml:space="preserve">следствием делеции длинного плеча одной копии 22-й хромосомы — del 22q11.2 [1, 2, 3]. </w:t>
      </w:r>
    </w:p>
    <w:p w:rsidR="00E31E79" w:rsidRDefault="000749FE">
      <w:pPr>
        <w:spacing w:line="383" w:lineRule="auto"/>
        <w:ind w:left="0" w:right="336" w:firstLine="708"/>
      </w:pPr>
      <w:r>
        <w:t xml:space="preserve">В классическом понятии этот синдром представляет собой комплекс симптомов, состоящий из патологии лицевого скелета (расщелины твердого неба), врожденного порока сердца, </w:t>
      </w:r>
      <w:r>
        <w:t xml:space="preserve">иммунодефицита вследствие гипоплазии (аплазии) тимуса и гипокальциемии, как результат гипоплазии паращитовидной железы [1, 3, 4]. </w:t>
      </w:r>
    </w:p>
    <w:p w:rsidR="00E31E79" w:rsidRDefault="000749FE">
      <w:pPr>
        <w:spacing w:after="227" w:line="376" w:lineRule="auto"/>
        <w:ind w:left="0" w:right="328" w:firstLine="708"/>
      </w:pPr>
      <w:r>
        <w:t xml:space="preserve">Как ни один другой синдром, синдром del 22q11.2 вариабелен в количестве признаков и степени их выраженности, что и объясняет </w:t>
      </w:r>
      <w:r>
        <w:t>тот факт, что исторически этот синдром в литературе имеет порядка десятка различных названий, включая синдром Ди Георга, САТСН 22, велокардиофациальный сидром, Шпринтцена синдром, Кайлера синдром, синдром лицевых и конотрункальных аномалий и т.д.</w:t>
      </w:r>
      <w:r>
        <w:rPr>
          <w:sz w:val="27"/>
        </w:rPr>
        <w:t xml:space="preserve"> </w:t>
      </w:r>
      <w:r>
        <w:t>Однако те</w:t>
      </w:r>
      <w:r>
        <w:t xml:space="preserve">рмин СДГ применим к случаям делеции 22q11.2 хромосомы с иммунными дефектами [1, 4, 5]. </w:t>
      </w:r>
    </w:p>
    <w:p w:rsidR="00E31E79" w:rsidRDefault="000749FE">
      <w:pPr>
        <w:pStyle w:val="Heading2"/>
        <w:spacing w:after="176" w:line="259" w:lineRule="auto"/>
        <w:ind w:left="703"/>
      </w:pPr>
      <w:r>
        <w:rPr>
          <w:u w:val="single" w:color="000000"/>
        </w:rPr>
        <w:t>1.2 Этиология и патогенез</w:t>
      </w:r>
      <w:r>
        <w:t xml:space="preserve"> </w:t>
      </w:r>
    </w:p>
    <w:p w:rsidR="00E31E79" w:rsidRDefault="000749FE">
      <w:pPr>
        <w:spacing w:line="385" w:lineRule="auto"/>
        <w:ind w:left="0" w:right="328" w:firstLine="708"/>
      </w:pPr>
      <w:r>
        <w:t>В основе заболевания лежит нарушение формирования органов, происходящих из третьей жаберной дуги (нижняя часть лицевого скелета, тимус, паращ</w:t>
      </w:r>
      <w:r>
        <w:t>итовидная железа, верхние отделы сердца и магистральных сосудов). Цитогенетические и молекулярные исследования показали, что делеция 22q11.2 является ведущей причиной СДГ и возникает спорадически более чем в 90% случаев [6, 7, 8]. В 10% случаев делеция нас</w:t>
      </w:r>
      <w:r>
        <w:t xml:space="preserve">ледуется от одного из родителей, так как наследование происходит аутосомно- доминантным путем [1, 4]. В редких случаях синдром является проявлением перестроек других хромосом, а также мутации гена ТВХ1 [5]. </w:t>
      </w:r>
    </w:p>
    <w:p w:rsidR="00E31E79" w:rsidRDefault="000749FE">
      <w:pPr>
        <w:spacing w:line="383" w:lineRule="auto"/>
        <w:ind w:left="0" w:right="329" w:firstLine="708"/>
      </w:pPr>
      <w:r>
        <w:t xml:space="preserve">Анализ ДНК пациентов с СДГ выявил, что в 85-90% </w:t>
      </w:r>
      <w:r>
        <w:t>случаев выпадающий участок является одним и тем же. Дефект находится между D22S427 на 22q11.21 и D22S801 на 22q11.23. В этом участке локализовано не менее 40 генов, что составляет около 3 млн пар нуклеиновых оснований. В 10-12% случаев встречаются более ко</w:t>
      </w:r>
      <w:r>
        <w:t>роткие делеции, которые составляют 1,5-2 млн парных оснований. Было описано несколько пациентов с синдромом делеции 22-й хромосомы, имеющих делеции за пределами наиболее часто выпадающих участков [2, 6, 7]. Результаты проведенных исследований свидетельству</w:t>
      </w:r>
      <w:r>
        <w:t xml:space="preserve">ют о том, что </w:t>
      </w:r>
    </w:p>
    <w:p w:rsidR="00E31E79" w:rsidRDefault="00E31E79">
      <w:pPr>
        <w:sectPr w:rsidR="00E31E79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1906" w:h="16838"/>
          <w:pgMar w:top="1137" w:right="518" w:bottom="714" w:left="1702" w:header="720" w:footer="720" w:gutter="0"/>
          <w:cols w:space="720"/>
        </w:sectPr>
      </w:pPr>
    </w:p>
    <w:p w:rsidR="00E31E79" w:rsidRDefault="000749FE">
      <w:pPr>
        <w:spacing w:after="26" w:line="376" w:lineRule="auto"/>
      </w:pPr>
      <w:r>
        <w:t>степень выраженности фенотипа не коррелирует с размером делеции, т.е. пациент с потерей 1,5 млн парных оснований может иметь такой же по тяжести фенотип, как и с делецией в 3 млн парных оснований [3, 6]. Кроме того, было замечено, что вариабельность феноти</w:t>
      </w:r>
      <w:r>
        <w:t xml:space="preserve">пических проявлений варьирует как внутри одной семьи, так и между семьями, несмотря на идентичные участки делеции [6]. </w:t>
      </w:r>
    </w:p>
    <w:p w:rsidR="00E31E79" w:rsidRDefault="000749FE">
      <w:pPr>
        <w:spacing w:line="377" w:lineRule="auto"/>
        <w:ind w:left="0" w:firstLine="708"/>
      </w:pPr>
      <w:r>
        <w:t xml:space="preserve">Делеция вызывает выпадение участка, включающего ген </w:t>
      </w:r>
      <w:r>
        <w:rPr>
          <w:i/>
        </w:rPr>
        <w:t>ТВХ1</w:t>
      </w:r>
      <w:r>
        <w:t>, ген фактора транскрипции, участвующего в развитии фарингеальных дуг [6, 7]. Эт</w:t>
      </w:r>
      <w:r>
        <w:t xml:space="preserve">и изменения, в свою очередь, ведут к нарушению формирования сердца и магистральных сосудов, иммунологическим изменениям, расщеплению нѐба и верхней губы, гипопаратиреоидизму, задержке умственного развития. </w:t>
      </w:r>
    </w:p>
    <w:p w:rsidR="00E31E79" w:rsidRDefault="000749FE">
      <w:pPr>
        <w:spacing w:line="387" w:lineRule="auto"/>
        <w:ind w:left="0" w:firstLine="708"/>
      </w:pPr>
      <w:r>
        <w:t xml:space="preserve"> Несмотря на то, что </w:t>
      </w:r>
      <w:r>
        <w:rPr>
          <w:i/>
        </w:rPr>
        <w:t>ТВХ1</w:t>
      </w:r>
      <w:r>
        <w:t>, без сомнения, является</w:t>
      </w:r>
      <w:r>
        <w:t xml:space="preserve"> главным геном, формирующим фенотип при синдроме делеции 22-й хромосомы, в результате исследований были выявлены и другие гены, недостаточная экспрессия которых может играть роль в формировании фенотипических проявлений. Например, нарушение работы гена </w:t>
      </w:r>
      <w:r>
        <w:rPr>
          <w:i/>
        </w:rPr>
        <w:t>COM</w:t>
      </w:r>
      <w:r>
        <w:rPr>
          <w:i/>
        </w:rPr>
        <w:t>T</w:t>
      </w:r>
      <w:r>
        <w:t xml:space="preserve">, локализованного в этом же регионе 22 хромосомы, объясняет риск развития поведенческих и умственных проблем у пациентов [7, 8].   </w:t>
      </w:r>
    </w:p>
    <w:p w:rsidR="00E31E79" w:rsidRDefault="000749FE">
      <w:pPr>
        <w:spacing w:after="32" w:line="369" w:lineRule="auto"/>
        <w:ind w:left="0" w:firstLine="708"/>
      </w:pPr>
      <w:r>
        <w:t>Учитывая результаты работ по выяснению молекулярных основ заболевания, ясно, что в формировании фенотипа играет роль компле</w:t>
      </w:r>
      <w:r>
        <w:t xml:space="preserve">ксное нарушение экспрессии и взаимодействия генов, их модификаторов и других составляющих, что приводит к дальнейшему нарушению эмбрио- и органогенеза [5, 6, 9]. </w:t>
      </w:r>
    </w:p>
    <w:p w:rsidR="00E31E79" w:rsidRDefault="000749FE">
      <w:pPr>
        <w:spacing w:after="237" w:line="365" w:lineRule="auto"/>
        <w:ind w:left="0" w:firstLine="708"/>
      </w:pPr>
      <w:r>
        <w:t xml:space="preserve">Соответственно, </w:t>
      </w:r>
      <w:r>
        <w:t xml:space="preserve">при отсутствии или нарушении функции и экспрессии генов и дальнейших процессов происходит формирование пороков развития, характерных для СДГ [1, 6]. </w:t>
      </w:r>
    </w:p>
    <w:p w:rsidR="00E31E79" w:rsidRDefault="000749FE">
      <w:pPr>
        <w:pStyle w:val="Heading2"/>
        <w:spacing w:after="176" w:line="259" w:lineRule="auto"/>
        <w:ind w:left="703"/>
      </w:pPr>
      <w:r>
        <w:rPr>
          <w:u w:val="single" w:color="000000"/>
        </w:rPr>
        <w:t>1.3 Эпидемиология</w:t>
      </w:r>
      <w:r>
        <w:t xml:space="preserve"> </w:t>
      </w:r>
    </w:p>
    <w:p w:rsidR="00E31E79" w:rsidRDefault="000749FE">
      <w:pPr>
        <w:spacing w:after="210" w:line="385" w:lineRule="auto"/>
        <w:ind w:left="0" w:firstLine="708"/>
      </w:pPr>
      <w:r>
        <w:t xml:space="preserve">Синдром   делеции 22-й хромосомы — </w:t>
      </w:r>
      <w:r>
        <w:t>одна из самых частых делеций среди других хромосомных аберраций в человеческом геноме, по частоте она уступает лишь синдрому Дауна, трисомии по 21-й хромосоме. Частота встречаемости варьирует от 1:4000 до 1:6000 новорожденных [1, 2, 3, 4]. Не наблюдается н</w:t>
      </w:r>
      <w:r>
        <w:t>и половой, ни этнической предрасположенности к данному синдрому. Большинство пациентов с СДГ имеют патологию лицевого скелета и врожденный порок сердца и развивают гипокальциемию вскоре после рождения [7]. Пациенты, не имеющие данных симптомов, зачастую не</w:t>
      </w:r>
      <w:r>
        <w:t xml:space="preserve"> диагностируются в раннем возрасте, и правильный диагноз значительно запаздывает.   </w:t>
      </w:r>
    </w:p>
    <w:p w:rsidR="00E31E79" w:rsidRDefault="000749FE">
      <w:pPr>
        <w:pStyle w:val="Heading2"/>
        <w:spacing w:after="145" w:line="259" w:lineRule="auto"/>
        <w:ind w:left="703"/>
      </w:pPr>
      <w:r>
        <w:rPr>
          <w:u w:val="single" w:color="000000"/>
        </w:rPr>
        <w:t>1.4 Кодирование по МКБ-10</w:t>
      </w:r>
      <w:r>
        <w:t xml:space="preserve"> </w:t>
      </w:r>
    </w:p>
    <w:p w:rsidR="00E31E79" w:rsidRDefault="000749FE">
      <w:pPr>
        <w:ind w:left="718"/>
      </w:pPr>
      <w:r>
        <w:rPr>
          <w:b/>
        </w:rPr>
        <w:t>D82.1</w:t>
      </w:r>
      <w:r>
        <w:t xml:space="preserve"> – синдром Ди Георга</w:t>
      </w:r>
      <w:r>
        <w:rPr>
          <w:sz w:val="20"/>
        </w:rPr>
        <w:t xml:space="preserve"> </w:t>
      </w:r>
    </w:p>
    <w:p w:rsidR="00E31E79" w:rsidRDefault="000749FE">
      <w:pPr>
        <w:pStyle w:val="Heading2"/>
        <w:spacing w:after="176" w:line="259" w:lineRule="auto"/>
        <w:ind w:left="703"/>
      </w:pPr>
      <w:r>
        <w:rPr>
          <w:u w:val="single" w:color="000000"/>
        </w:rPr>
        <w:t>1.5 Классификация</w:t>
      </w:r>
      <w:r>
        <w:t xml:space="preserve"> </w:t>
      </w:r>
    </w:p>
    <w:p w:rsidR="00E31E79" w:rsidRDefault="000749FE">
      <w:pPr>
        <w:spacing w:line="383" w:lineRule="auto"/>
        <w:ind w:left="0" w:firstLine="708"/>
      </w:pPr>
      <w:r>
        <w:t>В современной иммунологии используется разделение синдрома на полный и неполный (частичный) [1, 4,</w:t>
      </w:r>
      <w:r>
        <w:t xml:space="preserve"> 6, 9]:  </w:t>
      </w:r>
    </w:p>
    <w:p w:rsidR="00E31E79" w:rsidRDefault="000749FE">
      <w:pPr>
        <w:spacing w:line="397" w:lineRule="auto"/>
        <w:ind w:left="730"/>
      </w:pPr>
      <w:r>
        <w:rPr>
          <w:b/>
        </w:rPr>
        <w:t>Критерии ПОЛНОГО СДГ</w:t>
      </w:r>
      <w:r>
        <w:t xml:space="preserve"> включают в себя снижение/отсутствие CD3+ T-клеток (менее 50/мм³) и всѐ из нижеследующего: </w:t>
      </w:r>
    </w:p>
    <w:p w:rsidR="00E31E79" w:rsidRDefault="000749FE">
      <w:pPr>
        <w:numPr>
          <w:ilvl w:val="0"/>
          <w:numId w:val="2"/>
        </w:numPr>
        <w:spacing w:after="80"/>
        <w:ind w:hanging="360"/>
      </w:pPr>
      <w:r>
        <w:t xml:space="preserve">Подтверждѐнная атимия в виде снижения ранних тимических мигрантов </w:t>
      </w:r>
    </w:p>
    <w:p w:rsidR="00E31E79" w:rsidRDefault="000749FE">
      <w:pPr>
        <w:spacing w:after="171"/>
        <w:ind w:left="730"/>
      </w:pPr>
      <w:r>
        <w:t xml:space="preserve">(CD3+CD45RA+CD62L+ кл/мм³ и/или TREC &lt;100/100000 T-клеток </w:t>
      </w:r>
    </w:p>
    <w:p w:rsidR="00E31E79" w:rsidRDefault="000749FE">
      <w:pPr>
        <w:numPr>
          <w:ilvl w:val="0"/>
          <w:numId w:val="2"/>
        </w:numPr>
        <w:spacing w:line="360" w:lineRule="auto"/>
        <w:ind w:hanging="360"/>
      </w:pPr>
      <w:r>
        <w:t>Гипопара</w:t>
      </w:r>
      <w:r>
        <w:t xml:space="preserve">тиреоз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Порок сердца. </w:t>
      </w:r>
    </w:p>
    <w:p w:rsidR="00E31E79" w:rsidRDefault="000749FE">
      <w:pPr>
        <w:spacing w:line="397" w:lineRule="auto"/>
        <w:ind w:left="730"/>
      </w:pPr>
      <w:r>
        <w:t xml:space="preserve">Термин </w:t>
      </w:r>
      <w:r>
        <w:rPr>
          <w:b/>
        </w:rPr>
        <w:t xml:space="preserve">«Частичный синдром Ди Георга» </w:t>
      </w:r>
      <w:r>
        <w:t xml:space="preserve">используется у пациентов, если они имеют сочетание типичных признаков, но без проявлений выраженного иммунодефицита.  </w:t>
      </w:r>
    </w:p>
    <w:p w:rsidR="00E31E79" w:rsidRDefault="000749FE">
      <w:pPr>
        <w:spacing w:after="154"/>
        <w:ind w:left="1438"/>
        <w:jc w:val="left"/>
      </w:pPr>
      <w:r>
        <w:rPr>
          <w:b/>
        </w:rPr>
        <w:t xml:space="preserve">Выделяют три группы диагностических критериев частичного СДГ: </w:t>
      </w:r>
    </w:p>
    <w:p w:rsidR="00E31E79" w:rsidRDefault="000749FE">
      <w:pPr>
        <w:numPr>
          <w:ilvl w:val="0"/>
          <w:numId w:val="2"/>
        </w:numPr>
        <w:spacing w:after="28" w:line="377" w:lineRule="auto"/>
        <w:ind w:hanging="360"/>
      </w:pPr>
      <w:r>
        <w:rPr>
          <w:b/>
        </w:rPr>
        <w:t>Достоверный ч</w:t>
      </w:r>
      <w:r>
        <w:rPr>
          <w:b/>
        </w:rPr>
        <w:t xml:space="preserve">астичный СДГ </w:t>
      </w:r>
      <w:r>
        <w:t xml:space="preserve">включают в себя снижение/отсутствие CD3+ Tклеток (менее 500/мм³) в течение первых трѐх лет жизни и один из следующих критериев: </w:t>
      </w:r>
    </w:p>
    <w:p w:rsidR="00E31E79" w:rsidRDefault="000749FE">
      <w:pPr>
        <w:numPr>
          <w:ilvl w:val="0"/>
          <w:numId w:val="3"/>
        </w:numPr>
        <w:spacing w:line="396" w:lineRule="auto"/>
        <w:ind w:hanging="360"/>
      </w:pPr>
      <w:r>
        <w:t xml:space="preserve">Конотруктальный порок сердца и лабораторная или клинически выраженная гипокальциемия </w:t>
      </w:r>
    </w:p>
    <w:p w:rsidR="00E31E79" w:rsidRDefault="000749FE">
      <w:pPr>
        <w:numPr>
          <w:ilvl w:val="0"/>
          <w:numId w:val="3"/>
        </w:numPr>
        <w:spacing w:after="157"/>
        <w:ind w:hanging="360"/>
      </w:pPr>
      <w:r>
        <w:t xml:space="preserve">Конотруктальный порок сердца и делеция 22q11.2 хромосомы </w:t>
      </w:r>
    </w:p>
    <w:p w:rsidR="00E31E79" w:rsidRDefault="000749FE">
      <w:pPr>
        <w:numPr>
          <w:ilvl w:val="0"/>
          <w:numId w:val="3"/>
        </w:numPr>
        <w:spacing w:line="386" w:lineRule="auto"/>
        <w:ind w:hanging="360"/>
      </w:pPr>
      <w:r>
        <w:t xml:space="preserve">Лабораторная или клинически манифестированная гипокальциемия и делеция 22q11.2 хромосомы </w:t>
      </w:r>
    </w:p>
    <w:p w:rsidR="00E31E79" w:rsidRDefault="000749FE">
      <w:pPr>
        <w:numPr>
          <w:ilvl w:val="0"/>
          <w:numId w:val="3"/>
        </w:numPr>
        <w:spacing w:line="395" w:lineRule="auto"/>
        <w:ind w:hanging="360"/>
      </w:pPr>
      <w:r>
        <w:t>Конотруктальный порок сердца и лабораторная или клинически выраженная гипокальциемия и делеция 22q11.2 хромо</w:t>
      </w:r>
      <w:r>
        <w:t xml:space="preserve">сомы. </w:t>
      </w:r>
    </w:p>
    <w:p w:rsidR="00E31E79" w:rsidRDefault="000749FE">
      <w:pPr>
        <w:numPr>
          <w:ilvl w:val="0"/>
          <w:numId w:val="4"/>
        </w:numPr>
        <w:spacing w:line="397" w:lineRule="auto"/>
        <w:ind w:hanging="360"/>
      </w:pPr>
      <w:r>
        <w:rPr>
          <w:b/>
        </w:rPr>
        <w:t>Вероятный частичный СДГ</w:t>
      </w:r>
      <w:r>
        <w:t xml:space="preserve"> включает снижение CD3+ T-клеток (менее 1500/мм³) в течение первых трѐх лет жизни и делецию 22q11.2 хромосомы </w:t>
      </w:r>
    </w:p>
    <w:p w:rsidR="00E31E79" w:rsidRDefault="000749FE">
      <w:pPr>
        <w:numPr>
          <w:ilvl w:val="0"/>
          <w:numId w:val="4"/>
        </w:numPr>
        <w:spacing w:line="397" w:lineRule="auto"/>
        <w:ind w:hanging="360"/>
      </w:pPr>
      <w:r>
        <w:rPr>
          <w:b/>
        </w:rPr>
        <w:t>Возможный частичный СДГ</w:t>
      </w:r>
      <w:r>
        <w:t xml:space="preserve"> включает снижение CD3+ T-клеток (менее 1500/мм³) в течение первых трѐх лет жизни и один из </w:t>
      </w:r>
      <w:r>
        <w:t xml:space="preserve">следующих критериев: </w:t>
      </w:r>
    </w:p>
    <w:p w:rsidR="00E31E79" w:rsidRDefault="000749FE">
      <w:pPr>
        <w:numPr>
          <w:ilvl w:val="0"/>
          <w:numId w:val="5"/>
        </w:numPr>
        <w:spacing w:after="156"/>
        <w:ind w:hanging="360"/>
      </w:pPr>
      <w:r>
        <w:t xml:space="preserve">Порок сердца </w:t>
      </w:r>
    </w:p>
    <w:p w:rsidR="00E31E79" w:rsidRDefault="000749FE">
      <w:pPr>
        <w:numPr>
          <w:ilvl w:val="0"/>
          <w:numId w:val="5"/>
        </w:numPr>
        <w:spacing w:after="158"/>
        <w:ind w:hanging="360"/>
      </w:pPr>
      <w:r>
        <w:t xml:space="preserve">Лабораторная или клинически выраженная гипокальциемия </w:t>
      </w:r>
    </w:p>
    <w:p w:rsidR="00E31E79" w:rsidRDefault="000749FE">
      <w:pPr>
        <w:numPr>
          <w:ilvl w:val="0"/>
          <w:numId w:val="5"/>
        </w:numPr>
        <w:spacing w:after="354"/>
        <w:ind w:hanging="360"/>
      </w:pPr>
      <w:r>
        <w:t xml:space="preserve">Дисморфизмы лица или расщепление нѐба </w:t>
      </w:r>
    </w:p>
    <w:p w:rsidR="00E31E79" w:rsidRDefault="000749FE">
      <w:pPr>
        <w:pStyle w:val="Heading2"/>
        <w:spacing w:after="176" w:line="259" w:lineRule="auto"/>
        <w:ind w:left="703"/>
      </w:pPr>
      <w:r>
        <w:rPr>
          <w:u w:val="single" w:color="000000"/>
        </w:rPr>
        <w:t>1.6 Клиническая картина</w:t>
      </w:r>
      <w:r>
        <w:t xml:space="preserve"> </w:t>
      </w:r>
    </w:p>
    <w:p w:rsidR="00E31E79" w:rsidRDefault="000749FE">
      <w:pPr>
        <w:spacing w:line="396" w:lineRule="auto"/>
        <w:ind w:left="0" w:firstLine="708"/>
      </w:pPr>
      <w:r>
        <w:t xml:space="preserve">Спектр клинических проявлений при синдроме делеции 22-й хромосомы достаточно широк: </w:t>
      </w:r>
    </w:p>
    <w:p w:rsidR="00E31E79" w:rsidRDefault="000749FE">
      <w:pPr>
        <w:numPr>
          <w:ilvl w:val="0"/>
          <w:numId w:val="6"/>
        </w:numPr>
        <w:spacing w:after="57" w:line="367" w:lineRule="auto"/>
        <w:ind w:hanging="360"/>
      </w:pPr>
      <w:r>
        <w:t>Врожденный порок</w:t>
      </w:r>
      <w:r>
        <w:t xml:space="preserve"> сердца представлен не менее, чем в 80% случаев. Некоторые из пороков являются более патогномоничными: прерывание дуги аорты, общий артериальный ствол и тетрада Фалло являются наиболее частыми среди данной группы детей [7, 13].  </w:t>
      </w:r>
    </w:p>
    <w:p w:rsidR="00E31E79" w:rsidRDefault="000749FE">
      <w:pPr>
        <w:numPr>
          <w:ilvl w:val="0"/>
          <w:numId w:val="6"/>
        </w:numPr>
        <w:spacing w:after="45" w:line="376" w:lineRule="auto"/>
        <w:ind w:hanging="360"/>
      </w:pPr>
      <w:r>
        <w:t>Иммунологические нарушения</w:t>
      </w:r>
      <w:r>
        <w:t xml:space="preserve"> встречаются в 77% случаев. Однако инфекционные проявления вследствие дефекта иммунной системы иногда дебютируют не с рождения. Чаще других звеньев поражается Т-клеточное звено, что проявляется предрасположенностью к грибковым заболеваниям, пневмоцистной и</w:t>
      </w:r>
      <w:r>
        <w:t xml:space="preserve">нфекции, некоторым бактериальным и вирусным инфекциям [1, 10, 12].  </w:t>
      </w:r>
    </w:p>
    <w:p w:rsidR="00E31E79" w:rsidRDefault="000749FE">
      <w:pPr>
        <w:numPr>
          <w:ilvl w:val="0"/>
          <w:numId w:val="6"/>
        </w:numPr>
        <w:spacing w:after="48" w:line="375" w:lineRule="auto"/>
        <w:ind w:hanging="360"/>
      </w:pPr>
      <w:r>
        <w:t>Гипокальциемия/гипопаратиреоз может проявляться судорожным синдромом при выраженном дефиците кальция в младенческом возрасте, существует риск развития нефрокальциноза. В детском возрасте и у 20% взрослых развивается гипотиреоз, в детском возрасте иногда вс</w:t>
      </w:r>
      <w:r>
        <w:t xml:space="preserve">тречается гипертиреоз. Редко отмечается дефицит гормона роста [7, 14].  </w:t>
      </w:r>
    </w:p>
    <w:p w:rsidR="00E31E79" w:rsidRDefault="000749FE">
      <w:pPr>
        <w:numPr>
          <w:ilvl w:val="0"/>
          <w:numId w:val="6"/>
        </w:numPr>
        <w:spacing w:after="64" w:line="361" w:lineRule="auto"/>
        <w:ind w:hanging="360"/>
      </w:pPr>
      <w:r>
        <w:t>Поражение носоглоточного аппарата выявлено примерно в 70% случаев и проявляется в виде велофарингеальной недостаточности, расщеплении нѐба, губы, раздвоении уздечки нѐба, гнусавым отт</w:t>
      </w:r>
      <w:r>
        <w:t xml:space="preserve">енком голоса, также описано снижение обоняния, кондуктивная и/или сенсоневральная тугоухость. Вследствие велофарингеальной недостаточности у 36% пациентов отмечается затруднение глотания [7, 12, 15].  </w:t>
      </w:r>
    </w:p>
    <w:p w:rsidR="00E31E79" w:rsidRDefault="000749FE">
      <w:pPr>
        <w:numPr>
          <w:ilvl w:val="0"/>
          <w:numId w:val="6"/>
        </w:numPr>
        <w:spacing w:after="52" w:line="369" w:lineRule="auto"/>
        <w:ind w:hanging="360"/>
      </w:pPr>
      <w:r>
        <w:t>Характерные черты лица (удлиненное лицо, микрогнатия и</w:t>
      </w:r>
      <w:r>
        <w:t xml:space="preserve">ли ретрогнатия, широкая переносица, мелкие зубы, асимметрия лица при плаче, опущенные вниз уголки рта, глазной гипертелоризм, низко посаженные и деформированные ушные раковины, бульбообразный кончик носа) [3, 6, 12].  </w:t>
      </w:r>
    </w:p>
    <w:p w:rsidR="00E31E79" w:rsidRDefault="000749FE">
      <w:pPr>
        <w:numPr>
          <w:ilvl w:val="0"/>
          <w:numId w:val="6"/>
        </w:numPr>
        <w:spacing w:line="400" w:lineRule="auto"/>
        <w:ind w:hanging="360"/>
      </w:pPr>
      <w:r>
        <w:t>Нарушение выработки Т-клеток может пр</w:t>
      </w:r>
      <w:r>
        <w:t xml:space="preserve">едрасполагать к аутоиммунным заболеваниям. Описаны такие осложнения синдрома делеции 22-й хромосомы, как </w:t>
      </w:r>
    </w:p>
    <w:p w:rsidR="00E31E79" w:rsidRDefault="000749FE">
      <w:pPr>
        <w:spacing w:after="50" w:line="371" w:lineRule="auto"/>
        <w:ind w:left="730"/>
      </w:pPr>
      <w:r>
        <w:t xml:space="preserve">ЮРА, ХТП, АИГА, ВЗК, болезнь Грейвса, аутоиммунный увеит, бронхиальная астма [1, 2, 12, 16]. </w:t>
      </w:r>
    </w:p>
    <w:p w:rsidR="00E31E79" w:rsidRDefault="000749FE">
      <w:pPr>
        <w:numPr>
          <w:ilvl w:val="0"/>
          <w:numId w:val="6"/>
        </w:numPr>
        <w:spacing w:after="31" w:line="387" w:lineRule="auto"/>
        <w:ind w:hanging="360"/>
      </w:pPr>
      <w:r>
        <w:t>Задержка физического развития часто наблюдается у пациен</w:t>
      </w:r>
      <w:r>
        <w:t xml:space="preserve">тов с синдромом делеции 22q11.2-й хромосомы [1, 2, 7, 12]. </w:t>
      </w:r>
    </w:p>
    <w:p w:rsidR="00E31E79" w:rsidRDefault="000749FE">
      <w:pPr>
        <w:numPr>
          <w:ilvl w:val="0"/>
          <w:numId w:val="6"/>
        </w:numPr>
        <w:spacing w:after="557" w:line="358" w:lineRule="auto"/>
        <w:ind w:hanging="360"/>
      </w:pPr>
      <w:r>
        <w:t>Задержка речевого и психомоторного развития наблюдается у 70—90% и проявляется с возрастом, однако тестирование пациентов с задержкой развития имеет смысл только в случаях сочетании с другими приз</w:t>
      </w:r>
      <w:r>
        <w:t>наками. Поведенческие и психические проблемы также могут встречаться у пациентов с СДГ. В детском возрасте обычно отмечаются гиперактивность, тревожность, аутические и аффективные расстройства. В подростковом и взрослом возрасте у 10-30% с СДГ отмечаются б</w:t>
      </w:r>
      <w:r>
        <w:t xml:space="preserve">иполярные расстройства, шизофрения, шизоаффективные расстройства. Повышен риск раннего старта (до 50 лет) болезни Паркинсона [2, 3, 12, 17]. </w:t>
      </w:r>
    </w:p>
    <w:p w:rsidR="00E31E79" w:rsidRDefault="000749FE">
      <w:pPr>
        <w:pStyle w:val="Heading1"/>
        <w:spacing w:after="337"/>
        <w:ind w:right="5"/>
      </w:pPr>
      <w:r>
        <w:t xml:space="preserve">2. Диагностика </w:t>
      </w:r>
    </w:p>
    <w:p w:rsidR="00E31E79" w:rsidRDefault="000749FE">
      <w:pPr>
        <w:pStyle w:val="Heading2"/>
        <w:spacing w:after="176" w:line="259" w:lineRule="auto"/>
        <w:ind w:left="703"/>
      </w:pPr>
      <w:r>
        <w:rPr>
          <w:u w:val="single" w:color="000000"/>
        </w:rPr>
        <w:t>2.1 Жалобы и анамнез</w:t>
      </w:r>
      <w:r>
        <w:t xml:space="preserve"> </w:t>
      </w:r>
    </w:p>
    <w:p w:rsidR="00E31E79" w:rsidRDefault="000749FE">
      <w:pPr>
        <w:spacing w:after="36" w:line="375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делеции 22-</w:t>
      </w:r>
      <w:r>
        <w:t>й хромосомы проводить подробный сбор жалоб, сбор анамнеза заболевания, семейного анамнеза с целью верификации типичных симптомов и оценки тяжести состояния в связи с тем, что жалобы и анамнез заболевания могут быть крайне разнообразными и различными по сте</w:t>
      </w:r>
      <w:r>
        <w:t xml:space="preserve">пени выраженности [2, 4, 7, 11, 13, 14, 16],      </w:t>
      </w:r>
    </w:p>
    <w:p w:rsidR="00E31E79" w:rsidRDefault="000749FE">
      <w:pPr>
        <w:pStyle w:val="Heading3"/>
        <w:spacing w:after="35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pStyle w:val="Heading2"/>
        <w:spacing w:after="176" w:line="259" w:lineRule="auto"/>
        <w:ind w:left="703"/>
      </w:pPr>
      <w:r>
        <w:rPr>
          <w:u w:val="single" w:color="000000"/>
        </w:rPr>
        <w:t>2.2 Физикальное обследование</w:t>
      </w:r>
      <w:r>
        <w:t xml:space="preserve"> </w:t>
      </w:r>
    </w:p>
    <w:p w:rsidR="00E31E79" w:rsidRDefault="000749FE">
      <w:pPr>
        <w:spacing w:after="39" w:line="371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делеции 22-</w:t>
      </w:r>
      <w:r>
        <w:t xml:space="preserve">й хромосомы проводить полный физикальный осмотр с целью верификации диагноза, оценки тяжести состояния [1, 2, 3, 4, 7, 11, 13, 15].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after="140" w:line="387" w:lineRule="auto"/>
        <w:ind w:left="0" w:firstLine="708"/>
      </w:pPr>
      <w:r>
        <w:t xml:space="preserve"> </w:t>
      </w:r>
      <w:r>
        <w:rPr>
          <w:b/>
        </w:rPr>
        <w:t>Комментарии:</w:t>
      </w:r>
      <w:r>
        <w:t xml:space="preserve"> </w:t>
      </w:r>
      <w:r>
        <w:rPr>
          <w:i/>
        </w:rPr>
        <w:t>Физическое развитие бо</w:t>
      </w:r>
      <w:r>
        <w:rPr>
          <w:i/>
        </w:rPr>
        <w:t>льшинства пациентов низкое и дисгармоничное по весу. Лицевой дисморфизм и другие стигмы дисэмбриогенеза широко вариабельны и не являются патогномоничными, однако чаще других признаков обращают на себя внимание глазной гипертелоризм, бульбообразный кончик н</w:t>
      </w:r>
      <w:r>
        <w:rPr>
          <w:i/>
        </w:rPr>
        <w:t>оса и низко посаженные и\ или деформированные ушные раковины. Могут проявляться признаки дыхательной и сердечной недостаточности. Так же могут встречаться пороки развития дыхательной, пищеварительной, костно-мышечной и других систем. Задержка умственного и</w:t>
      </w:r>
      <w:r>
        <w:rPr>
          <w:i/>
        </w:rPr>
        <w:t xml:space="preserve"> речевого развития встречается у подавляющего числа пациентов с данным синдромом.</w:t>
      </w:r>
      <w:r>
        <w:t xml:space="preserve"> </w:t>
      </w:r>
    </w:p>
    <w:p w:rsidR="00E31E79" w:rsidRDefault="000749FE">
      <w:pPr>
        <w:pStyle w:val="Heading2"/>
        <w:spacing w:after="176" w:line="259" w:lineRule="auto"/>
        <w:ind w:left="703"/>
      </w:pPr>
      <w:r>
        <w:rPr>
          <w:u w:val="single" w:color="000000"/>
        </w:rPr>
        <w:t>2.3 Лабораторная диагностика</w:t>
      </w:r>
      <w:r>
        <w:t xml:space="preserve"> </w:t>
      </w:r>
    </w:p>
    <w:p w:rsidR="00E31E79" w:rsidRDefault="000749FE">
      <w:pPr>
        <w:spacing w:line="396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делеции 22-й хромосомы проводить клинический анализ крови с лейкоцитарной формулой, под</w:t>
      </w:r>
      <w:r>
        <w:t xml:space="preserve">счетом тромбоцитов для оценки лимфопении [3, 4].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line="396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делеции 22-й хромосомы проводить исследование уровня ионизирова</w:t>
      </w:r>
      <w:r>
        <w:t xml:space="preserve">нного кальция, паратиреоидного гормона для оценки степени гипопаратиреоза [14].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line="395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делеции 22-й хромосомы проводить</w:t>
      </w:r>
      <w:r>
        <w:t xml:space="preserve"> исследование уровня гормонов щитовидной железы (ТТГ и Т4 свободный) для оценки степени гипо- и гипертиреоза [14].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line="394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</w:t>
      </w:r>
      <w:r>
        <w:t>ом делеции 22-й хромосомы проводить исследование уровней сывороточных иммуноглобулинов IgA, IgM, IgG и оценку клеточного иммунитета (иммунофенотипирование лимфоцитов), включая определение количества наивных Т-лимфоцитов для оценки выраженности иммунодефици</w:t>
      </w:r>
      <w:r>
        <w:t xml:space="preserve">та [1, 12, 18].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after="31" w:line="387" w:lineRule="auto"/>
        <w:ind w:left="0" w:firstLine="708"/>
      </w:pPr>
      <w:r>
        <w:rPr>
          <w:b/>
        </w:rPr>
        <w:t>Комментарии:</w:t>
      </w:r>
      <w:r>
        <w:t xml:space="preserve"> </w:t>
      </w:r>
      <w:r>
        <w:rPr>
          <w:i/>
        </w:rPr>
        <w:t>У пациентов с синдромом делеции 22-й хромосомы может</w:t>
      </w:r>
      <w:r>
        <w:t xml:space="preserve"> </w:t>
      </w:r>
      <w:r>
        <w:rPr>
          <w:i/>
        </w:rPr>
        <w:t>отмечаться лимфопения, выраженность которой может варьировать. Характерно снижение сод</w:t>
      </w:r>
      <w:r>
        <w:rPr>
          <w:i/>
        </w:rPr>
        <w:t>ержания различных субпопуляций Т-клеток.  Содержание иммуноглобулинов варьирует от выраженной гипогаммаглобулинемии до нормальных количественных значений.   Общее количество CD3+ Т-клеток может быть снижено или в норме, однако с   соотношение наивных Т-кле</w:t>
      </w:r>
      <w:r>
        <w:rPr>
          <w:i/>
        </w:rPr>
        <w:t xml:space="preserve">ток / Т-клеток памяти понижено. Нормальное количество Т-лимфоцитов иногда не коррелирует с их нормальной функцией и требует дополнительного обследования – определения ответа на митогены и антигены.  </w:t>
      </w:r>
    </w:p>
    <w:p w:rsidR="00E31E79" w:rsidRDefault="000749FE">
      <w:pPr>
        <w:spacing w:line="395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</w:t>
      </w:r>
      <w:r>
        <w:t xml:space="preserve">делеции 22-й хромосомы проводить исследование митогенного ответа для оценки Т-клеточного пролиферативного ответа на воздействие антигенов [7, 18]. </w:t>
      </w:r>
    </w:p>
    <w:p w:rsidR="00E31E79" w:rsidRDefault="000749FE">
      <w:pPr>
        <w:pStyle w:val="Heading3"/>
        <w:spacing w:after="102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after="29" w:line="387" w:lineRule="auto"/>
        <w:ind w:left="0" w:firstLine="708"/>
      </w:pPr>
      <w:r>
        <w:rPr>
          <w:b/>
        </w:rPr>
        <w:t xml:space="preserve">Комментарии: </w:t>
      </w:r>
      <w:r>
        <w:rPr>
          <w:i/>
        </w:rPr>
        <w:t>При выраженной гипоплазии тимуса ответ лимфоцитов после стимуляции митогеном отсутствует или снижен.</w:t>
      </w:r>
      <w:r>
        <w:rPr>
          <w:b/>
        </w:rPr>
        <w:t xml:space="preserve"> </w:t>
      </w:r>
    </w:p>
    <w:p w:rsidR="00E31E79" w:rsidRDefault="000749FE">
      <w:pPr>
        <w:spacing w:line="395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делеции 22-й хромосомы проводить исследование показателей специфических антител (к соответствующим</w:t>
      </w:r>
      <w:r>
        <w:t xml:space="preserve"> возбудителям), если ребенок или взрослый вакцинирован, для оценки качества специфического ответа на антигены (оценка специфического иммунного ответа) [11, 12].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after="212" w:line="387" w:lineRule="auto"/>
        <w:ind w:left="0" w:firstLine="708"/>
      </w:pPr>
      <w:r>
        <w:rPr>
          <w:b/>
        </w:rPr>
        <w:t>Коммент</w:t>
      </w:r>
      <w:r>
        <w:rPr>
          <w:b/>
        </w:rPr>
        <w:t>арии:</w:t>
      </w:r>
      <w:r>
        <w:t xml:space="preserve"> </w:t>
      </w:r>
      <w:r>
        <w:rPr>
          <w:i/>
        </w:rPr>
        <w:t>Содержание сывороточных иммуноглобулинов может быть не нарушено, однако ответ на иммунизацию часто снижен.</w:t>
      </w:r>
      <w:r>
        <w:t xml:space="preserve"> </w:t>
      </w:r>
    </w:p>
    <w:p w:rsidR="00E31E79" w:rsidRDefault="000749FE">
      <w:pPr>
        <w:pStyle w:val="Heading2"/>
        <w:spacing w:after="176" w:line="259" w:lineRule="auto"/>
        <w:ind w:left="703"/>
      </w:pPr>
      <w:r>
        <w:rPr>
          <w:u w:val="single" w:color="000000"/>
        </w:rPr>
        <w:t>2.4 Инструментальная диагностика</w:t>
      </w:r>
      <w:r>
        <w:t xml:space="preserve"> </w:t>
      </w:r>
    </w:p>
    <w:p w:rsidR="00E31E79" w:rsidRDefault="000749FE">
      <w:pPr>
        <w:spacing w:line="388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делеции 22-й хромосомы проводить исследование ЭКГ </w:t>
      </w:r>
      <w:r>
        <w:t>для оценки электрической активности сердца [3, 13].</w:t>
      </w:r>
      <w:r>
        <w:rPr>
          <w:b/>
        </w:rPr>
        <w:t xml:space="preserve">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after="182" w:line="259" w:lineRule="auto"/>
        <w:ind w:left="715"/>
      </w:pPr>
      <w:r>
        <w:rPr>
          <w:b/>
        </w:rPr>
        <w:t xml:space="preserve">Комментарии: </w:t>
      </w:r>
      <w:r>
        <w:rPr>
          <w:i/>
        </w:rPr>
        <w:t>для пациентов характерны пороки сердца.</w:t>
      </w:r>
      <w:r>
        <w:rPr>
          <w:b/>
        </w:rPr>
        <w:t xml:space="preserve"> </w:t>
      </w:r>
    </w:p>
    <w:p w:rsidR="00E31E79" w:rsidRDefault="000749FE">
      <w:pPr>
        <w:spacing w:line="400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делеци</w:t>
      </w:r>
      <w:r>
        <w:t xml:space="preserve">и 22-й хромосомы проводить исследование ЭхоКГ с целью верификации порока сердца </w:t>
      </w:r>
    </w:p>
    <w:p w:rsidR="00E31E79" w:rsidRDefault="000749FE">
      <w:pPr>
        <w:spacing w:after="165"/>
        <w:ind w:left="730"/>
      </w:pPr>
      <w:r>
        <w:t>[3, 4, 7, 13].</w:t>
      </w:r>
      <w:r>
        <w:rPr>
          <w:b/>
        </w:rPr>
        <w:t xml:space="preserve">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line="394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делеции 22-й хро</w:t>
      </w:r>
      <w:r>
        <w:t>мосомы проводить исследование УЗИ органов мочевыделительной системы</w:t>
      </w:r>
      <w:r>
        <w:rPr>
          <w:b/>
        </w:rPr>
        <w:t xml:space="preserve"> </w:t>
      </w:r>
      <w:r>
        <w:t xml:space="preserve">для верификации пороков развития [12, 18].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line="392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</w:t>
      </w:r>
      <w:r>
        <w:t xml:space="preserve">елеции 22-й хромосомы выполнять назофарингеальную эндоскопию для выявления пороков лицевого скелета [10, 12].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line="397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</w:t>
      </w:r>
      <w:r>
        <w:t xml:space="preserve">синдром делеции 22-й хромосомы выполнять аудиометрию для выявления снижения слуха [4].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line="396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делеции 22-й хромосомы пр</w:t>
      </w:r>
      <w:r>
        <w:t xml:space="preserve">оводить офтальмологическое обследование (визуальный осмотр, в том числе с помощью щелевой лампы, определение остроты зрения) для оценки снижения зрения, пороков развития [3, 4].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>достоверности доказательс</w:t>
      </w:r>
      <w:r>
        <w:t xml:space="preserve">тв – 4)  </w:t>
      </w:r>
    </w:p>
    <w:p w:rsidR="00E31E79" w:rsidRDefault="000749FE">
      <w:pPr>
        <w:spacing w:line="388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подозрением на синдром делеции 22-й хромосомы проводить оценку физического развития с целью выявления задержки развития [1, 3, 18].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</w:t>
      </w:r>
      <w:r>
        <w:t xml:space="preserve">– 4)  </w:t>
      </w:r>
    </w:p>
    <w:p w:rsidR="00E31E79" w:rsidRDefault="000749FE">
      <w:pPr>
        <w:spacing w:line="397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пациентам с подозрением на синдром делеции 22-й хромосомы, в зависимости от клинических проявлений, проведение МРТ/КТ по показаниям для выявление хронических очагов инфекции, пороков развития [12].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>рекоменда</w:t>
      </w:r>
      <w:r>
        <w:t xml:space="preserve">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line="397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пациентам с подозрением на синдром делеции 22-й хромосомы проведение ангиографии при подозрении на пороки развития сосудов [12]. </w:t>
      </w:r>
    </w:p>
    <w:p w:rsidR="00E31E79" w:rsidRDefault="000749FE">
      <w:pPr>
        <w:pStyle w:val="Heading3"/>
        <w:spacing w:after="348"/>
        <w:ind w:left="703"/>
      </w:pPr>
      <w:r>
        <w:rPr>
          <w:b w:val="0"/>
        </w:rPr>
        <w:t xml:space="preserve"> </w:t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pStyle w:val="Heading2"/>
        <w:spacing w:after="176" w:line="259" w:lineRule="auto"/>
        <w:ind w:left="703"/>
      </w:pPr>
      <w:r>
        <w:rPr>
          <w:u w:val="single" w:color="000000"/>
        </w:rPr>
        <w:t>2.5 Иная диагностика</w:t>
      </w:r>
      <w:r>
        <w:t xml:space="preserve"> </w:t>
      </w:r>
    </w:p>
    <w:p w:rsidR="00E31E79" w:rsidRDefault="000749FE">
      <w:pPr>
        <w:spacing w:line="395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Всем пациентам с подозрением на синдром делеции 22-й хромосомы</w:t>
      </w:r>
      <w:r>
        <w:rPr>
          <w:b/>
        </w:rPr>
        <w:t xml:space="preserve"> рекомендуется </w:t>
      </w:r>
      <w:r>
        <w:t>проведение флюоресцентной гибридизации in situ (FISH) с ДНКзондом TU</w:t>
      </w:r>
      <w:r>
        <w:t xml:space="preserve">PLE 1 (HIRA) с целью верификации генетического дефекта [5, 7, 9, 10, </w:t>
      </w:r>
    </w:p>
    <w:p w:rsidR="00E31E79" w:rsidRDefault="000749FE">
      <w:pPr>
        <w:spacing w:after="165"/>
        <w:ind w:left="730"/>
      </w:pPr>
      <w:r>
        <w:t xml:space="preserve">20]. </w:t>
      </w:r>
      <w:r>
        <w:rPr>
          <w:b/>
        </w:rPr>
        <w:t xml:space="preserve">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after="33" w:line="387" w:lineRule="auto"/>
        <w:ind w:left="0" w:firstLine="708"/>
      </w:pPr>
      <w:r>
        <w:rPr>
          <w:b/>
        </w:rPr>
        <w:t>Комментарии:</w:t>
      </w:r>
      <w:r>
        <w:rPr>
          <w:i/>
        </w:rPr>
        <w:t xml:space="preserve"> некоторые «атипичные» делеции не попадают в регион, определяемый методом FISH-г</w:t>
      </w:r>
      <w:r>
        <w:rPr>
          <w:i/>
        </w:rPr>
        <w:t>ибридизации. В этих случаях необходимо использовать ХМА</w:t>
      </w:r>
      <w:r>
        <w:t xml:space="preserve"> </w:t>
      </w:r>
      <w:r>
        <w:rPr>
          <w:i/>
        </w:rPr>
        <w:t>(сравнительную геномную гибридизацию (aCGH)) [2].</w:t>
      </w:r>
      <w:r>
        <w:rPr>
          <w:b/>
          <w:i/>
        </w:rPr>
        <w:t xml:space="preserve"> </w:t>
      </w:r>
    </w:p>
    <w:p w:rsidR="00E31E79" w:rsidRDefault="000749FE">
      <w:pPr>
        <w:spacing w:line="396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Пациентам с подозрением на синдром делеции 22-й хромосомы</w:t>
      </w:r>
      <w:r>
        <w:rPr>
          <w:b/>
        </w:rPr>
        <w:t xml:space="preserve"> </w:t>
      </w:r>
      <w:r>
        <w:t>и отрицательным результатом при использовании метода FISH-гибридизации</w:t>
      </w:r>
      <w:r>
        <w:rPr>
          <w:b/>
        </w:rPr>
        <w:t xml:space="preserve"> рекомендуется </w:t>
      </w:r>
      <w:r>
        <w:t>пров</w:t>
      </w:r>
      <w:r>
        <w:t xml:space="preserve">едение хромосомного микроматричного анализа (ХМА) или сравнительная геномная гибридизация (aCGH) с целью верификации генетического дефекта. </w:t>
      </w:r>
    </w:p>
    <w:p w:rsidR="00E31E79" w:rsidRDefault="000749FE">
      <w:pPr>
        <w:spacing w:after="165"/>
        <w:ind w:left="730"/>
      </w:pPr>
      <w:r>
        <w:t xml:space="preserve">Также возможно использование вместо метода FISH-гибридизации [2, 10, 20]. </w:t>
      </w:r>
      <w:r>
        <w:rPr>
          <w:b/>
        </w:rPr>
        <w:t xml:space="preserve">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line="394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Всем пациентам с подозрением на синдром делеции 22-й хромосомы</w:t>
      </w:r>
      <w:r>
        <w:rPr>
          <w:b/>
        </w:rPr>
        <w:t xml:space="preserve"> рекомендуется </w:t>
      </w:r>
      <w:r>
        <w:t>проведение мультиплексной лигазной амплификации (MLPA) с целью верификации генетического д</w:t>
      </w:r>
      <w:r>
        <w:t xml:space="preserve">ефекта [2, 7]. </w:t>
      </w:r>
      <w:r>
        <w:rPr>
          <w:b/>
        </w:rPr>
        <w:t xml:space="preserve">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line="394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Пациентам с подозрением на синдром делеции 22-й хромосомы </w:t>
      </w:r>
      <w:r>
        <w:rPr>
          <w:b/>
        </w:rPr>
        <w:t>рекомендуется</w:t>
      </w:r>
      <w:r>
        <w:t xml:space="preserve"> проведение,</w:t>
      </w:r>
      <w:r>
        <w:rPr>
          <w:b/>
        </w:rPr>
        <w:t xml:space="preserve"> </w:t>
      </w:r>
      <w:r>
        <w:t xml:space="preserve">при отсутствии положительного результата вышеописанными методами, </w:t>
      </w:r>
      <w:r>
        <w:t xml:space="preserve">метода прямого секвенирования по Сенгеру гена </w:t>
      </w:r>
      <w:r>
        <w:rPr>
          <w:i/>
        </w:rPr>
        <w:t>TBX1</w:t>
      </w:r>
      <w:r>
        <w:t xml:space="preserve"> или определение делеции/дупликации в гене </w:t>
      </w:r>
      <w:r>
        <w:rPr>
          <w:i/>
        </w:rPr>
        <w:t>TBX1</w:t>
      </w:r>
      <w:r>
        <w:t xml:space="preserve"> методом MLPA</w:t>
      </w:r>
      <w:r>
        <w:rPr>
          <w:b/>
        </w:rPr>
        <w:t xml:space="preserve"> </w:t>
      </w:r>
      <w:r>
        <w:t>с целью верификации генетического дефекта [8].</w:t>
      </w:r>
      <w:r>
        <w:rPr>
          <w:b/>
        </w:rPr>
        <w:t xml:space="preserve"> 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line="392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</w:t>
      </w:r>
      <w:r>
        <w:rPr>
          <w:b/>
        </w:rPr>
        <w:t>дуется</w:t>
      </w:r>
      <w:r>
        <w:t xml:space="preserve"> всем пациентам с подозрением на синдром делеции 22-й хромосомы консультации специалистов, для оценки тяжести состояния и сопутствующей патологии [1, 4, 11].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 </w:t>
      </w:r>
    </w:p>
    <w:p w:rsidR="00E31E79" w:rsidRDefault="000749FE">
      <w:pPr>
        <w:spacing w:after="154"/>
        <w:ind w:left="1078"/>
        <w:jc w:val="left"/>
      </w:pPr>
      <w:r>
        <w:rPr>
          <w:b/>
        </w:rPr>
        <w:t>Комм</w:t>
      </w:r>
      <w:r>
        <w:rPr>
          <w:b/>
        </w:rPr>
        <w:t xml:space="preserve">ентарии: </w:t>
      </w:r>
    </w:p>
    <w:p w:rsidR="00E31E79" w:rsidRDefault="000749FE">
      <w:pPr>
        <w:numPr>
          <w:ilvl w:val="0"/>
          <w:numId w:val="7"/>
        </w:numPr>
        <w:spacing w:after="0" w:line="417" w:lineRule="auto"/>
        <w:ind w:firstLine="0"/>
      </w:pPr>
      <w:r>
        <w:rPr>
          <w:i/>
        </w:rPr>
        <w:t xml:space="preserve">Консультация кардиолога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Консультация иммунолога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Консультация челюстно-лицевого хирурга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Консультация эндокринолога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Консультация ЛОР-врача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Консультация офтальмолога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Консультация невролога/психиатра </w:t>
      </w:r>
    </w:p>
    <w:p w:rsidR="00E31E79" w:rsidRDefault="000749FE">
      <w:pPr>
        <w:numPr>
          <w:ilvl w:val="0"/>
          <w:numId w:val="7"/>
        </w:numPr>
        <w:spacing w:after="184" w:line="259" w:lineRule="auto"/>
        <w:ind w:firstLine="0"/>
      </w:pPr>
      <w:r>
        <w:rPr>
          <w:i/>
        </w:rPr>
        <w:t xml:space="preserve">Консультация генетика </w:t>
      </w:r>
    </w:p>
    <w:p w:rsidR="00E31E79" w:rsidRDefault="000749FE">
      <w:pPr>
        <w:numPr>
          <w:ilvl w:val="0"/>
          <w:numId w:val="7"/>
        </w:numPr>
        <w:spacing w:after="570" w:line="387" w:lineRule="auto"/>
        <w:ind w:firstLine="0"/>
      </w:pPr>
      <w:r>
        <w:rPr>
          <w:i/>
        </w:rPr>
        <w:t xml:space="preserve">Консультации других специалистов по показаниям </w:t>
      </w:r>
    </w:p>
    <w:p w:rsidR="00E31E79" w:rsidRDefault="000749FE">
      <w:pPr>
        <w:pStyle w:val="Heading1"/>
        <w:spacing w:after="340"/>
        <w:ind w:right="3"/>
      </w:pPr>
      <w:r>
        <w:t xml:space="preserve">3. Лечение </w:t>
      </w:r>
    </w:p>
    <w:p w:rsidR="00E31E79" w:rsidRDefault="000749FE">
      <w:pPr>
        <w:pStyle w:val="Heading2"/>
        <w:spacing w:after="176" w:line="259" w:lineRule="auto"/>
        <w:ind w:left="703"/>
      </w:pPr>
      <w:r>
        <w:rPr>
          <w:u w:val="single" w:color="000000"/>
        </w:rPr>
        <w:t>3.1 Консервативное лечение</w:t>
      </w:r>
      <w:r>
        <w:t xml:space="preserve">  </w:t>
      </w:r>
    </w:p>
    <w:p w:rsidR="00E31E79" w:rsidRDefault="000749FE">
      <w:pPr>
        <w:spacing w:after="32" w:line="387" w:lineRule="auto"/>
        <w:ind w:left="0" w:firstLine="708"/>
      </w:pPr>
      <w:r>
        <w:rPr>
          <w:i/>
        </w:rPr>
        <w:t>Цель лечения: коррекция жизнеугрожающих морфологических дефектов, контроль за инфекционными эпизодами и компенсация иммунологических дефектов, контроль за аутоиммунным</w:t>
      </w:r>
      <w:r>
        <w:rPr>
          <w:i/>
        </w:rPr>
        <w:t xml:space="preserve">и осложнениями, обеспечение приближенных к нормальным росту и развитию ребенка, обеспечение хорошего качества жизни пациента [1, 2, 3, 4, 11, 12]. </w:t>
      </w:r>
    </w:p>
    <w:p w:rsidR="00E31E79" w:rsidRDefault="000749FE">
      <w:pPr>
        <w:spacing w:line="385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пациентам с синдромом делеции 22-й хромосомы в </w:t>
      </w:r>
      <w:r>
        <w:t xml:space="preserve">зависимости от степени выраженности иммунологического дефекта заместительная терапия ВВИГ в дозе 0,4-0,6 г\кг 1 раз в 3-4 недели. В случае снижения уровня IgG доза ВВИГ подбирается с учѐтом претрансфузионного уровня не менее 6-7 г/л. Необходим ежемесячный </w:t>
      </w:r>
      <w:r>
        <w:t xml:space="preserve">контроль претрансфузионного уровня (только тем, кто переливает ВВИГ). При нарушении специфического антителообразования и нормальном уровне IgG средняя доза для регулярного введения ВВИГ - 0.5 г/кг массы тела [1, 3, 4, 12, 21].  </w:t>
      </w:r>
    </w:p>
    <w:p w:rsidR="00E31E79" w:rsidRDefault="000749FE">
      <w:pPr>
        <w:tabs>
          <w:tab w:val="center" w:pos="1173"/>
          <w:tab w:val="center" w:pos="2843"/>
          <w:tab w:val="center" w:pos="4827"/>
          <w:tab w:val="center" w:pos="6047"/>
          <w:tab w:val="center" w:pos="6958"/>
          <w:tab w:val="right" w:pos="9359"/>
        </w:tabs>
        <w:spacing w:after="162" w:line="259" w:lineRule="auto"/>
        <w:ind w:left="0" w:right="-1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>р</w:t>
      </w:r>
      <w:r>
        <w:rPr>
          <w:b/>
        </w:rPr>
        <w:t xml:space="preserve">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E31E79" w:rsidRDefault="000749FE">
      <w:pPr>
        <w:pStyle w:val="Heading3"/>
        <w:ind w:left="10"/>
      </w:pPr>
      <w:r>
        <w:t xml:space="preserve">доказательств – 4)  </w:t>
      </w:r>
    </w:p>
    <w:p w:rsidR="00E31E79" w:rsidRDefault="000749FE">
      <w:pPr>
        <w:spacing w:after="25" w:line="383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пациентам с синдромом делеции 22-й хромосомы, в зависимости от степени выраженности иммунологического дефекта, при наличии лимфопении, выраженном снижении митогенного ответа, соп</w:t>
      </w:r>
      <w:r>
        <w:t>утствующих хронических очагах инфекции, назначение профилактической антибактериальной, противогрибковой</w:t>
      </w:r>
      <w:r>
        <w:rPr>
          <w:sz w:val="20"/>
        </w:rPr>
        <w:t xml:space="preserve"> </w:t>
      </w:r>
      <w:r>
        <w:t xml:space="preserve">терапии [3,4,11].  </w:t>
      </w:r>
    </w:p>
    <w:p w:rsidR="00E31E79" w:rsidRDefault="000749FE">
      <w:pPr>
        <w:tabs>
          <w:tab w:val="center" w:pos="1173"/>
          <w:tab w:val="center" w:pos="2843"/>
          <w:tab w:val="center" w:pos="4827"/>
          <w:tab w:val="center" w:pos="6047"/>
          <w:tab w:val="center" w:pos="6958"/>
          <w:tab w:val="right" w:pos="9359"/>
        </w:tabs>
        <w:spacing w:after="162" w:line="259" w:lineRule="auto"/>
        <w:ind w:left="0" w:right="-1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E31E79" w:rsidRDefault="000749FE">
      <w:pPr>
        <w:pStyle w:val="Heading3"/>
        <w:ind w:left="10"/>
      </w:pPr>
      <w:r>
        <w:t xml:space="preserve">доказательств – 4)  </w:t>
      </w:r>
    </w:p>
    <w:p w:rsidR="00E31E79" w:rsidRDefault="000749FE">
      <w:pPr>
        <w:spacing w:after="248" w:line="387" w:lineRule="auto"/>
        <w:ind w:left="0" w:firstLine="708"/>
      </w:pPr>
      <w:r>
        <w:rPr>
          <w:b/>
        </w:rPr>
        <w:t xml:space="preserve">Комментарии: </w:t>
      </w:r>
      <w:r>
        <w:rPr>
          <w:i/>
        </w:rPr>
        <w:t>наиболее часто используемые ан</w:t>
      </w:r>
      <w:r>
        <w:rPr>
          <w:i/>
        </w:rPr>
        <w:t>тибактериальные препараты</w:t>
      </w:r>
      <w:r>
        <w:rPr>
          <w:b/>
        </w:rPr>
        <w:t xml:space="preserve"> </w:t>
      </w:r>
      <w:r>
        <w:rPr>
          <w:i/>
        </w:rPr>
        <w:t xml:space="preserve">на весь период лимфопении в возрастных дозировках: </w:t>
      </w:r>
    </w:p>
    <w:p w:rsidR="00E31E79" w:rsidRDefault="000749FE">
      <w:pPr>
        <w:numPr>
          <w:ilvl w:val="0"/>
          <w:numId w:val="8"/>
        </w:numPr>
        <w:spacing w:after="161" w:line="259" w:lineRule="auto"/>
        <w:ind w:hanging="360"/>
      </w:pPr>
      <w:r>
        <w:rPr>
          <w:i/>
        </w:rPr>
        <w:t>Ко-тримоксазол (Сульфаметоксазол+Триметоприм)**</w:t>
      </w:r>
      <w:r>
        <w:t xml:space="preserve"> - </w:t>
      </w:r>
      <w:r>
        <w:rPr>
          <w:i/>
        </w:rPr>
        <w:t xml:space="preserve">5 мг/кг/сут в </w:t>
      </w:r>
    </w:p>
    <w:p w:rsidR="00E31E79" w:rsidRDefault="000749FE">
      <w:pPr>
        <w:spacing w:after="11" w:line="387" w:lineRule="auto"/>
        <w:ind w:left="1438"/>
      </w:pPr>
      <w:r>
        <w:rPr>
          <w:i/>
        </w:rPr>
        <w:t xml:space="preserve">два/три приема – 3 раза в неделю (ограничение в применении у детей до 3 лет). </w:t>
      </w:r>
    </w:p>
    <w:p w:rsidR="00E31E79" w:rsidRDefault="000749FE">
      <w:pPr>
        <w:numPr>
          <w:ilvl w:val="0"/>
          <w:numId w:val="8"/>
        </w:numPr>
        <w:spacing w:after="140" w:line="387" w:lineRule="auto"/>
        <w:ind w:hanging="360"/>
      </w:pPr>
      <w:r>
        <w:rPr>
          <w:i/>
        </w:rPr>
        <w:t>Азитромицин** 10 мг/кг/сут 1 раз в</w:t>
      </w:r>
      <w:r>
        <w:rPr>
          <w:i/>
        </w:rPr>
        <w:t xml:space="preserve"> день – 3 раза в неделю (ограничение в применении у детей до 12 лет и массой тела менее 45 кг) </w:t>
      </w:r>
    </w:p>
    <w:p w:rsidR="00E31E79" w:rsidRDefault="000749FE">
      <w:pPr>
        <w:numPr>
          <w:ilvl w:val="0"/>
          <w:numId w:val="8"/>
        </w:numPr>
        <w:spacing w:after="9" w:line="387" w:lineRule="auto"/>
        <w:ind w:hanging="360"/>
      </w:pPr>
      <w:r>
        <w:rPr>
          <w:i/>
        </w:rPr>
        <w:t xml:space="preserve">Амоксициллин+клавулановая кислота** в дозе 40 мг/кг/сутки в два приема - ежедневно;  </w:t>
      </w:r>
    </w:p>
    <w:p w:rsidR="00E31E79" w:rsidRDefault="000749FE">
      <w:pPr>
        <w:spacing w:after="398" w:line="259" w:lineRule="auto"/>
      </w:pPr>
      <w:r>
        <w:rPr>
          <w:i/>
        </w:rPr>
        <w:t>Противогрибковая терапия</w:t>
      </w:r>
      <w:r>
        <w:rPr>
          <w:b/>
          <w:i/>
        </w:rPr>
        <w:t xml:space="preserve">: </w:t>
      </w:r>
    </w:p>
    <w:p w:rsidR="00E31E79" w:rsidRDefault="000749FE">
      <w:pPr>
        <w:spacing w:after="179" w:line="259" w:lineRule="auto"/>
        <w:ind w:left="1078"/>
      </w:pPr>
      <w:r>
        <w:rPr>
          <w:i/>
        </w:rPr>
        <w:t>1.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 xml:space="preserve">Флуконазол** 6 мг/кг/сут х 1 раз в день. </w:t>
      </w:r>
    </w:p>
    <w:p w:rsidR="00E31E79" w:rsidRDefault="000749FE">
      <w:pPr>
        <w:spacing w:line="395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пациентам с синдромом делеции 22 хромосомы при наличии гипопаратиреоза назначение кальция хлорида в возрастных дозировках для коррекции уровня электролитов [4, 11]</w:t>
      </w:r>
      <w:r>
        <w:rPr>
          <w:b/>
        </w:rPr>
        <w:t xml:space="preserve">. </w:t>
      </w:r>
      <w:r>
        <w:rPr>
          <w:b/>
          <w:sz w:val="20"/>
        </w:rPr>
        <w:t xml:space="preserve"> </w:t>
      </w:r>
      <w:r>
        <w:rPr>
          <w:b/>
        </w:rPr>
        <w:t xml:space="preserve"> </w:t>
      </w:r>
    </w:p>
    <w:p w:rsidR="00E31E79" w:rsidRDefault="000749FE">
      <w:pPr>
        <w:tabs>
          <w:tab w:val="center" w:pos="1173"/>
          <w:tab w:val="center" w:pos="2843"/>
          <w:tab w:val="center" w:pos="4827"/>
          <w:tab w:val="center" w:pos="6047"/>
          <w:tab w:val="center" w:pos="6958"/>
          <w:tab w:val="right" w:pos="9359"/>
        </w:tabs>
        <w:spacing w:after="162" w:line="259" w:lineRule="auto"/>
        <w:ind w:left="0" w:right="-1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E31E79" w:rsidRDefault="000749FE">
      <w:pPr>
        <w:pStyle w:val="Heading3"/>
        <w:ind w:left="10"/>
      </w:pPr>
      <w:r>
        <w:t>доказа</w:t>
      </w:r>
      <w:r>
        <w:t xml:space="preserve">тельств – 4)  </w:t>
      </w:r>
    </w:p>
    <w:p w:rsidR="00E31E79" w:rsidRDefault="000749FE">
      <w:pPr>
        <w:spacing w:after="33" w:line="387" w:lineRule="auto"/>
        <w:ind w:left="0" w:firstLine="708"/>
      </w:pPr>
      <w:r>
        <w:rPr>
          <w:b/>
        </w:rPr>
        <w:t xml:space="preserve">Комментарии: </w:t>
      </w:r>
      <w:r>
        <w:rPr>
          <w:i/>
        </w:rPr>
        <w:t>У части детей с метаболическими и электролитными нарушениями, преимущественно в виде гипокальциемии, вплоть до гипокальциемических судорог, лечение включает заместительную терапию препаратами кальция, в некоторых случаях витамин</w:t>
      </w:r>
      <w:r>
        <w:rPr>
          <w:i/>
        </w:rPr>
        <w:t xml:space="preserve">а D. Рекомендовано мониторирование уровня кальция в течение жизни с последующей коррекцией доз препаратов [1,2,4,11,12]. </w:t>
      </w:r>
    </w:p>
    <w:p w:rsidR="00E31E79" w:rsidRDefault="000749FE">
      <w:pPr>
        <w:spacing w:line="397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пациентам с синдромом делеции 22-й хромосомы: при возникновении аутоиммунных осложнений проведение терапии в соответст</w:t>
      </w:r>
      <w:r>
        <w:t xml:space="preserve">вии с соответствующими протоколами аутоиммунных заболеваний [1,6,12].  </w:t>
      </w:r>
    </w:p>
    <w:p w:rsidR="00E31E79" w:rsidRDefault="000749FE">
      <w:pPr>
        <w:tabs>
          <w:tab w:val="center" w:pos="1173"/>
          <w:tab w:val="center" w:pos="2843"/>
          <w:tab w:val="center" w:pos="4827"/>
          <w:tab w:val="center" w:pos="6047"/>
          <w:tab w:val="center" w:pos="6958"/>
          <w:tab w:val="right" w:pos="9359"/>
        </w:tabs>
        <w:spacing w:after="162" w:line="259" w:lineRule="auto"/>
        <w:ind w:left="0" w:right="-1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E31E79" w:rsidRDefault="000749FE">
      <w:pPr>
        <w:pStyle w:val="Heading3"/>
        <w:ind w:left="10"/>
      </w:pPr>
      <w:r>
        <w:t xml:space="preserve">доказательств – 4)  </w:t>
      </w:r>
    </w:p>
    <w:p w:rsidR="00E31E79" w:rsidRDefault="000749FE">
      <w:pPr>
        <w:spacing w:after="37" w:line="375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пациентам с синдромом делеции 22-й хромосомы: при отсутствии или незначительном</w:t>
      </w:r>
      <w:r>
        <w:t xml:space="preserve"> иммунологическом дефекте не проводить специфическую терапию, проводится контроль инфекционных заболеваний [1, 4, 6, 12].</w:t>
      </w:r>
      <w:r>
        <w:rPr>
          <w:i/>
        </w:rPr>
        <w:t xml:space="preserve"> </w:t>
      </w:r>
    </w:p>
    <w:p w:rsidR="00E31E79" w:rsidRDefault="000749FE">
      <w:pPr>
        <w:tabs>
          <w:tab w:val="center" w:pos="1173"/>
          <w:tab w:val="center" w:pos="2843"/>
          <w:tab w:val="center" w:pos="4827"/>
          <w:tab w:val="center" w:pos="6047"/>
          <w:tab w:val="center" w:pos="6958"/>
          <w:tab w:val="right" w:pos="9359"/>
        </w:tabs>
        <w:spacing w:after="162" w:line="259" w:lineRule="auto"/>
        <w:ind w:left="0" w:right="-1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E31E79" w:rsidRDefault="000749FE">
      <w:pPr>
        <w:pStyle w:val="Heading3"/>
        <w:spacing w:after="350"/>
        <w:ind w:left="10"/>
      </w:pPr>
      <w:r>
        <w:t xml:space="preserve">доказательств – 4)  </w:t>
      </w:r>
    </w:p>
    <w:p w:rsidR="00E31E79" w:rsidRDefault="000749FE">
      <w:pPr>
        <w:pStyle w:val="Heading2"/>
        <w:spacing w:after="176" w:line="259" w:lineRule="auto"/>
        <w:ind w:left="10"/>
      </w:pPr>
      <w:r>
        <w:rPr>
          <w:u w:val="single" w:color="000000"/>
        </w:rPr>
        <w:t>3.2   Хирургическое лечение</w:t>
      </w:r>
      <w:r>
        <w:t xml:space="preserve">  </w:t>
      </w:r>
    </w:p>
    <w:p w:rsidR="00E31E79" w:rsidRDefault="000749FE">
      <w:pPr>
        <w:spacing w:after="0" w:line="388" w:lineRule="auto"/>
        <w:jc w:val="center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</w:t>
      </w:r>
      <w:r>
        <w:rPr>
          <w:b/>
        </w:rPr>
        <w:t>я</w:t>
      </w:r>
      <w:r>
        <w:t xml:space="preserve"> пациентам с синдромом делеции 22-й хромосомы в зависимости от степени тяжести пороков сердца хирургическая коррекция [1, 2, 4, 10, 11, 23, 25]. </w:t>
      </w:r>
      <w:r>
        <w:rPr>
          <w:b/>
        </w:rPr>
        <w:t xml:space="preserve"> </w:t>
      </w:r>
    </w:p>
    <w:p w:rsidR="00E31E79" w:rsidRDefault="000749FE">
      <w:pPr>
        <w:tabs>
          <w:tab w:val="center" w:pos="1173"/>
          <w:tab w:val="center" w:pos="2843"/>
          <w:tab w:val="center" w:pos="4827"/>
          <w:tab w:val="center" w:pos="6047"/>
          <w:tab w:val="center" w:pos="6958"/>
          <w:tab w:val="right" w:pos="9359"/>
        </w:tabs>
        <w:spacing w:after="162" w:line="259" w:lineRule="auto"/>
        <w:ind w:left="0" w:right="-1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E31E79" w:rsidRDefault="000749FE">
      <w:pPr>
        <w:pStyle w:val="Heading3"/>
        <w:ind w:left="10"/>
      </w:pPr>
      <w:r>
        <w:t xml:space="preserve">доказательств – 4)  </w:t>
      </w:r>
    </w:p>
    <w:p w:rsidR="00E31E79" w:rsidRDefault="000749FE">
      <w:pPr>
        <w:spacing w:after="140" w:line="387" w:lineRule="auto"/>
        <w:ind w:left="0" w:firstLine="708"/>
      </w:pPr>
      <w:r>
        <w:rPr>
          <w:b/>
        </w:rPr>
        <w:t>Комментарии:</w:t>
      </w:r>
      <w:r>
        <w:t xml:space="preserve"> </w:t>
      </w:r>
      <w:r>
        <w:rPr>
          <w:i/>
        </w:rPr>
        <w:t xml:space="preserve">Как правило, самый тяжелый период жизни для детей с синдромом Ди Георга обусловлен степенью поражения сердечно-сосудистой системы. Коррекция пороков сердца проводится по соответствующим клиническим рекомендациям. </w:t>
      </w:r>
    </w:p>
    <w:p w:rsidR="00E31E79" w:rsidRDefault="00E31E79">
      <w:pPr>
        <w:sectPr w:rsidR="00E31E79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1906" w:h="16838"/>
          <w:pgMar w:top="1181" w:right="845" w:bottom="1287" w:left="1702" w:header="720" w:footer="714" w:gutter="0"/>
          <w:cols w:space="720"/>
        </w:sectPr>
      </w:pPr>
    </w:p>
    <w:p w:rsidR="00E31E79" w:rsidRDefault="000749FE">
      <w:pPr>
        <w:spacing w:line="387" w:lineRule="auto"/>
        <w:ind w:left="730"/>
      </w:pPr>
      <w:r>
        <w:rPr>
          <w:b/>
        </w:rPr>
        <w:t xml:space="preserve"> Рекомендуется</w:t>
      </w:r>
      <w:r>
        <w:t xml:space="preserve"> пациентам с синдромом делеции 22-й хромосомы, в зависимости от степени выраженности пороков лицевого скелета и гортани, хирургическая коррекция [1, 4, 10, 24, 25].</w:t>
      </w:r>
      <w:r>
        <w:rPr>
          <w:b/>
        </w:rPr>
        <w:t xml:space="preserve">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3)  </w:t>
      </w:r>
    </w:p>
    <w:p w:rsidR="00E31E79" w:rsidRDefault="000749FE">
      <w:pPr>
        <w:spacing w:after="209" w:line="387" w:lineRule="auto"/>
        <w:ind w:left="715"/>
      </w:pPr>
      <w:r>
        <w:rPr>
          <w:b/>
        </w:rPr>
        <w:t>Комментарии:</w:t>
      </w:r>
      <w:r>
        <w:t xml:space="preserve"> </w:t>
      </w:r>
      <w:r>
        <w:rPr>
          <w:i/>
        </w:rPr>
        <w:t xml:space="preserve">Наиболее часто коррекции подлежит расщепление нѐба и верхней губы, лечение которых необходимо проводить в максимально короткие сроки </w:t>
      </w:r>
      <w:r>
        <w:rPr>
          <w:i/>
        </w:rPr>
        <w:t xml:space="preserve">с целью профилактики аспирации, провоцирующей развитие инфекций. Коррекция пороков лицевого скелета проводится по соответствующим клиническим рекомендациям.  </w:t>
      </w:r>
    </w:p>
    <w:p w:rsidR="00E31E79" w:rsidRDefault="000749FE">
      <w:pPr>
        <w:pStyle w:val="Heading2"/>
        <w:spacing w:after="176" w:line="259" w:lineRule="auto"/>
        <w:ind w:left="703"/>
      </w:pPr>
      <w:r>
        <w:rPr>
          <w:u w:val="single" w:color="000000"/>
        </w:rPr>
        <w:t>3.3 Иное лечение</w:t>
      </w:r>
      <w:r>
        <w:t xml:space="preserve"> </w:t>
      </w:r>
    </w:p>
    <w:p w:rsidR="00E31E79" w:rsidRDefault="000749FE">
      <w:pPr>
        <w:spacing w:after="35" w:line="377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пациентам с синдромом делеции 22-й хромосомы при наличии выраже</w:t>
      </w:r>
      <w:r>
        <w:t>нного Т-клеточного дефекта у пациентов с полным СДГ, фенотипически похожим на тяжѐлую комбинированную иммунную недостаточность, с выраженными иммунологическими нарушениями и высоким риском летального исхода в детском возрасте проведение трансплантация тиму</w:t>
      </w:r>
      <w:r>
        <w:t xml:space="preserve">са [26-30]. 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В </w:t>
      </w:r>
      <w:r>
        <w:tab/>
        <w:t xml:space="preserve">(уровень </w:t>
      </w:r>
      <w:r>
        <w:tab/>
        <w:t>достоверности доказательств – 2)</w:t>
      </w:r>
      <w:r>
        <w:rPr>
          <w:b w:val="0"/>
        </w:rPr>
        <w:t xml:space="preserve"> </w:t>
      </w:r>
    </w:p>
    <w:p w:rsidR="00E31E79" w:rsidRDefault="000749FE">
      <w:pPr>
        <w:spacing w:line="396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пациентам до 6 месячного возраста с синдромом делеции 22-й хромосомы при проблемах с кормлением и глотанием вследствие дефекта велофарингеал</w:t>
      </w:r>
      <w:r>
        <w:t>ьной недостаточности установление гастростомы</w:t>
      </w:r>
      <w:r>
        <w:rPr>
          <w:b/>
        </w:rPr>
        <w:t xml:space="preserve"> </w:t>
      </w:r>
      <w:r>
        <w:t xml:space="preserve">[11, 24]. 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</w:t>
      </w:r>
    </w:p>
    <w:p w:rsidR="00E31E79" w:rsidRDefault="000749FE">
      <w:pPr>
        <w:spacing w:line="392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пациентам дошкольного возраста с синдромом делеции 22-й хромосомы</w:t>
      </w:r>
      <w:r>
        <w:rPr>
          <w:b/>
        </w:rPr>
        <w:t xml:space="preserve"> </w:t>
      </w:r>
      <w:r>
        <w:t>при задержке развития речи тер</w:t>
      </w:r>
      <w:r>
        <w:t xml:space="preserve">апия и сопровождение невролога, логопеда, психиатра [12, 17]. </w:t>
      </w:r>
      <w:r>
        <w:rPr>
          <w:b/>
        </w:rPr>
        <w:t xml:space="preserve">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3) </w:t>
      </w:r>
    </w:p>
    <w:p w:rsidR="00E31E79" w:rsidRDefault="000749FE">
      <w:pPr>
        <w:spacing w:after="140" w:line="387" w:lineRule="auto"/>
        <w:ind w:left="0" w:firstLine="708"/>
      </w:pPr>
      <w:r>
        <w:rPr>
          <w:b/>
        </w:rPr>
        <w:t xml:space="preserve">Комментарии: </w:t>
      </w:r>
      <w:r>
        <w:rPr>
          <w:i/>
        </w:rPr>
        <w:t>Главной проблемой в школьном возрасте являются проблемы с обучением и поведением. Синдром деф</w:t>
      </w:r>
      <w:r>
        <w:rPr>
          <w:i/>
        </w:rPr>
        <w:t xml:space="preserve">ицита внимания, гиперактивность, аутистические заболевания, фобии встречаются чаще, чем в общей популяции детей. Большинство детей консультируются у неврологов, психологов и психиатров. Взрослые пациенты наблюдаются с диагнозами «психоз» или «шизофрения», </w:t>
      </w:r>
      <w:r>
        <w:rPr>
          <w:i/>
        </w:rPr>
        <w:t xml:space="preserve">«депрессия», «биполярный синдром». </w:t>
      </w:r>
    </w:p>
    <w:p w:rsidR="00E31E79" w:rsidRDefault="000749FE">
      <w:pPr>
        <w:pStyle w:val="Heading1"/>
        <w:ind w:right="2"/>
      </w:pPr>
      <w:r>
        <w:t xml:space="preserve">4. Реабилитация </w:t>
      </w:r>
    </w:p>
    <w:p w:rsidR="00E31E79" w:rsidRDefault="000749FE">
      <w:pPr>
        <w:spacing w:line="383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социальная и психологическая реабилитация всем пациентам с синдромом делеции 22-й хромосомы. Большинство пациентов наблюдаются психологами и психиатрами в течение всей жизни в связи с пов</w:t>
      </w:r>
      <w:r>
        <w:t xml:space="preserve">еденческими проблемами различного характера [17].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3) </w:t>
      </w:r>
    </w:p>
    <w:p w:rsidR="00E31E79" w:rsidRDefault="000749FE">
      <w:pPr>
        <w:spacing w:line="393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реабилитация после хирургической коррекции порока сердца и/или коррекции дефектов лицевого скелета, гор</w:t>
      </w:r>
      <w:r>
        <w:t xml:space="preserve">тани пациентам с синдромом делеции 22-й хромосомы в рамках катамнестического наблюдения специалистами соответствующего профиля [10, 24, 25]. </w:t>
      </w:r>
    </w:p>
    <w:p w:rsidR="00E31E79" w:rsidRDefault="000749FE">
      <w:pPr>
        <w:spacing w:after="681"/>
        <w:ind w:left="703"/>
        <w:jc w:val="left"/>
      </w:pP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доказательств – 4) </w:t>
      </w:r>
    </w:p>
    <w:p w:rsidR="00E31E79" w:rsidRDefault="000749FE">
      <w:pPr>
        <w:pStyle w:val="Heading1"/>
        <w:ind w:right="5"/>
      </w:pPr>
      <w:r>
        <w:t xml:space="preserve">5. </w:t>
      </w:r>
      <w:r>
        <w:t xml:space="preserve">Профилактика и диспансерное наблюдение </w:t>
      </w:r>
    </w:p>
    <w:p w:rsidR="00E31E79" w:rsidRDefault="000749FE">
      <w:pPr>
        <w:spacing w:after="176"/>
      </w:pPr>
      <w:r>
        <w:t xml:space="preserve">Специфическая профилактика данного заболевания отсутствует. </w:t>
      </w:r>
    </w:p>
    <w:p w:rsidR="00E31E79" w:rsidRDefault="000749FE">
      <w:pPr>
        <w:spacing w:line="390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всем пациентам с делецией 22-й хромосомы диспансерное наблюдение педиатра/терапевта по месту жительства для оценки состояния здоровья [1,2,</w:t>
      </w:r>
      <w:r>
        <w:t xml:space="preserve">7]. 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доказательств–4) </w:t>
      </w:r>
    </w:p>
    <w:p w:rsidR="00E31E79" w:rsidRDefault="000749FE">
      <w:pPr>
        <w:spacing w:after="35" w:line="376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пациентам с делецией 22-й хромосомы получающим специфическую терапию (ВВИГ) диспансерное наблюдение иммунолога для контроля проводимой терапии, оценки</w:t>
      </w:r>
      <w:r>
        <w:t xml:space="preserve"> эффективности терапии [1, 2]. 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</w:t>
      </w:r>
    </w:p>
    <w:p w:rsidR="00E31E79" w:rsidRDefault="000749FE">
      <w:pPr>
        <w:spacing w:line="394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Рекомендуется</w:t>
      </w:r>
      <w:r>
        <w:t xml:space="preserve"> исследование ОАК с подсчетом лейкоцитарной формулы, определение уровней иммуноглобулинов A, M, G, кальция пациентам с дел</w:t>
      </w:r>
      <w:r>
        <w:t xml:space="preserve">ецией 22-й хромосомы с частотой не реже 1 раза в год.   Пациентам с полным синдромом Ди Георга обязательно определение претрансфузионного уровня IgG перед каждым следующим введением ВВИГ [1, 7].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>достовер</w:t>
      </w:r>
      <w:r>
        <w:t xml:space="preserve">ности доказательств–4) </w:t>
      </w:r>
    </w:p>
    <w:p w:rsidR="00E31E79" w:rsidRDefault="000749FE">
      <w:pPr>
        <w:spacing w:line="389" w:lineRule="auto"/>
        <w:ind w:left="730"/>
      </w:pPr>
      <w:r>
        <w:rPr>
          <w:b/>
        </w:rPr>
        <w:t>Рекомендуется</w:t>
      </w:r>
      <w:r>
        <w:t xml:space="preserve"> проведение инструментальных методов исследования пациентам с делецией 22-й хромосомы, по показаниям (наличие жалоб со стороны желудочнокишечного тракта, со стороны сердечно-сосудистой системы, со стороны мочеполовой си</w:t>
      </w:r>
      <w:r>
        <w:t xml:space="preserve">стемы, кашель, головные боли) для оценки общего состояния пациента, наличия или отсутствия хронических очагов инфекции, а также наблюдение сопутствующей патологии [1, 2, 7].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>достоверности доказательств –</w:t>
      </w:r>
      <w:r>
        <w:t xml:space="preserve">4)  </w:t>
      </w:r>
    </w:p>
    <w:p w:rsidR="00E31E79" w:rsidRDefault="000749FE">
      <w:pPr>
        <w:spacing w:after="154"/>
        <w:ind w:left="703"/>
        <w:jc w:val="left"/>
      </w:pPr>
      <w:r>
        <w:rPr>
          <w:b/>
        </w:rPr>
        <w:t xml:space="preserve">Комментарии: </w:t>
      </w:r>
    </w:p>
    <w:p w:rsidR="00E31E79" w:rsidRDefault="000749FE">
      <w:pPr>
        <w:numPr>
          <w:ilvl w:val="0"/>
          <w:numId w:val="9"/>
        </w:numPr>
        <w:spacing w:after="140" w:line="259" w:lineRule="auto"/>
        <w:ind w:hanging="708"/>
      </w:pPr>
      <w:r>
        <w:rPr>
          <w:i/>
        </w:rPr>
        <w:t xml:space="preserve">ЭКГ – 1 раз в год </w:t>
      </w:r>
    </w:p>
    <w:p w:rsidR="00E31E79" w:rsidRDefault="000749FE">
      <w:pPr>
        <w:numPr>
          <w:ilvl w:val="0"/>
          <w:numId w:val="9"/>
        </w:numPr>
        <w:spacing w:after="140" w:line="259" w:lineRule="auto"/>
        <w:ind w:hanging="708"/>
      </w:pPr>
      <w:r>
        <w:rPr>
          <w:i/>
        </w:rPr>
        <w:t xml:space="preserve">УЗИ брюшной полости, почек, ЭХО-сердца – 1 раз в год </w:t>
      </w:r>
    </w:p>
    <w:p w:rsidR="00E31E79" w:rsidRDefault="000749FE">
      <w:pPr>
        <w:numPr>
          <w:ilvl w:val="0"/>
          <w:numId w:val="9"/>
        </w:numPr>
        <w:spacing w:after="140" w:line="259" w:lineRule="auto"/>
        <w:ind w:hanging="708"/>
      </w:pPr>
      <w:r>
        <w:rPr>
          <w:i/>
        </w:rPr>
        <w:t xml:space="preserve">Денситометрия – 1 раз в год </w:t>
      </w:r>
    </w:p>
    <w:p w:rsidR="00E31E79" w:rsidRDefault="000749FE">
      <w:pPr>
        <w:numPr>
          <w:ilvl w:val="0"/>
          <w:numId w:val="9"/>
        </w:numPr>
        <w:spacing w:after="140" w:line="259" w:lineRule="auto"/>
        <w:ind w:hanging="708"/>
      </w:pPr>
      <w:r>
        <w:rPr>
          <w:i/>
        </w:rPr>
        <w:t xml:space="preserve">Рентгенография грудной клетки, КТ, МРТ – по показаниям. </w:t>
      </w:r>
    </w:p>
    <w:p w:rsidR="00E31E79" w:rsidRDefault="000749FE">
      <w:pPr>
        <w:spacing w:after="33" w:line="387" w:lineRule="auto"/>
        <w:ind w:left="715"/>
      </w:pPr>
      <w:r>
        <w:rPr>
          <w:i/>
        </w:rPr>
        <w:t>При наличии сопутствующей патологии возможна более частое проведении исследова</w:t>
      </w:r>
      <w:r>
        <w:rPr>
          <w:i/>
        </w:rPr>
        <w:t xml:space="preserve">ний по показаниям узких специалистов. </w:t>
      </w:r>
    </w:p>
    <w:p w:rsidR="00E31E79" w:rsidRDefault="000749FE">
      <w:pPr>
        <w:numPr>
          <w:ilvl w:val="0"/>
          <w:numId w:val="9"/>
        </w:numPr>
        <w:spacing w:line="394" w:lineRule="auto"/>
        <w:ind w:hanging="708"/>
      </w:pPr>
      <w:r>
        <w:rPr>
          <w:b/>
        </w:rPr>
        <w:t>Рекомендуется</w:t>
      </w:r>
      <w:r>
        <w:t xml:space="preserve"> проведение периодических контрольных осмотров смежными специалистами для пациентов с делецией 22-й хромосомы, для оценки общего состояния здоровья и контроля сопутствующей патологии [1, 2, 7, 24, 26].</w:t>
      </w:r>
      <w:r>
        <w:rPr>
          <w:i/>
        </w:rPr>
        <w:t xml:space="preserve">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3) </w:t>
      </w:r>
    </w:p>
    <w:p w:rsidR="00E31E79" w:rsidRDefault="000749FE">
      <w:pPr>
        <w:tabs>
          <w:tab w:val="center" w:pos="1506"/>
          <w:tab w:val="center" w:pos="2746"/>
        </w:tabs>
        <w:spacing w:after="17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Комментарии: </w:t>
      </w:r>
      <w:r>
        <w:rPr>
          <w:b/>
        </w:rPr>
        <w:tab/>
        <w:t xml:space="preserve"> </w:t>
      </w:r>
    </w:p>
    <w:p w:rsidR="00E31E79" w:rsidRDefault="000749FE">
      <w:pPr>
        <w:numPr>
          <w:ilvl w:val="0"/>
          <w:numId w:val="10"/>
        </w:numPr>
        <w:spacing w:after="140" w:line="259" w:lineRule="auto"/>
        <w:ind w:hanging="768"/>
      </w:pPr>
      <w:r>
        <w:rPr>
          <w:i/>
        </w:rPr>
        <w:t xml:space="preserve">Осмотр врача-хирурга – 1 раз в год </w:t>
      </w:r>
    </w:p>
    <w:p w:rsidR="00E31E79" w:rsidRDefault="000749FE">
      <w:pPr>
        <w:numPr>
          <w:ilvl w:val="0"/>
          <w:numId w:val="10"/>
        </w:numPr>
        <w:spacing w:after="140" w:line="259" w:lineRule="auto"/>
        <w:ind w:hanging="768"/>
      </w:pPr>
      <w:r>
        <w:rPr>
          <w:i/>
        </w:rPr>
        <w:t xml:space="preserve">Осмотр врача- стоматолога – 1 раз в год  </w:t>
      </w:r>
    </w:p>
    <w:p w:rsidR="00E31E79" w:rsidRDefault="000749FE">
      <w:pPr>
        <w:numPr>
          <w:ilvl w:val="0"/>
          <w:numId w:val="10"/>
        </w:numPr>
        <w:spacing w:after="140" w:line="259" w:lineRule="auto"/>
        <w:ind w:hanging="768"/>
      </w:pPr>
      <w:r>
        <w:rPr>
          <w:i/>
        </w:rPr>
        <w:t>Осмотр врача-отоларинголога – 1 раз в год</w:t>
      </w:r>
      <w:r>
        <w:rPr>
          <w:b/>
          <w:i/>
        </w:rPr>
        <w:t xml:space="preserve"> </w:t>
      </w:r>
    </w:p>
    <w:p w:rsidR="00E31E79" w:rsidRDefault="000749FE">
      <w:pPr>
        <w:numPr>
          <w:ilvl w:val="0"/>
          <w:numId w:val="10"/>
        </w:numPr>
        <w:spacing w:after="140" w:line="259" w:lineRule="auto"/>
        <w:ind w:hanging="768"/>
      </w:pPr>
      <w:r>
        <w:rPr>
          <w:i/>
        </w:rPr>
        <w:t xml:space="preserve">Осмотр врача-кардиолога – 1 раз </w:t>
      </w:r>
      <w:r>
        <w:rPr>
          <w:i/>
        </w:rPr>
        <w:t>в год</w:t>
      </w:r>
      <w:r>
        <w:rPr>
          <w:b/>
          <w:i/>
        </w:rPr>
        <w:t xml:space="preserve"> </w:t>
      </w:r>
    </w:p>
    <w:p w:rsidR="00E31E79" w:rsidRDefault="000749FE">
      <w:pPr>
        <w:numPr>
          <w:ilvl w:val="0"/>
          <w:numId w:val="10"/>
        </w:numPr>
        <w:spacing w:after="140" w:line="259" w:lineRule="auto"/>
        <w:ind w:hanging="768"/>
      </w:pPr>
      <w:r>
        <w:rPr>
          <w:i/>
        </w:rPr>
        <w:t>Осмотр врача-гастроэнтеролога – 1 раз в год</w:t>
      </w:r>
      <w:r>
        <w:rPr>
          <w:b/>
          <w:i/>
        </w:rPr>
        <w:t xml:space="preserve"> </w:t>
      </w:r>
    </w:p>
    <w:p w:rsidR="00E31E79" w:rsidRDefault="000749FE">
      <w:pPr>
        <w:numPr>
          <w:ilvl w:val="0"/>
          <w:numId w:val="10"/>
        </w:numPr>
        <w:spacing w:after="140" w:line="259" w:lineRule="auto"/>
        <w:ind w:hanging="768"/>
      </w:pPr>
      <w:r>
        <w:rPr>
          <w:i/>
        </w:rPr>
        <w:t>Осмотр врача-офтальмолога – 1 раз в год</w:t>
      </w:r>
      <w:r>
        <w:rPr>
          <w:b/>
          <w:i/>
        </w:rPr>
        <w:t xml:space="preserve"> </w:t>
      </w:r>
    </w:p>
    <w:p w:rsidR="00E31E79" w:rsidRDefault="000749FE">
      <w:pPr>
        <w:numPr>
          <w:ilvl w:val="0"/>
          <w:numId w:val="10"/>
        </w:numPr>
        <w:spacing w:after="74" w:line="259" w:lineRule="auto"/>
        <w:ind w:hanging="768"/>
      </w:pPr>
      <w:r>
        <w:rPr>
          <w:i/>
        </w:rPr>
        <w:t>Осмотр врача-невролога – 1 раз в год</w:t>
      </w:r>
      <w:r>
        <w:rPr>
          <w:b/>
          <w:i/>
        </w:rPr>
        <w:t xml:space="preserve"> </w:t>
      </w:r>
    </w:p>
    <w:p w:rsidR="00E31E79" w:rsidRDefault="000749FE">
      <w:pPr>
        <w:spacing w:after="140" w:line="387" w:lineRule="auto"/>
        <w:ind w:left="0" w:firstLine="708"/>
      </w:pPr>
      <w:r>
        <w:rPr>
          <w:i/>
        </w:rPr>
        <w:t>При наличии сопутствующей патологии возможна более частая консультация специалистов, в зависимости от показаний и состояния п</w:t>
      </w:r>
      <w:r>
        <w:rPr>
          <w:i/>
        </w:rPr>
        <w:t>ациента.</w:t>
      </w:r>
      <w:r>
        <w:t xml:space="preserve"> </w:t>
      </w:r>
      <w:r>
        <w:rPr>
          <w:i/>
        </w:rPr>
        <w:t>Частота посещения того или иного специалиста и частота анализов зависит от клинических проявлений данного синдрома. Однако ежегодная диспансеризация рекомендована для контроля инфекционной заболеваемости, иммунологических показателей и функций осн</w:t>
      </w:r>
      <w:r>
        <w:rPr>
          <w:i/>
        </w:rPr>
        <w:t xml:space="preserve">овных систем организма. </w:t>
      </w:r>
    </w:p>
    <w:p w:rsidR="00E31E79" w:rsidRDefault="00E31E79">
      <w:pPr>
        <w:sectPr w:rsidR="00E31E79">
          <w:headerReference w:type="even" r:id="rId57"/>
          <w:headerReference w:type="default" r:id="rId58"/>
          <w:footerReference w:type="even" r:id="rId59"/>
          <w:footerReference w:type="default" r:id="rId60"/>
          <w:headerReference w:type="first" r:id="rId61"/>
          <w:footerReference w:type="first" r:id="rId62"/>
          <w:pgSz w:w="11906" w:h="16838"/>
          <w:pgMar w:top="1192" w:right="846" w:bottom="1501" w:left="1702" w:header="720" w:footer="714" w:gutter="0"/>
          <w:cols w:space="720"/>
        </w:sectPr>
      </w:pPr>
    </w:p>
    <w:p w:rsidR="00E31E79" w:rsidRDefault="000749FE">
      <w:pPr>
        <w:spacing w:line="396" w:lineRule="auto"/>
        <w:ind w:left="730"/>
      </w:pPr>
      <w:r>
        <w:rPr>
          <w:b/>
        </w:rPr>
        <w:t>Рекомендуется</w:t>
      </w:r>
      <w:r>
        <w:t xml:space="preserve"> пациентам с делецией 22-й хромосомы проведение перинатальной </w:t>
      </w:r>
      <w:r>
        <w:t xml:space="preserve">диагностики и генетическое консультирование, с целью предотвращения рождения других детей с данным заболеванием [1, 2, 20]. </w:t>
      </w:r>
    </w:p>
    <w:p w:rsidR="00E31E79" w:rsidRDefault="000749FE">
      <w:pPr>
        <w:pStyle w:val="Heading3"/>
        <w:ind w:left="703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– 4) </w:t>
      </w:r>
    </w:p>
    <w:p w:rsidR="00E31E79" w:rsidRDefault="000749FE">
      <w:pPr>
        <w:spacing w:after="545" w:line="387" w:lineRule="auto"/>
        <w:ind w:left="0" w:firstLine="708"/>
      </w:pPr>
      <w:r>
        <w:rPr>
          <w:b/>
        </w:rPr>
        <w:t xml:space="preserve">Комментарии: </w:t>
      </w:r>
      <w:r>
        <w:rPr>
          <w:i/>
        </w:rPr>
        <w:t>Делеция 22-й хромосомы наследует</w:t>
      </w:r>
      <w:r>
        <w:rPr>
          <w:i/>
        </w:rPr>
        <w:t>ся аутосомно-доминантно, с вероятностью передачи патологии в 50%.  При этом отмечено, что у потомства синдром более выражен, чем у родителя. Большинство случаев с синдромом делеции 22-й хромосомы носит спорадический характер, и факторы риска неизвестны. Пр</w:t>
      </w:r>
      <w:r>
        <w:rPr>
          <w:i/>
        </w:rPr>
        <w:t xml:space="preserve">енатальная диагностика рекомендована, если один из родителей имеет делецию 22 хромосомы, в 50% случаев патология наследуется с более тяжелыми клиническими проявлениями. Также при выявлении СДГ у ребенка рекомендовано обследование родителей и сиблингов для </w:t>
      </w:r>
      <w:r>
        <w:rPr>
          <w:i/>
        </w:rPr>
        <w:t>исключения СДГ у них. Проводится FISH-диагностика del22 или определение мутации в гене TBX1 после выполнения амниоцентеза или забора ворсин хориона.</w:t>
      </w:r>
      <w:r>
        <w:rPr>
          <w:b/>
          <w:i/>
        </w:rPr>
        <w:t xml:space="preserve"> </w:t>
      </w:r>
    </w:p>
    <w:p w:rsidR="00E31E79" w:rsidRDefault="000749FE">
      <w:pPr>
        <w:pStyle w:val="Heading1"/>
        <w:spacing w:after="0" w:line="400" w:lineRule="auto"/>
        <w:ind w:right="0"/>
      </w:pPr>
      <w:r>
        <w:t xml:space="preserve">6. Дополнительная информация, влияющая на течение и исход заболевания </w:t>
      </w:r>
    </w:p>
    <w:p w:rsidR="00E31E79" w:rsidRDefault="000749FE">
      <w:pPr>
        <w:spacing w:line="392" w:lineRule="auto"/>
        <w:ind w:left="0" w:firstLine="708"/>
      </w:pPr>
      <w:r>
        <w:t>Предупреждение осложнений, характер</w:t>
      </w:r>
      <w:r>
        <w:t xml:space="preserve">ных для разного возрастного периода, и адекватная терапия обеспечивают лучший прогноз пациенту [1, 2, 7].  </w:t>
      </w:r>
    </w:p>
    <w:p w:rsidR="00E31E79" w:rsidRDefault="000749FE">
      <w:pPr>
        <w:pStyle w:val="Heading3"/>
        <w:ind w:left="703"/>
      </w:pPr>
      <w:r>
        <w:t xml:space="preserve">Вакцинация </w:t>
      </w:r>
    </w:p>
    <w:p w:rsidR="00E31E79" w:rsidRDefault="000749FE">
      <w:pPr>
        <w:spacing w:line="358" w:lineRule="auto"/>
        <w:ind w:left="0" w:firstLine="708"/>
      </w:pPr>
      <w:r>
        <w:t xml:space="preserve"> Вакцинации проводится всем пациентам (взрослым и детям) с делецией 22-й хромосомы, за исключением пациентов с полным СДГ. Для оценки эф</w:t>
      </w:r>
      <w:r>
        <w:t xml:space="preserve">фективности вакцинации необходим контроль специфических АТ к вакцинным штаммам микроорганизмов. На фоне заместительной терапии ВВИГ вакцинация не целесообразна </w:t>
      </w:r>
    </w:p>
    <w:p w:rsidR="00E31E79" w:rsidRDefault="000749FE">
      <w:pPr>
        <w:spacing w:after="685"/>
      </w:pPr>
      <w:r>
        <w:t xml:space="preserve">[31, 32, 33, 34].  </w:t>
      </w:r>
    </w:p>
    <w:p w:rsidR="00E31E79" w:rsidRDefault="000749FE">
      <w:pPr>
        <w:pStyle w:val="Heading1"/>
        <w:ind w:right="5"/>
      </w:pPr>
      <w:r>
        <w:t xml:space="preserve">7.  Организация медицинской помощи </w:t>
      </w:r>
    </w:p>
    <w:p w:rsidR="00E31E79" w:rsidRDefault="000749FE">
      <w:pPr>
        <w:spacing w:after="154"/>
        <w:ind w:left="703"/>
        <w:jc w:val="left"/>
      </w:pPr>
      <w:r>
        <w:rPr>
          <w:b/>
        </w:rPr>
        <w:t xml:space="preserve">Показания для плановой госпитализации: </w:t>
      </w:r>
    </w:p>
    <w:p w:rsidR="00E31E79" w:rsidRDefault="000749FE">
      <w:pPr>
        <w:numPr>
          <w:ilvl w:val="0"/>
          <w:numId w:val="11"/>
        </w:numPr>
        <w:spacing w:after="33" w:line="376" w:lineRule="auto"/>
        <w:ind w:hanging="360"/>
      </w:pPr>
      <w:r>
        <w:t>Пациенты с синдромом делеции 22-й хромосомы должны быть госпитализированы в стационар для коррекции порока сердца и/или дефектов лицевого скелета, а также для углубленного, в том числе, инструментального обследования для выявления инфекционных и других ос</w:t>
      </w:r>
      <w:r>
        <w:t xml:space="preserve">ложнений при наличии соответствующей симптоматики.     </w:t>
      </w:r>
    </w:p>
    <w:p w:rsidR="00E31E79" w:rsidRDefault="000749FE">
      <w:pPr>
        <w:spacing w:after="154"/>
        <w:ind w:left="703"/>
        <w:jc w:val="left"/>
      </w:pPr>
      <w:r>
        <w:rPr>
          <w:b/>
        </w:rPr>
        <w:t xml:space="preserve">Показания для экстренной госпитализации: </w:t>
      </w:r>
    </w:p>
    <w:p w:rsidR="00E31E79" w:rsidRDefault="000749FE">
      <w:pPr>
        <w:spacing w:after="42" w:line="378" w:lineRule="auto"/>
        <w:ind w:left="730"/>
      </w:pPr>
      <w:r>
        <w:t>При подозрении у пациента полного СДГ, фенотипически сходного с ТКИН, с целью изоляционных мероприятий и обследования показана госпитализация в стерильный бок</w:t>
      </w:r>
      <w:r>
        <w:t xml:space="preserve">с. </w:t>
      </w:r>
    </w:p>
    <w:p w:rsidR="00E31E79" w:rsidRDefault="000749FE">
      <w:pPr>
        <w:numPr>
          <w:ilvl w:val="0"/>
          <w:numId w:val="11"/>
        </w:numPr>
        <w:spacing w:line="399" w:lineRule="auto"/>
        <w:ind w:hanging="360"/>
      </w:pPr>
      <w:r>
        <w:t xml:space="preserve">При возникновении инфекционных или аутоиммунных осложнений для назначения комплексной терапии. </w:t>
      </w:r>
    </w:p>
    <w:p w:rsidR="00E31E79" w:rsidRDefault="000749FE">
      <w:pPr>
        <w:spacing w:after="154"/>
        <w:ind w:left="703"/>
        <w:jc w:val="left"/>
      </w:pPr>
      <w:r>
        <w:rPr>
          <w:b/>
        </w:rPr>
        <w:t xml:space="preserve">Показания для выписки из стационара: </w:t>
      </w:r>
    </w:p>
    <w:p w:rsidR="00E31E79" w:rsidRDefault="000749FE">
      <w:pPr>
        <w:numPr>
          <w:ilvl w:val="0"/>
          <w:numId w:val="11"/>
        </w:numPr>
        <w:ind w:hanging="360"/>
      </w:pPr>
      <w:r>
        <w:t xml:space="preserve">Достижение стабилизации состояния. </w:t>
      </w:r>
      <w:r>
        <w:br w:type="page"/>
      </w:r>
    </w:p>
    <w:p w:rsidR="00E31E79" w:rsidRDefault="000749FE">
      <w:pPr>
        <w:spacing w:after="433" w:line="259" w:lineRule="auto"/>
        <w:ind w:left="566" w:firstLine="0"/>
        <w:jc w:val="left"/>
      </w:pPr>
      <w:r>
        <w:rPr>
          <w:b/>
          <w:sz w:val="28"/>
        </w:rPr>
        <w:t xml:space="preserve"> </w:t>
      </w:r>
    </w:p>
    <w:p w:rsidR="00E31E79" w:rsidRDefault="000749FE">
      <w:pPr>
        <w:pStyle w:val="Heading1"/>
        <w:spacing w:after="0"/>
        <w:ind w:left="576" w:right="0"/>
        <w:jc w:val="left"/>
      </w:pPr>
      <w:r>
        <w:t xml:space="preserve">Критерии оценки качества оказания медицинской помощи </w:t>
      </w:r>
    </w:p>
    <w:tbl>
      <w:tblPr>
        <w:tblStyle w:val="TableGrid"/>
        <w:tblW w:w="9573" w:type="dxa"/>
        <w:tblInd w:w="-108" w:type="dxa"/>
        <w:tblCellMar>
          <w:top w:w="7" w:type="dxa"/>
          <w:left w:w="10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845"/>
        <w:gridCol w:w="1798"/>
        <w:gridCol w:w="1930"/>
      </w:tblGrid>
      <w:tr w:rsidR="00E31E79">
        <w:trPr>
          <w:trHeight w:val="838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710" w:firstLine="0"/>
              <w:jc w:val="left"/>
            </w:pPr>
            <w:r>
              <w:rPr>
                <w:b/>
              </w:rPr>
              <w:t xml:space="preserve">Критерий качества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0" w:firstLine="67"/>
              <w:jc w:val="left"/>
            </w:pPr>
            <w:r>
              <w:rPr>
                <w:b/>
              </w:rPr>
              <w:t>Уровен</w:t>
            </w:r>
            <w:r>
              <w:rPr>
                <w:b/>
              </w:rPr>
              <w:t xml:space="preserve">ь достоверности доказательств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0" w:firstLine="67"/>
              <w:jc w:val="left"/>
            </w:pPr>
            <w:r>
              <w:rPr>
                <w:b/>
              </w:rPr>
              <w:t xml:space="preserve">Уровень убедительности рекомендаций </w:t>
            </w:r>
          </w:p>
        </w:tc>
      </w:tr>
      <w:tr w:rsidR="00E31E79">
        <w:trPr>
          <w:trHeight w:val="838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78" w:lineRule="auto"/>
              <w:ind w:left="2" w:firstLine="0"/>
            </w:pPr>
            <w:r>
              <w:t xml:space="preserve">Проведен на этапе первичной диагностики (при  подозрении на синдром делеции 22q11.2) сбор  </w:t>
            </w:r>
          </w:p>
          <w:p w:rsidR="00E31E79" w:rsidRDefault="000749FE">
            <w:pPr>
              <w:spacing w:after="0" w:line="259" w:lineRule="auto"/>
              <w:ind w:left="2" w:firstLine="0"/>
              <w:jc w:val="left"/>
            </w:pPr>
            <w:r>
              <w:t xml:space="preserve">анамнеза и жалоб,  физикальное обследование 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С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4 </w:t>
            </w:r>
          </w:p>
        </w:tc>
      </w:tr>
      <w:tr w:rsidR="00E31E79">
        <w:trPr>
          <w:trHeight w:val="2218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30" w:line="250" w:lineRule="auto"/>
              <w:ind w:left="2" w:right="108" w:firstLine="0"/>
            </w:pPr>
            <w:r>
              <w:t>Проведено на этапе первичной диагностики углубленное лабораторное   обследование для определения тяжести иммунологического дефекта (определение иммуноглобулинов IgA, IgM, IgG сыворотки крови, специфических поствакцинальных антител, оценка клеточного иммуни</w:t>
            </w:r>
            <w:r>
              <w:t xml:space="preserve">тета (иммунофенотипирование лимфоцитов крови), </w:t>
            </w:r>
          </w:p>
          <w:p w:rsidR="00E31E79" w:rsidRDefault="000749FE">
            <w:pPr>
              <w:spacing w:after="0" w:line="259" w:lineRule="auto"/>
              <w:ind w:left="2" w:firstLine="0"/>
              <w:jc w:val="left"/>
            </w:pPr>
            <w:r>
              <w:t xml:space="preserve">митогенный ответ) 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С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4 </w:t>
            </w:r>
          </w:p>
        </w:tc>
      </w:tr>
      <w:tr w:rsidR="00E31E79">
        <w:trPr>
          <w:trHeight w:val="1666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2" w:right="108" w:firstLine="0"/>
            </w:pPr>
            <w:r>
              <w:t xml:space="preserve">Проведено на этапе первичной диагностики углубленное инструментальное    обследование для выявления инфекционных и других осложнений при наличии соответствующей симптоматики) – </w:t>
            </w:r>
            <w:r>
              <w:t xml:space="preserve">компьютерная томография легких и органов брюшной полости, челюстно-лицевого скелета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С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4 </w:t>
            </w:r>
          </w:p>
        </w:tc>
      </w:tr>
      <w:tr w:rsidR="00E31E79">
        <w:trPr>
          <w:trHeight w:val="2220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2" w:right="107" w:firstLine="0"/>
            </w:pPr>
            <w:r>
              <w:t>Проведено на этапе первичной диагностики выявление делеции участка 22 хромосомы методом флюоресцентной гибридизацией in situ</w:t>
            </w:r>
            <w:r>
              <w:rPr>
                <w:b/>
              </w:rPr>
              <w:t xml:space="preserve"> (</w:t>
            </w:r>
            <w:r>
              <w:t>FISH) или</w:t>
            </w:r>
            <w:r>
              <w:rPr>
                <w:b/>
              </w:rPr>
              <w:t xml:space="preserve"> </w:t>
            </w:r>
            <w:r>
              <w:t xml:space="preserve">хромосомного микроматричного анализа (ХМА) или сравнительная геномная гибридизация (aCGH) или методом MLPA. При отрицательном результате – метод прямого секвенирования по Сенгеру гена </w:t>
            </w:r>
            <w:r>
              <w:rPr>
                <w:i/>
              </w:rPr>
              <w:t>TBX1</w:t>
            </w:r>
            <w:r>
              <w:t xml:space="preserve"> или поиск делеции в этом гене методом MLPA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А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1 </w:t>
            </w:r>
          </w:p>
        </w:tc>
      </w:tr>
      <w:tr w:rsidR="00E31E79">
        <w:trPr>
          <w:trHeight w:val="1390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2" w:right="110" w:firstLine="0"/>
            </w:pPr>
            <w:r>
              <w:t>При наличии поро</w:t>
            </w:r>
            <w:r>
              <w:t xml:space="preserve">ка сердца и аномалий лицевого скелета, проведена консультация кардиохирурга и челюстно-лицевого хирурга для решения вопроса о необходимости и объеме хирургической коррекции дефекта(ов)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С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4 </w:t>
            </w:r>
          </w:p>
        </w:tc>
      </w:tr>
      <w:tr w:rsidR="00E31E79">
        <w:trPr>
          <w:trHeight w:val="1114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25" w:line="257" w:lineRule="auto"/>
              <w:ind w:left="2" w:right="110" w:firstLine="0"/>
            </w:pPr>
            <w:r>
              <w:t xml:space="preserve">проведена </w:t>
            </w:r>
            <w:r>
              <w:t xml:space="preserve">заместительная терапия препаратами внутривенных иммуноглобулинов в случае выявления снижения уровня иммуноглобулина G и\или </w:t>
            </w:r>
          </w:p>
          <w:p w:rsidR="00E31E79" w:rsidRDefault="000749FE">
            <w:pPr>
              <w:spacing w:after="0" w:line="259" w:lineRule="auto"/>
              <w:ind w:left="2" w:firstLine="0"/>
              <w:jc w:val="left"/>
            </w:pPr>
            <w:r>
              <w:t xml:space="preserve">нарушения специфического антителообразования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С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4 </w:t>
            </w:r>
          </w:p>
        </w:tc>
      </w:tr>
      <w:tr w:rsidR="00E31E79">
        <w:trPr>
          <w:trHeight w:val="562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2" w:firstLine="0"/>
            </w:pPr>
            <w:r>
              <w:t xml:space="preserve">Отсутствие гнойно-септических осложнений на момент  выписки из стационара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С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4 </w:t>
            </w:r>
          </w:p>
        </w:tc>
      </w:tr>
      <w:tr w:rsidR="00E31E79">
        <w:trPr>
          <w:trHeight w:val="1114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2" w:firstLine="0"/>
              <w:jc w:val="left"/>
            </w:pPr>
            <w:r>
              <w:t xml:space="preserve">На этапе наблюдения при наличии рецидивирующих инфекционных </w:t>
            </w:r>
            <w:r>
              <w:tab/>
              <w:t xml:space="preserve">заболеваниях </w:t>
            </w:r>
            <w:r>
              <w:tab/>
              <w:t xml:space="preserve">назначена антибактериальной, </w:t>
            </w:r>
            <w:r>
              <w:tab/>
              <w:t xml:space="preserve">противогрибковой </w:t>
            </w:r>
            <w:r>
              <w:tab/>
              <w:t xml:space="preserve">терапии </w:t>
            </w:r>
            <w:r>
              <w:tab/>
              <w:t xml:space="preserve">с профилактической целью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С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67" w:firstLine="0"/>
              <w:jc w:val="left"/>
            </w:pPr>
            <w:r>
              <w:t xml:space="preserve">4 </w:t>
            </w:r>
          </w:p>
        </w:tc>
      </w:tr>
    </w:tbl>
    <w:p w:rsidR="00E31E79" w:rsidRDefault="00E31E79">
      <w:pPr>
        <w:sectPr w:rsidR="00E31E79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1906" w:h="16838"/>
          <w:pgMar w:top="1201" w:right="845" w:bottom="1393" w:left="1702" w:header="720" w:footer="720" w:gutter="0"/>
          <w:cols w:space="720"/>
          <w:titlePg/>
        </w:sectPr>
      </w:pPr>
    </w:p>
    <w:p w:rsidR="00E31E79" w:rsidRDefault="000749FE">
      <w:pPr>
        <w:pStyle w:val="Heading1"/>
        <w:ind w:right="363"/>
      </w:pPr>
      <w:r>
        <w:t xml:space="preserve">Список литературы </w:t>
      </w:r>
    </w:p>
    <w:p w:rsidR="00E31E79" w:rsidRDefault="000749FE">
      <w:pPr>
        <w:numPr>
          <w:ilvl w:val="0"/>
          <w:numId w:val="12"/>
        </w:numPr>
        <w:spacing w:line="396" w:lineRule="auto"/>
        <w:ind w:hanging="370"/>
      </w:pPr>
      <w:r>
        <w:t xml:space="preserve">Детская гематология/ Под ред: А.Г. Румянцева, А.А. Масчана, Е.В. Жуковской. Авторы :Айзенберг В.Л., Балашов Д.Н., Биккулова Д.Ш., и др.// Москва. </w:t>
      </w:r>
    </w:p>
    <w:p w:rsidR="00E31E79" w:rsidRDefault="000749FE">
      <w:pPr>
        <w:spacing w:after="110"/>
        <w:ind w:left="355"/>
      </w:pPr>
      <w:r>
        <w:t xml:space="preserve">Издательская группа «ГЭОТАР- Медиа» 2015 г. С. - 656. </w:t>
      </w:r>
    </w:p>
    <w:p w:rsidR="00E31E79" w:rsidRDefault="000749FE">
      <w:pPr>
        <w:numPr>
          <w:ilvl w:val="0"/>
          <w:numId w:val="12"/>
        </w:numPr>
        <w:spacing w:line="359" w:lineRule="auto"/>
        <w:ind w:hanging="370"/>
      </w:pPr>
      <w:r>
        <w:t xml:space="preserve">Bassett </w:t>
      </w:r>
      <w:r>
        <w:t xml:space="preserve">AS et al. Practical Guidelines for Managing Patients with 22q11.2 Deletion Syndrome J Pediatr. 2011 August; 159(2): 332–9. </w:t>
      </w:r>
    </w:p>
    <w:p w:rsidR="00E31E79" w:rsidRDefault="000749FE">
      <w:pPr>
        <w:numPr>
          <w:ilvl w:val="0"/>
          <w:numId w:val="12"/>
        </w:numPr>
        <w:spacing w:after="110"/>
        <w:ind w:hanging="370"/>
      </w:pPr>
      <w:r>
        <w:t xml:space="preserve">McDonald-McGinn D M, Sullivan K E. Chromosome 22q11.2 deletion syndrome </w:t>
      </w:r>
    </w:p>
    <w:p w:rsidR="00E31E79" w:rsidRDefault="000749FE">
      <w:pPr>
        <w:spacing w:after="110"/>
        <w:ind w:left="355"/>
      </w:pPr>
      <w:r>
        <w:t>(DiGeorge syndrome/velocardiofacial syndrome) Medicine (Bal</w:t>
      </w:r>
      <w:r>
        <w:t xml:space="preserve">timore) 2011;90(1):1–18.  </w:t>
      </w:r>
    </w:p>
    <w:p w:rsidR="00E31E79" w:rsidRDefault="000749FE">
      <w:pPr>
        <w:numPr>
          <w:ilvl w:val="0"/>
          <w:numId w:val="12"/>
        </w:numPr>
        <w:spacing w:line="358" w:lineRule="auto"/>
        <w:ind w:hanging="370"/>
      </w:pPr>
      <w:r>
        <w:t xml:space="preserve">Maggadottir SM, Sullivan KE. The diverse clinical features of chromosome 22q11.2 deletion syndrome (DiGeorge syndrome). J Allergy Clin Immunol Pract. 2013 NovDec;1(6):589-94. </w:t>
      </w:r>
    </w:p>
    <w:p w:rsidR="00E31E79" w:rsidRDefault="000749FE">
      <w:pPr>
        <w:numPr>
          <w:ilvl w:val="0"/>
          <w:numId w:val="12"/>
        </w:numPr>
        <w:spacing w:line="356" w:lineRule="auto"/>
        <w:ind w:hanging="370"/>
      </w:pPr>
      <w:r>
        <w:t>Lindsay EA. Chromosomal microdeletions: dissecting de</w:t>
      </w:r>
      <w:r>
        <w:t xml:space="preserve">l22q11 syndrome. Nat Rev Genet. 2001 Nov;2(11):858-68. </w:t>
      </w:r>
    </w:p>
    <w:p w:rsidR="00E31E79" w:rsidRDefault="000749FE">
      <w:pPr>
        <w:numPr>
          <w:ilvl w:val="0"/>
          <w:numId w:val="12"/>
        </w:numPr>
        <w:spacing w:line="358" w:lineRule="auto"/>
        <w:ind w:hanging="370"/>
      </w:pPr>
      <w:r>
        <w:t xml:space="preserve">Oh A K, Workman L A, Wong G B. Clinical correlation of chromosome 22q11.2 fluorescent in situ hybridization analysis and velocardiofacial syndrome. Cleft Palate Craniofac J. 2007;44(1):62–66.  </w:t>
      </w:r>
    </w:p>
    <w:p w:rsidR="00E31E79" w:rsidRDefault="000749FE">
      <w:pPr>
        <w:numPr>
          <w:ilvl w:val="0"/>
          <w:numId w:val="12"/>
        </w:numPr>
        <w:spacing w:after="34" w:line="358" w:lineRule="auto"/>
        <w:ind w:hanging="370"/>
      </w:pPr>
      <w:r>
        <w:t>Montei</w:t>
      </w:r>
      <w:r>
        <w:t>ro F P, Vieira T P, Sgardioli I C. et al. Defining new guidelines for screening the 22q11.2 deletion based on a clinical and dysmorphologic evaluation of 194 individuals and review of the literature. Eur J Pediatr. 2013;172(7):927–945.</w:t>
      </w:r>
      <w:r>
        <w:rPr>
          <w:rFonts w:ascii="Arial" w:eastAsia="Arial" w:hAnsi="Arial" w:cs="Arial"/>
          <w:color w:val="111111"/>
          <w:sz w:val="20"/>
        </w:rPr>
        <w:t xml:space="preserve"> </w:t>
      </w:r>
      <w:r>
        <w:t xml:space="preserve"> </w:t>
      </w:r>
    </w:p>
    <w:p w:rsidR="00E31E79" w:rsidRDefault="000749FE">
      <w:pPr>
        <w:numPr>
          <w:ilvl w:val="0"/>
          <w:numId w:val="12"/>
        </w:numPr>
        <w:spacing w:line="358" w:lineRule="auto"/>
        <w:ind w:hanging="370"/>
      </w:pPr>
      <w:r>
        <w:t xml:space="preserve">Zweier C, Sticht H, Aydin-Yaylagül I, Campbell C E, Rauch A. Human TBX1 missense mutations cause gain of function resulting in the same phenotype as 22q11.2 deletions. </w:t>
      </w:r>
    </w:p>
    <w:p w:rsidR="00E31E79" w:rsidRDefault="000749FE">
      <w:pPr>
        <w:spacing w:after="112"/>
        <w:ind w:left="355"/>
      </w:pPr>
      <w:r>
        <w:t xml:space="preserve">Am J Hum Genet. 2007;80(3):510–517.  </w:t>
      </w:r>
    </w:p>
    <w:p w:rsidR="00E31E79" w:rsidRDefault="000749FE">
      <w:pPr>
        <w:numPr>
          <w:ilvl w:val="0"/>
          <w:numId w:val="12"/>
        </w:numPr>
        <w:spacing w:after="110"/>
        <w:ind w:hanging="370"/>
      </w:pPr>
      <w:hyperlink r:id="rId69">
        <w:r>
          <w:t>https://esid.org/Education/Diagnostic</w:t>
        </w:r>
      </w:hyperlink>
      <w:hyperlink r:id="rId70">
        <w:r>
          <w:t>-</w:t>
        </w:r>
      </w:hyperlink>
      <w:hyperlink r:id="rId71">
        <w:r>
          <w:t>Criteria</w:t>
        </w:r>
      </w:hyperlink>
      <w:hyperlink r:id="rId72">
        <w:r>
          <w:t>-</w:t>
        </w:r>
      </w:hyperlink>
      <w:hyperlink r:id="rId73">
        <w:r>
          <w:t>PID</w:t>
        </w:r>
      </w:hyperlink>
      <w:hyperlink r:id="rId74">
        <w:r>
          <w:t xml:space="preserve"> </w:t>
        </w:r>
      </w:hyperlink>
    </w:p>
    <w:p w:rsidR="00E31E79" w:rsidRDefault="000749FE">
      <w:pPr>
        <w:numPr>
          <w:ilvl w:val="0"/>
          <w:numId w:val="12"/>
        </w:numPr>
        <w:spacing w:line="358" w:lineRule="auto"/>
        <w:ind w:hanging="370"/>
      </w:pPr>
      <w:r>
        <w:t xml:space="preserve">Miller D T, Adam M P, Aradhya S. et al. Consensus statement: chromosomal microarray is a </w:t>
      </w:r>
      <w:r>
        <w:t xml:space="preserve">first-tier clinical diagnostic test for individuals with developmental disabilities or congenital anomalies. Am J Hum Genet. 2010;86(5):749–764.  </w:t>
      </w:r>
    </w:p>
    <w:p w:rsidR="00E31E79" w:rsidRDefault="000749FE">
      <w:pPr>
        <w:numPr>
          <w:ilvl w:val="0"/>
          <w:numId w:val="12"/>
        </w:numPr>
        <w:spacing w:line="356" w:lineRule="auto"/>
        <w:ind w:hanging="370"/>
      </w:pPr>
      <w:r>
        <w:t xml:space="preserve">Davies EG. Immunodeficiency in DiGeorge Syndrome and Options for Treating Cases with Complete Athymia. Front </w:t>
      </w:r>
      <w:r>
        <w:t xml:space="preserve">Immunol. 2013 Oct 31;4:322. </w:t>
      </w:r>
    </w:p>
    <w:p w:rsidR="00E31E79" w:rsidRDefault="000749FE">
      <w:pPr>
        <w:numPr>
          <w:ilvl w:val="0"/>
          <w:numId w:val="12"/>
        </w:numPr>
        <w:spacing w:after="106"/>
        <w:ind w:hanging="370"/>
      </w:pPr>
      <w:r>
        <w:t xml:space="preserve">Bassett AS, McDonald-McGinn DM, Devriendt K, Digilio MC, Goldenberg P, Habel A, </w:t>
      </w:r>
    </w:p>
    <w:p w:rsidR="00E31E79" w:rsidRDefault="000749FE">
      <w:pPr>
        <w:spacing w:after="109"/>
        <w:ind w:left="355"/>
      </w:pPr>
      <w:r>
        <w:t xml:space="preserve">Marino B, Oskarsdottir S, Philip N, Sullivan K, Swillen A, Vorstman J. International </w:t>
      </w:r>
    </w:p>
    <w:p w:rsidR="00E31E79" w:rsidRDefault="000749FE">
      <w:pPr>
        <w:spacing w:line="357" w:lineRule="auto"/>
        <w:ind w:left="355"/>
      </w:pPr>
      <w:r>
        <w:t>22q11.2 Deletion Syndrome Consortium. Practical guidelines f</w:t>
      </w:r>
      <w:r>
        <w:t xml:space="preserve">or managing patients with 22q11.2 deletion syndrome. J Pediatr. 2011 Aug;159(2):332–9.e1. </w:t>
      </w:r>
    </w:p>
    <w:p w:rsidR="00E31E79" w:rsidRDefault="000749FE">
      <w:pPr>
        <w:numPr>
          <w:ilvl w:val="0"/>
          <w:numId w:val="12"/>
        </w:numPr>
        <w:spacing w:line="357" w:lineRule="auto"/>
        <w:ind w:hanging="370"/>
      </w:pPr>
      <w:r>
        <w:t>Kobayashi D, Sallaam S, Humes RA. Tetralogy of Fallot with complete DiGeorge syndrome: report of a case and a review of the literature. Congenit Heart Dis. 2013 JulA</w:t>
      </w:r>
      <w:r>
        <w:t xml:space="preserve">ug;8(4):E119-26. </w:t>
      </w:r>
    </w:p>
    <w:p w:rsidR="00E31E79" w:rsidRDefault="000749FE">
      <w:pPr>
        <w:numPr>
          <w:ilvl w:val="0"/>
          <w:numId w:val="12"/>
        </w:numPr>
        <w:spacing w:line="357" w:lineRule="auto"/>
        <w:ind w:hanging="370"/>
      </w:pPr>
      <w:r>
        <w:t xml:space="preserve">Chinn IK, Markert ML. Induction of tolerance to parental parathyroid grafts using allogeneic thymus tissue in patients with DiGeorge anomaly. J Allergy Clin Immunol. 2011 Jun;127(6):1351-5. </w:t>
      </w:r>
    </w:p>
    <w:p w:rsidR="00E31E79" w:rsidRDefault="000749FE">
      <w:pPr>
        <w:numPr>
          <w:ilvl w:val="0"/>
          <w:numId w:val="12"/>
        </w:numPr>
        <w:spacing w:after="51" w:line="356" w:lineRule="auto"/>
        <w:ind w:hanging="370"/>
      </w:pPr>
      <w:r>
        <w:t>Saffra N, Reinherz B. Keratoconus in an adult w</w:t>
      </w:r>
      <w:r>
        <w:t xml:space="preserve">ith 22q11.2 deletion syndrome. BMJ Case Rep. 2015 Jan 16;2015. pii: bcr2014203737. </w:t>
      </w:r>
    </w:p>
    <w:p w:rsidR="00E31E79" w:rsidRDefault="000749FE">
      <w:pPr>
        <w:numPr>
          <w:ilvl w:val="0"/>
          <w:numId w:val="12"/>
        </w:numPr>
        <w:spacing w:line="357" w:lineRule="auto"/>
        <w:ind w:hanging="370"/>
      </w:pPr>
      <w:r>
        <w:t>Damlaj M, Séguin C. Refractory autoimmune hemolytic anemia in a patient with DiGeorge syndrome treated successfully with plasma exchange: a case report and review of the li</w:t>
      </w:r>
      <w:r>
        <w:t xml:space="preserve">terature. Int J Hematol. 2014 Nov;100(5):494-7. </w:t>
      </w:r>
    </w:p>
    <w:p w:rsidR="00E31E79" w:rsidRDefault="000749FE">
      <w:pPr>
        <w:numPr>
          <w:ilvl w:val="0"/>
          <w:numId w:val="12"/>
        </w:numPr>
        <w:spacing w:after="45" w:line="360" w:lineRule="auto"/>
        <w:ind w:hanging="370"/>
      </w:pPr>
      <w:r>
        <w:t xml:space="preserve">Baker KD, Skuse DH. Adolescents and young adults with 22q11 deletion syndrome: psychopathology in an at-risk group. Br J Psychiatry. 2005;186:115–20.  </w:t>
      </w:r>
    </w:p>
    <w:p w:rsidR="00E31E79" w:rsidRDefault="000749FE">
      <w:pPr>
        <w:numPr>
          <w:ilvl w:val="0"/>
          <w:numId w:val="12"/>
        </w:numPr>
        <w:spacing w:line="358" w:lineRule="auto"/>
        <w:ind w:hanging="370"/>
      </w:pPr>
      <w:r>
        <w:t>Hacıhamdioğlu B, Hacıhamdioğlu D, Delil K. 22q11 deleti</w:t>
      </w:r>
      <w:r>
        <w:t xml:space="preserve">on syndrome: current perspective. Appl Clin Genet. 2015 May 18;8:123-32. </w:t>
      </w:r>
    </w:p>
    <w:p w:rsidR="00E31E79" w:rsidRDefault="000749FE">
      <w:pPr>
        <w:numPr>
          <w:ilvl w:val="0"/>
          <w:numId w:val="12"/>
        </w:numPr>
        <w:spacing w:after="50" w:line="357" w:lineRule="auto"/>
        <w:ind w:hanging="370"/>
      </w:pPr>
      <w:r>
        <w:rPr>
          <w:color w:val="2A2A2A"/>
        </w:rPr>
        <w:t xml:space="preserve">van der Spek J, Groenwold RH, van der Burg M, van Montfrans JM. TREC Based Newborn Screening for Severe Combined Immunodeficiency Disease: A Systematic Review. </w:t>
      </w:r>
      <w:r>
        <w:rPr>
          <w:i/>
          <w:color w:val="2A2A2A"/>
        </w:rPr>
        <w:t>J Clin Immunol</w:t>
      </w:r>
      <w:r>
        <w:rPr>
          <w:color w:val="2A2A2A"/>
        </w:rPr>
        <w:t>. 2015 M</w:t>
      </w:r>
      <w:r>
        <w:rPr>
          <w:color w:val="2A2A2A"/>
        </w:rPr>
        <w:t>ay. 35 (4):416-30.</w:t>
      </w:r>
      <w:r>
        <w:t xml:space="preserve">  </w:t>
      </w:r>
    </w:p>
    <w:p w:rsidR="00E31E79" w:rsidRDefault="000749FE">
      <w:pPr>
        <w:numPr>
          <w:ilvl w:val="0"/>
          <w:numId w:val="12"/>
        </w:numPr>
        <w:spacing w:after="153"/>
        <w:ind w:hanging="370"/>
      </w:pPr>
      <w:r>
        <w:t xml:space="preserve">Кузьменко Н.Б., Варламова Т.В., Мерсиянова И.В., Райкина Е.В., Бобрынина В.О., </w:t>
      </w:r>
    </w:p>
    <w:p w:rsidR="00E31E79" w:rsidRDefault="000749FE">
      <w:pPr>
        <w:spacing w:line="396" w:lineRule="auto"/>
        <w:ind w:left="355"/>
      </w:pPr>
      <w:r>
        <w:t>Щербина А.Ю. Молекулярно-генетическая диагностика первичных иммунодефицитных состояний. Вопросы гематологии\</w:t>
      </w:r>
      <w:r>
        <w:t xml:space="preserve">онкологии и иммунопатологии в педиатрии. 2016; 15(1):10-16. </w:t>
      </w:r>
    </w:p>
    <w:p w:rsidR="00E31E79" w:rsidRDefault="000749FE">
      <w:pPr>
        <w:numPr>
          <w:ilvl w:val="0"/>
          <w:numId w:val="12"/>
        </w:numPr>
        <w:spacing w:after="51" w:line="357" w:lineRule="auto"/>
        <w:ind w:hanging="370"/>
      </w:pPr>
      <w:r>
        <w:t xml:space="preserve">Francisco A. Bonilla et al; International Consensus Document (ICON): Common Variable Immunodeficiency Disorders.J Allergy Clin Immunol Pract. 2016 ; 4(1): 38–59. </w:t>
      </w:r>
    </w:p>
    <w:p w:rsidR="00E31E79" w:rsidRDefault="000749FE">
      <w:pPr>
        <w:numPr>
          <w:ilvl w:val="0"/>
          <w:numId w:val="12"/>
        </w:numPr>
        <w:spacing w:after="4" w:line="357" w:lineRule="auto"/>
        <w:ind w:hanging="370"/>
      </w:pPr>
      <w:r>
        <w:rPr>
          <w:color w:val="2A2A2A"/>
        </w:rPr>
        <w:t>Bertini V, Azzarà A, Legitimo A,</w:t>
      </w:r>
      <w:r>
        <w:rPr>
          <w:color w:val="2A2A2A"/>
        </w:rPr>
        <w:t xml:space="preserve"> Milone R, Battini R, Consolini R, et al. Deletion Extents Are Not the Cause of Clinical Variability in 22q11.2 Deletion Syndrome: Does the Interaction between DGCR8 and miRNA-CNVs Play a Major Role?. </w:t>
      </w:r>
      <w:r>
        <w:rPr>
          <w:i/>
          <w:color w:val="2A2A2A"/>
        </w:rPr>
        <w:t>Front Genet</w:t>
      </w:r>
      <w:r>
        <w:rPr>
          <w:color w:val="2A2A2A"/>
        </w:rPr>
        <w:t>. 2017. 8:47.</w:t>
      </w:r>
      <w:r>
        <w:t xml:space="preserve">  </w:t>
      </w:r>
    </w:p>
    <w:p w:rsidR="00E31E79" w:rsidRDefault="000749FE">
      <w:pPr>
        <w:numPr>
          <w:ilvl w:val="0"/>
          <w:numId w:val="12"/>
        </w:numPr>
        <w:spacing w:line="358" w:lineRule="auto"/>
        <w:ind w:hanging="370"/>
      </w:pPr>
      <w:r>
        <w:t xml:space="preserve">Carotti A, Digilio MC, Piacentini G, Saffirio C, Di Donato RM, Marino B. Cardiac defects and results of cardiac surgery in 22q11.2 deletion syndrome. Dev Disabil Res Rev. 2008;14(1):35–42.  </w:t>
      </w:r>
    </w:p>
    <w:p w:rsidR="00E31E79" w:rsidRDefault="000749FE">
      <w:pPr>
        <w:numPr>
          <w:ilvl w:val="0"/>
          <w:numId w:val="12"/>
        </w:numPr>
        <w:spacing w:line="358" w:lineRule="auto"/>
        <w:ind w:hanging="370"/>
      </w:pPr>
      <w:r>
        <w:t xml:space="preserve">Leopold C, De Barros A, Cellier C, Drouin-Garraud V, Dehesdin D, </w:t>
      </w:r>
      <w:r>
        <w:t xml:space="preserve">Marie JP. Laryngeal abnormalities are frequent in the 22q11 deletion syndrome. Int J Pediatr Otorhinolaryngol. 2012;76(1):36–40.  </w:t>
      </w:r>
    </w:p>
    <w:p w:rsidR="00E31E79" w:rsidRDefault="000749FE">
      <w:pPr>
        <w:numPr>
          <w:ilvl w:val="0"/>
          <w:numId w:val="12"/>
        </w:numPr>
        <w:spacing w:line="358" w:lineRule="auto"/>
        <w:ind w:hanging="370"/>
      </w:pPr>
      <w:r>
        <w:t xml:space="preserve">Kirschner RE, Baylis AL. Surgical considerations in 22Q11.2 deletion syndrome. Clin Plast Surg. 2014;41(2):271–282.  </w:t>
      </w:r>
    </w:p>
    <w:p w:rsidR="00E31E79" w:rsidRDefault="000749FE">
      <w:pPr>
        <w:numPr>
          <w:ilvl w:val="0"/>
          <w:numId w:val="12"/>
        </w:numPr>
        <w:spacing w:after="0" w:line="357" w:lineRule="auto"/>
        <w:ind w:hanging="370"/>
      </w:pPr>
      <w:r>
        <w:rPr>
          <w:color w:val="303030"/>
        </w:rPr>
        <w:t xml:space="preserve">Davies </w:t>
      </w:r>
      <w:r>
        <w:rPr>
          <w:color w:val="303030"/>
        </w:rPr>
        <w:t xml:space="preserve">EG, Cheung M, Gilmour K, et al. Thymus transplantation for complete DiGeorge syndrome: European experience. </w:t>
      </w:r>
      <w:r>
        <w:rPr>
          <w:i/>
          <w:color w:val="303030"/>
        </w:rPr>
        <w:t>J Allergy Clin Immunol</w:t>
      </w:r>
      <w:r>
        <w:rPr>
          <w:color w:val="303030"/>
        </w:rPr>
        <w:t xml:space="preserve">. 2017;140(6):1660–1670.e16. </w:t>
      </w:r>
      <w:r>
        <w:rPr>
          <w:color w:val="2A2A2A"/>
        </w:rPr>
        <w:t xml:space="preserve"> </w:t>
      </w:r>
    </w:p>
    <w:p w:rsidR="00E31E79" w:rsidRDefault="000749FE">
      <w:pPr>
        <w:numPr>
          <w:ilvl w:val="0"/>
          <w:numId w:val="12"/>
        </w:numPr>
        <w:spacing w:after="4" w:line="357" w:lineRule="auto"/>
        <w:ind w:hanging="370"/>
      </w:pPr>
      <w:r>
        <w:rPr>
          <w:color w:val="2A2A2A"/>
        </w:rPr>
        <w:t xml:space="preserve">Markert ML, Devlin BH, Alexieff MJ, Li J, McCarthy EA, Gupton SE, et al. Review of 54 patients </w:t>
      </w:r>
      <w:r>
        <w:rPr>
          <w:color w:val="2A2A2A"/>
        </w:rPr>
        <w:t xml:space="preserve">with complete DiGeorge anomaly enrolled in protocols for thymus transplantation: outcome of 44 consecutive transplants. </w:t>
      </w:r>
      <w:r>
        <w:rPr>
          <w:i/>
          <w:color w:val="2A2A2A"/>
        </w:rPr>
        <w:t>Blood</w:t>
      </w:r>
      <w:r>
        <w:rPr>
          <w:color w:val="2A2A2A"/>
        </w:rPr>
        <w:t xml:space="preserve">. 2007 May 15. 109(10):4539-47.  </w:t>
      </w:r>
    </w:p>
    <w:p w:rsidR="00E31E79" w:rsidRDefault="000749FE">
      <w:pPr>
        <w:numPr>
          <w:ilvl w:val="0"/>
          <w:numId w:val="12"/>
        </w:numPr>
        <w:spacing w:after="4" w:line="357" w:lineRule="auto"/>
        <w:ind w:hanging="370"/>
      </w:pPr>
      <w:r>
        <w:rPr>
          <w:color w:val="2A2A2A"/>
        </w:rPr>
        <w:t xml:space="preserve">Ciupe SM, Devlin BH, Markert ML, Kepler TB. The dynamics of T-cell receptor repertoire diversity </w:t>
      </w:r>
      <w:r>
        <w:rPr>
          <w:color w:val="2A2A2A"/>
        </w:rPr>
        <w:t xml:space="preserve">following thymus transplantation for DiGeorge anomaly. </w:t>
      </w:r>
      <w:r>
        <w:rPr>
          <w:i/>
          <w:color w:val="2A2A2A"/>
        </w:rPr>
        <w:t>PLoS Comput Biol</w:t>
      </w:r>
      <w:r>
        <w:rPr>
          <w:color w:val="2A2A2A"/>
        </w:rPr>
        <w:t xml:space="preserve">. 2009 Jun. 5(6):e1000396.  </w:t>
      </w:r>
    </w:p>
    <w:p w:rsidR="00E31E79" w:rsidRDefault="000749FE">
      <w:pPr>
        <w:numPr>
          <w:ilvl w:val="0"/>
          <w:numId w:val="12"/>
        </w:numPr>
        <w:spacing w:after="4" w:line="357" w:lineRule="auto"/>
        <w:ind w:hanging="370"/>
      </w:pPr>
      <w:r>
        <w:rPr>
          <w:color w:val="2A2A2A"/>
        </w:rPr>
        <w:t xml:space="preserve">Markert ML, Devlin BH, Chinn IK, McCarthy EA, Li YJ. Factors affecting success of thymus transplantation for complete DiGeorge anomaly. </w:t>
      </w:r>
      <w:r>
        <w:rPr>
          <w:i/>
          <w:color w:val="2A2A2A"/>
        </w:rPr>
        <w:t>Am J Transplant</w:t>
      </w:r>
      <w:r>
        <w:rPr>
          <w:color w:val="2A2A2A"/>
        </w:rPr>
        <w:t>. 200</w:t>
      </w:r>
      <w:r>
        <w:rPr>
          <w:color w:val="2A2A2A"/>
        </w:rPr>
        <w:t xml:space="preserve">8 Aug. </w:t>
      </w:r>
    </w:p>
    <w:p w:rsidR="00E31E79" w:rsidRDefault="000749FE">
      <w:pPr>
        <w:spacing w:after="116" w:line="259" w:lineRule="auto"/>
        <w:ind w:left="360" w:firstLine="0"/>
      </w:pPr>
      <w:r>
        <w:rPr>
          <w:color w:val="2A2A2A"/>
        </w:rPr>
        <w:t xml:space="preserve">8(8):1729-36.  </w:t>
      </w:r>
    </w:p>
    <w:p w:rsidR="00E31E79" w:rsidRDefault="000749FE">
      <w:pPr>
        <w:numPr>
          <w:ilvl w:val="0"/>
          <w:numId w:val="12"/>
        </w:numPr>
        <w:spacing w:after="4" w:line="357" w:lineRule="auto"/>
        <w:ind w:hanging="370"/>
      </w:pPr>
      <w:r>
        <w:rPr>
          <w:color w:val="2A2A2A"/>
        </w:rPr>
        <w:t xml:space="preserve">Markert ML, Boeck A, Hale LP, Kloster AL, McLaughlin TM, Batchvarova MN, et al. Transplantation of thymus tissue in complete DiGeorge syndrome. </w:t>
      </w:r>
      <w:r>
        <w:rPr>
          <w:i/>
          <w:color w:val="2A2A2A"/>
        </w:rPr>
        <w:t>N Engl J Med</w:t>
      </w:r>
      <w:r>
        <w:rPr>
          <w:color w:val="2A2A2A"/>
        </w:rPr>
        <w:t xml:space="preserve">. 1999 Oct 14. 341(16):1180-9.  </w:t>
      </w:r>
    </w:p>
    <w:p w:rsidR="00E31E79" w:rsidRDefault="000749FE">
      <w:pPr>
        <w:numPr>
          <w:ilvl w:val="0"/>
          <w:numId w:val="12"/>
        </w:numPr>
        <w:spacing w:after="4" w:line="357" w:lineRule="auto"/>
        <w:ind w:hanging="370"/>
      </w:pPr>
      <w:r>
        <w:rPr>
          <w:color w:val="2A2A2A"/>
        </w:rPr>
        <w:t>Waters V, Peterson KS, LaRussa P. Live vira</w:t>
      </w:r>
      <w:r>
        <w:rPr>
          <w:color w:val="2A2A2A"/>
        </w:rPr>
        <w:t xml:space="preserve">l vaccines in a DiGeorge syndrome patient. </w:t>
      </w:r>
      <w:r>
        <w:rPr>
          <w:i/>
          <w:color w:val="2A2A2A"/>
        </w:rPr>
        <w:t>Arch Dis Child</w:t>
      </w:r>
      <w:r>
        <w:rPr>
          <w:color w:val="2A2A2A"/>
        </w:rPr>
        <w:t xml:space="preserve">. 2007 Jun. 92(6):519-20.  </w:t>
      </w:r>
    </w:p>
    <w:p w:rsidR="00E31E79" w:rsidRDefault="000749FE">
      <w:pPr>
        <w:numPr>
          <w:ilvl w:val="0"/>
          <w:numId w:val="12"/>
        </w:numPr>
        <w:spacing w:after="4" w:line="357" w:lineRule="auto"/>
        <w:ind w:hanging="370"/>
      </w:pPr>
      <w:r>
        <w:rPr>
          <w:color w:val="2A2A2A"/>
        </w:rPr>
        <w:t>Azzari C, Gambineri E, Resti M, Moriondo M, Betti L, Saldias LR, et al. Safety and immunogenicity of measles-mumps-rubella vaccine in children with congenital immunodefici</w:t>
      </w:r>
      <w:r>
        <w:rPr>
          <w:color w:val="2A2A2A"/>
        </w:rPr>
        <w:t xml:space="preserve">ency (DiGeorge syndrome). </w:t>
      </w:r>
      <w:r>
        <w:rPr>
          <w:i/>
          <w:color w:val="2A2A2A"/>
        </w:rPr>
        <w:t>Vaccine</w:t>
      </w:r>
      <w:r>
        <w:rPr>
          <w:color w:val="2A2A2A"/>
        </w:rPr>
        <w:t xml:space="preserve">. 2005 Feb 25. 23(14):1668-71.  </w:t>
      </w:r>
    </w:p>
    <w:p w:rsidR="00E31E79" w:rsidRDefault="000749FE">
      <w:pPr>
        <w:numPr>
          <w:ilvl w:val="0"/>
          <w:numId w:val="12"/>
        </w:numPr>
        <w:spacing w:after="4" w:line="357" w:lineRule="auto"/>
        <w:ind w:hanging="370"/>
      </w:pPr>
      <w:r>
        <w:rPr>
          <w:color w:val="2A2A2A"/>
        </w:rPr>
        <w:t xml:space="preserve">Moylett EH, Wasan AN, Noroski LM, Shearer WT. Live viral vaccines in patients with partial DiGeorge syndrome: clinical experience and cellular immunity. </w:t>
      </w:r>
      <w:r>
        <w:rPr>
          <w:i/>
          <w:color w:val="2A2A2A"/>
        </w:rPr>
        <w:t>Clin Immunol</w:t>
      </w:r>
      <w:r>
        <w:rPr>
          <w:color w:val="2A2A2A"/>
        </w:rPr>
        <w:t>. 2004 Jul. 112(1):106-12</w:t>
      </w:r>
      <w:r>
        <w:rPr>
          <w:color w:val="2A2A2A"/>
        </w:rPr>
        <w:t xml:space="preserve">.   </w:t>
      </w:r>
    </w:p>
    <w:p w:rsidR="00E31E79" w:rsidRDefault="000749FE">
      <w:pPr>
        <w:numPr>
          <w:ilvl w:val="0"/>
          <w:numId w:val="12"/>
        </w:numPr>
        <w:spacing w:after="4" w:line="357" w:lineRule="auto"/>
        <w:ind w:hanging="370"/>
      </w:pPr>
      <w:r>
        <w:rPr>
          <w:color w:val="2A2A2A"/>
        </w:rPr>
        <w:t xml:space="preserve">Perez EE, Bokszczanin A, McDonald-McGinn D, Zackai EH, Sullivan KE. Safety of live viral vaccines in patients with chromosome 22q11.2 deletion syndrome (DiGeorge syndrome/velocardiofacial syndrome). </w:t>
      </w:r>
      <w:r>
        <w:rPr>
          <w:i/>
          <w:color w:val="2A2A2A"/>
        </w:rPr>
        <w:t>Pediatrics</w:t>
      </w:r>
      <w:r>
        <w:rPr>
          <w:color w:val="2A2A2A"/>
        </w:rPr>
        <w:t xml:space="preserve">. 2003 Oct. 112(4):e325. </w:t>
      </w:r>
    </w:p>
    <w:p w:rsidR="00E31E79" w:rsidRDefault="00E31E79">
      <w:pPr>
        <w:sectPr w:rsidR="00E31E79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1906" w:h="16838"/>
          <w:pgMar w:top="1137" w:right="844" w:bottom="1287" w:left="2062" w:header="720" w:footer="714" w:gutter="0"/>
          <w:cols w:space="720"/>
        </w:sectPr>
      </w:pPr>
    </w:p>
    <w:p w:rsidR="00E31E79" w:rsidRDefault="000749FE">
      <w:pPr>
        <w:spacing w:after="690" w:line="259" w:lineRule="auto"/>
        <w:ind w:left="708" w:firstLine="0"/>
        <w:jc w:val="left"/>
      </w:pPr>
      <w:r>
        <w:rPr>
          <w:color w:val="2A2A2A"/>
        </w:rPr>
        <w:t xml:space="preserve"> </w:t>
      </w:r>
    </w:p>
    <w:p w:rsidR="00E31E79" w:rsidRDefault="000749FE">
      <w:pPr>
        <w:pStyle w:val="Heading1"/>
        <w:ind w:right="5"/>
      </w:pPr>
      <w:r>
        <w:t xml:space="preserve">Приложение А1. Состав рабочей группы </w:t>
      </w:r>
    </w:p>
    <w:p w:rsidR="00E31E79" w:rsidRDefault="000749FE">
      <w:pPr>
        <w:spacing w:line="385" w:lineRule="auto"/>
        <w:ind w:left="0" w:firstLine="708"/>
      </w:pPr>
      <w:r>
        <w:rPr>
          <w:b/>
        </w:rPr>
        <w:t xml:space="preserve">Румянцев Александр Григорьевич - </w:t>
      </w:r>
      <w:r>
        <w:t>доктор медицинских наук, профессор, академик РАМН, президент Национального о</w:t>
      </w:r>
      <w:r>
        <w:t>бщества экспертов в области первичных иммунодефицитов, член Национального общества детских гематологов и онкологов, член Европейского общества гематологов</w:t>
      </w:r>
      <w:r>
        <w:rPr>
          <w:b/>
        </w:rPr>
        <w:t xml:space="preserve"> </w:t>
      </w:r>
    </w:p>
    <w:p w:rsidR="00E31E79" w:rsidRDefault="000749FE">
      <w:pPr>
        <w:spacing w:after="31" w:line="371" w:lineRule="auto"/>
        <w:ind w:left="0" w:firstLine="708"/>
      </w:pPr>
      <w:r>
        <w:rPr>
          <w:b/>
        </w:rPr>
        <w:t>Щербина Анна Юрьевна</w:t>
      </w:r>
      <w:r>
        <w:t xml:space="preserve"> — </w:t>
      </w:r>
      <w:r>
        <w:t xml:space="preserve">доктор медицинских наук, исполнительный директор Национального общества экспертов в области первичных иммунодефицитов, член Национального общества детских гематологов и онкологов, член Европейского общества иммунодефицитов </w:t>
      </w:r>
    </w:p>
    <w:p w:rsidR="00E31E79" w:rsidRDefault="000749FE">
      <w:pPr>
        <w:spacing w:after="31" w:line="371" w:lineRule="auto"/>
        <w:ind w:left="0" w:firstLine="708"/>
      </w:pPr>
      <w:r>
        <w:rPr>
          <w:b/>
        </w:rPr>
        <w:t>Кузьменко Наталия Борисовна</w:t>
      </w:r>
      <w:r>
        <w:t xml:space="preserve"> — ка</w:t>
      </w:r>
      <w:r>
        <w:t xml:space="preserve">ндидат медицинских наук, член Национального общества экспертов в области первичных иммунодефицитов, член Национального общества детских гематологов и онкологов, член Европейского общества иммунодефицитов </w:t>
      </w:r>
    </w:p>
    <w:p w:rsidR="00E31E79" w:rsidRDefault="000749FE">
      <w:pPr>
        <w:spacing w:line="399" w:lineRule="auto"/>
        <w:ind w:left="730"/>
      </w:pPr>
      <w:r>
        <w:rPr>
          <w:b/>
        </w:rPr>
        <w:t xml:space="preserve">Латышева Татьяна Васильевна </w:t>
      </w:r>
      <w:r>
        <w:t>- доктор медицинских на</w:t>
      </w:r>
      <w:r>
        <w:t xml:space="preserve">ук, профессор, член президиума Российской ассоциации аллергологов и клинических иммунологов.   </w:t>
      </w:r>
    </w:p>
    <w:p w:rsidR="00E31E79" w:rsidRDefault="000749FE">
      <w:pPr>
        <w:spacing w:line="386" w:lineRule="auto"/>
        <w:ind w:left="0" w:firstLine="708"/>
      </w:pPr>
      <w:r>
        <w:rPr>
          <w:b/>
        </w:rPr>
        <w:t>Швец Олеся Васильевна</w:t>
      </w:r>
      <w:r>
        <w:t xml:space="preserve"> - </w:t>
      </w:r>
      <w:r>
        <w:t xml:space="preserve">член Национального общества экспертов в области первичных иммунодефицитов, член Национального общества детских гематологов и онкологов, член Европейского общества иммунодефицитов </w:t>
      </w:r>
      <w:r>
        <w:rPr>
          <w:b/>
        </w:rPr>
        <w:t xml:space="preserve">Конфликт интересов:  </w:t>
      </w:r>
    </w:p>
    <w:p w:rsidR="00E31E79" w:rsidRDefault="000749FE">
      <w:pPr>
        <w:spacing w:line="392" w:lineRule="auto"/>
        <w:ind w:left="0" w:firstLine="708"/>
      </w:pPr>
      <w:r>
        <w:t>Шербина А.Ю.</w:t>
      </w:r>
      <w:r>
        <w:rPr>
          <w:b/>
        </w:rPr>
        <w:t xml:space="preserve"> </w:t>
      </w:r>
      <w:r>
        <w:t>в течение последних 5 лет осуществляла лек</w:t>
      </w:r>
      <w:r>
        <w:t>торскую деятельность при поддержке компаний CSL Behring, Kedrion, Biotest, РФарм, являющиеся изготовителями\дистрибьюторами препаратов внутривенных иммуноглобулинов. Не участвовала в принятии окончательной редакции раздела лечения.</w:t>
      </w:r>
      <w:r>
        <w:rPr>
          <w:b/>
        </w:rPr>
        <w:t xml:space="preserve"> </w:t>
      </w:r>
    </w:p>
    <w:p w:rsidR="00E31E79" w:rsidRDefault="000749FE">
      <w:pPr>
        <w:spacing w:line="387" w:lineRule="auto"/>
        <w:ind w:left="-15" w:right="75" w:firstLine="698"/>
        <w:jc w:val="left"/>
      </w:pPr>
      <w:r>
        <w:t>Кузьменко Н.Б</w:t>
      </w:r>
      <w:r>
        <w:rPr>
          <w:b/>
        </w:rPr>
        <w:t xml:space="preserve"> </w:t>
      </w:r>
      <w:r>
        <w:t>в течение</w:t>
      </w:r>
      <w:r>
        <w:t xml:space="preserve"> последних 5 лет осуществляла лекторскую деятельность при поддержке компаний CSL Behring, являющейся изготовителем препаратов внутривенных иммуноглобулинов. Не участвовала в принятии окончательной редакции раздела лечения.</w:t>
      </w:r>
    </w:p>
    <w:p w:rsidR="00E31E79" w:rsidRDefault="000749FE">
      <w:pPr>
        <w:spacing w:after="148" w:line="259" w:lineRule="auto"/>
        <w:ind w:left="-5"/>
        <w:jc w:val="left"/>
      </w:pPr>
      <w:r>
        <w:rPr>
          <w:b/>
          <w:sz w:val="28"/>
        </w:rPr>
        <w:t>Приложение А2. Методология разраб</w:t>
      </w:r>
      <w:r>
        <w:rPr>
          <w:b/>
          <w:sz w:val="28"/>
        </w:rPr>
        <w:t xml:space="preserve">отки клинических рекомендаций </w:t>
      </w:r>
    </w:p>
    <w:p w:rsidR="00E31E79" w:rsidRDefault="000749FE">
      <w:pPr>
        <w:spacing w:after="154"/>
        <w:ind w:left="703"/>
        <w:jc w:val="left"/>
      </w:pPr>
      <w:r>
        <w:rPr>
          <w:b/>
        </w:rPr>
        <w:t xml:space="preserve">Целевая аудитория данных клинических рекомендаций: </w:t>
      </w:r>
    </w:p>
    <w:p w:rsidR="00E31E79" w:rsidRDefault="000749FE">
      <w:pPr>
        <w:numPr>
          <w:ilvl w:val="0"/>
          <w:numId w:val="13"/>
        </w:numPr>
        <w:spacing w:after="160"/>
        <w:ind w:hanging="708"/>
      </w:pPr>
      <w:r>
        <w:t xml:space="preserve">Иммунологи 14.03.09 </w:t>
      </w:r>
    </w:p>
    <w:p w:rsidR="00E31E79" w:rsidRDefault="000749FE">
      <w:pPr>
        <w:numPr>
          <w:ilvl w:val="0"/>
          <w:numId w:val="13"/>
        </w:numPr>
        <w:spacing w:after="160"/>
        <w:ind w:hanging="708"/>
      </w:pPr>
      <w:r>
        <w:t xml:space="preserve">Педиатры 14.01.08 </w:t>
      </w:r>
    </w:p>
    <w:p w:rsidR="00E31E79" w:rsidRDefault="000749FE">
      <w:pPr>
        <w:numPr>
          <w:ilvl w:val="0"/>
          <w:numId w:val="13"/>
        </w:numPr>
        <w:spacing w:after="160"/>
        <w:ind w:hanging="708"/>
      </w:pPr>
      <w:r>
        <w:t xml:space="preserve">Врачи общей практики 31.08.54  </w:t>
      </w:r>
    </w:p>
    <w:p w:rsidR="00E31E79" w:rsidRDefault="000749FE">
      <w:pPr>
        <w:numPr>
          <w:ilvl w:val="0"/>
          <w:numId w:val="13"/>
        </w:numPr>
        <w:spacing w:after="158"/>
        <w:ind w:hanging="708"/>
      </w:pPr>
      <w:r>
        <w:t xml:space="preserve">Гематологи 14.01.21 </w:t>
      </w:r>
    </w:p>
    <w:p w:rsidR="00E31E79" w:rsidRDefault="000749FE">
      <w:pPr>
        <w:numPr>
          <w:ilvl w:val="0"/>
          <w:numId w:val="13"/>
        </w:numPr>
        <w:spacing w:after="141"/>
        <w:ind w:hanging="708"/>
      </w:pPr>
      <w:r>
        <w:t xml:space="preserve">Кардиологи 14.01.05 </w:t>
      </w:r>
    </w:p>
    <w:p w:rsidR="00E31E79" w:rsidRDefault="000749FE">
      <w:pPr>
        <w:numPr>
          <w:ilvl w:val="0"/>
          <w:numId w:val="13"/>
        </w:numPr>
        <w:spacing w:after="114"/>
        <w:ind w:hanging="708"/>
      </w:pPr>
      <w:r>
        <w:t xml:space="preserve">Неврологи 14.01.11 </w:t>
      </w:r>
    </w:p>
    <w:p w:rsidR="00E31E79" w:rsidRDefault="000749FE">
      <w:pPr>
        <w:spacing w:after="162" w:line="259" w:lineRule="auto"/>
        <w:ind w:left="708" w:firstLine="0"/>
        <w:jc w:val="left"/>
      </w:pPr>
      <w:r>
        <w:t xml:space="preserve"> </w:t>
      </w:r>
    </w:p>
    <w:p w:rsidR="00E31E79" w:rsidRDefault="000749FE">
      <w:pPr>
        <w:spacing w:after="111"/>
        <w:ind w:left="718"/>
      </w:pPr>
      <w:r>
        <w:rPr>
          <w:b/>
        </w:rPr>
        <w:t>Таблица П1</w:t>
      </w:r>
      <w:r>
        <w:t xml:space="preserve"> – Уровни достоверности док</w:t>
      </w:r>
      <w:r>
        <w:t xml:space="preserve">азательств </w:t>
      </w:r>
    </w:p>
    <w:p w:rsidR="00E31E79" w:rsidRDefault="000749F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793"/>
        <w:gridCol w:w="7780"/>
      </w:tblGrid>
      <w:tr w:rsidR="00E31E79">
        <w:trPr>
          <w:trHeight w:val="562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Уровень достоверности </w:t>
            </w:r>
          </w:p>
        </w:tc>
        <w:tc>
          <w:tcPr>
            <w:tcW w:w="7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Источник доказательств </w:t>
            </w:r>
          </w:p>
        </w:tc>
      </w:tr>
      <w:tr w:rsidR="00E31E79">
        <w:trPr>
          <w:trHeight w:val="2218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 (1) </w:t>
            </w:r>
          </w:p>
        </w:tc>
        <w:tc>
          <w:tcPr>
            <w:tcW w:w="7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Проспективные рандомизированные контролируемые исследования </w:t>
            </w:r>
          </w:p>
          <w:p w:rsidR="00E31E79" w:rsidRDefault="000749FE">
            <w:pPr>
              <w:spacing w:after="0" w:line="264" w:lineRule="auto"/>
              <w:ind w:left="0" w:right="67" w:firstLine="0"/>
            </w:pPr>
            <w:r>
              <w:rPr>
                <w:color w:val="111111"/>
              </w:rPr>
              <w:t xml:space="preserve">Достаточное количество исследований с достаточной мощностью, с участием большого количества пациентов и получением большого количества данных Крупные мета-анализы </w:t>
            </w:r>
          </w:p>
          <w:p w:rsidR="00E31E79" w:rsidRDefault="000749FE">
            <w:pPr>
              <w:spacing w:after="0" w:line="259" w:lineRule="auto"/>
              <w:ind w:left="0" w:right="63" w:firstLine="0"/>
              <w:jc w:val="left"/>
            </w:pPr>
            <w:r>
              <w:rPr>
                <w:color w:val="111111"/>
              </w:rPr>
              <w:t xml:space="preserve">Как </w:t>
            </w:r>
            <w:r>
              <w:rPr>
                <w:color w:val="111111"/>
              </w:rPr>
              <w:tab/>
              <w:t xml:space="preserve">минимум </w:t>
            </w:r>
            <w:r>
              <w:rPr>
                <w:color w:val="111111"/>
              </w:rPr>
              <w:tab/>
              <w:t xml:space="preserve">одно </w:t>
            </w:r>
            <w:r>
              <w:rPr>
                <w:color w:val="111111"/>
              </w:rPr>
              <w:tab/>
              <w:t xml:space="preserve">хорошо </w:t>
            </w:r>
            <w:r>
              <w:rPr>
                <w:color w:val="111111"/>
              </w:rPr>
              <w:tab/>
              <w:t xml:space="preserve">организованное </w:t>
            </w:r>
            <w:r>
              <w:rPr>
                <w:color w:val="111111"/>
              </w:rPr>
              <w:tab/>
              <w:t>рандомизированное контролируемое исследование Ре</w:t>
            </w:r>
            <w:r>
              <w:rPr>
                <w:color w:val="111111"/>
              </w:rPr>
              <w:t xml:space="preserve">презентативная выборка пациентов </w:t>
            </w:r>
          </w:p>
        </w:tc>
      </w:tr>
      <w:tr w:rsidR="00E31E79">
        <w:trPr>
          <w:trHeight w:val="1942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II (2) </w:t>
            </w:r>
          </w:p>
        </w:tc>
        <w:tc>
          <w:tcPr>
            <w:tcW w:w="7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1" w:line="278" w:lineRule="auto"/>
              <w:ind w:left="0" w:firstLine="0"/>
            </w:pPr>
            <w:r>
              <w:rPr>
                <w:color w:val="111111"/>
              </w:rPr>
              <w:t xml:space="preserve">Проспективные с рандомизацией или без исследования с ограниченным количеством данных </w:t>
            </w:r>
          </w:p>
          <w:p w:rsidR="00E31E79" w:rsidRDefault="000749FE">
            <w:pPr>
              <w:spacing w:after="23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Несколько исследований с небольшим количеством пациентов </w:t>
            </w:r>
          </w:p>
          <w:p w:rsidR="00E31E79" w:rsidRDefault="000749FE">
            <w:pPr>
              <w:spacing w:after="22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Хорошо организованное проспективное исследование когорты </w:t>
            </w:r>
          </w:p>
          <w:p w:rsidR="00E31E79" w:rsidRDefault="000749FE">
            <w:pPr>
              <w:spacing w:after="23" w:line="259" w:lineRule="auto"/>
              <w:ind w:left="0" w:firstLine="0"/>
              <w:jc w:val="left"/>
            </w:pPr>
            <w:r>
              <w:rPr>
                <w:color w:val="111111"/>
              </w:rPr>
              <w:t>Мета-</w:t>
            </w:r>
            <w:r>
              <w:rPr>
                <w:color w:val="111111"/>
              </w:rPr>
              <w:t xml:space="preserve">анализы ограничены, но проведены на хорошем уровне </w:t>
            </w:r>
          </w:p>
          <w:p w:rsidR="00E31E79" w:rsidRDefault="000749FE">
            <w:pPr>
              <w:spacing w:after="22" w:line="259" w:lineRule="auto"/>
              <w:ind w:left="0" w:firstLine="0"/>
              <w:jc w:val="left"/>
            </w:pPr>
            <w:r>
              <w:rPr>
                <w:color w:val="111111"/>
              </w:rPr>
              <w:t xml:space="preserve">Результаты не презентативны в отношении целевой популяции </w:t>
            </w:r>
          </w:p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color w:val="111111"/>
              </w:rPr>
              <w:t>Хорошо организованные исследования «случай-контроль»</w:t>
            </w:r>
            <w:r>
              <w:rPr>
                <w:color w:val="FF0000"/>
              </w:rPr>
              <w:t xml:space="preserve"> </w:t>
            </w:r>
          </w:p>
        </w:tc>
      </w:tr>
      <w:tr w:rsidR="00E31E79">
        <w:trPr>
          <w:trHeight w:val="249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III (3) </w:t>
            </w:r>
          </w:p>
        </w:tc>
        <w:tc>
          <w:tcPr>
            <w:tcW w:w="7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22" w:line="259" w:lineRule="auto"/>
              <w:ind w:left="0" w:firstLine="0"/>
              <w:jc w:val="left"/>
            </w:pPr>
            <w:r>
              <w:t xml:space="preserve">Нерандомизированные контролируемые исследования </w:t>
            </w:r>
          </w:p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t xml:space="preserve">Исследования с недостаточным контролем </w:t>
            </w:r>
          </w:p>
          <w:p w:rsidR="00E31E79" w:rsidRDefault="000749FE">
            <w:pPr>
              <w:spacing w:after="24" w:line="258" w:lineRule="auto"/>
              <w:ind w:left="0" w:right="64" w:firstLine="0"/>
            </w:pPr>
            <w:r>
              <w:t xml:space="preserve">Рандомизированные клинические исследования с как минимум 1 значительной или как минимум 3 незначительными методологическими ошибками </w:t>
            </w:r>
          </w:p>
          <w:p w:rsidR="00E31E79" w:rsidRDefault="000749FE">
            <w:pPr>
              <w:spacing w:after="22" w:line="259" w:lineRule="auto"/>
              <w:ind w:left="0" w:firstLine="0"/>
              <w:jc w:val="left"/>
            </w:pPr>
            <w:r>
              <w:t xml:space="preserve">Ретроспективные или наблюдательные исследования </w:t>
            </w:r>
          </w:p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t xml:space="preserve">Серия клинических наблюдений </w:t>
            </w:r>
          </w:p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t>Про</w:t>
            </w:r>
            <w:r>
              <w:t xml:space="preserve">тиворечивые данные, не позволяющие сформировать окончательную рекомендацию  </w:t>
            </w:r>
          </w:p>
        </w:tc>
      </w:tr>
      <w:tr w:rsidR="00E31E79">
        <w:trPr>
          <w:trHeight w:val="562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IV (4) </w:t>
            </w:r>
          </w:p>
        </w:tc>
        <w:tc>
          <w:tcPr>
            <w:tcW w:w="7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tabs>
                <w:tab w:val="center" w:pos="2057"/>
                <w:tab w:val="center" w:pos="3411"/>
                <w:tab w:val="center" w:pos="4243"/>
                <w:tab w:val="center" w:pos="5544"/>
                <w:tab w:val="right" w:pos="7624"/>
              </w:tabs>
              <w:spacing w:after="29" w:line="259" w:lineRule="auto"/>
              <w:ind w:left="0" w:firstLine="0"/>
              <w:jc w:val="left"/>
            </w:pPr>
            <w:r>
              <w:t xml:space="preserve">Мнение </w:t>
            </w:r>
            <w:r>
              <w:tab/>
              <w:t xml:space="preserve">эксперта/данные </w:t>
            </w:r>
            <w:r>
              <w:tab/>
              <w:t xml:space="preserve">из </w:t>
            </w:r>
            <w:r>
              <w:tab/>
              <w:t xml:space="preserve">отчета </w:t>
            </w:r>
            <w:r>
              <w:tab/>
              <w:t xml:space="preserve">экспертной </w:t>
            </w:r>
            <w:r>
              <w:tab/>
              <w:t xml:space="preserve">комиссии, </w:t>
            </w:r>
          </w:p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t xml:space="preserve">экспериментально подтвержденные и теоретически обоснованные  </w:t>
            </w:r>
          </w:p>
        </w:tc>
      </w:tr>
    </w:tbl>
    <w:p w:rsidR="00E31E79" w:rsidRDefault="000749FE">
      <w:pPr>
        <w:spacing w:after="115" w:line="259" w:lineRule="auto"/>
        <w:ind w:left="0" w:firstLine="0"/>
        <w:jc w:val="left"/>
      </w:pPr>
      <w:r>
        <w:rPr>
          <w:b/>
        </w:rPr>
        <w:t xml:space="preserve"> </w:t>
      </w:r>
    </w:p>
    <w:p w:rsidR="00E31E79" w:rsidRDefault="000749FE">
      <w:pPr>
        <w:spacing w:after="113" w:line="259" w:lineRule="auto"/>
        <w:ind w:left="708" w:firstLine="0"/>
        <w:jc w:val="left"/>
      </w:pPr>
      <w:r>
        <w:rPr>
          <w:b/>
        </w:rPr>
        <w:t xml:space="preserve"> </w:t>
      </w:r>
    </w:p>
    <w:p w:rsidR="00E31E79" w:rsidRDefault="000749FE">
      <w:pPr>
        <w:spacing w:after="115" w:line="259" w:lineRule="auto"/>
        <w:ind w:left="708" w:firstLine="0"/>
        <w:jc w:val="left"/>
      </w:pPr>
      <w:r>
        <w:rPr>
          <w:b/>
        </w:rPr>
        <w:t xml:space="preserve"> </w:t>
      </w:r>
    </w:p>
    <w:p w:rsidR="00E31E79" w:rsidRDefault="000749FE">
      <w:pPr>
        <w:spacing w:after="0" w:line="259" w:lineRule="auto"/>
        <w:ind w:left="708" w:firstLine="0"/>
        <w:jc w:val="left"/>
      </w:pPr>
      <w:r>
        <w:rPr>
          <w:b/>
        </w:rPr>
        <w:t xml:space="preserve"> </w:t>
      </w:r>
    </w:p>
    <w:p w:rsidR="00E31E79" w:rsidRDefault="000749FE">
      <w:pPr>
        <w:spacing w:after="114"/>
        <w:ind w:left="718"/>
      </w:pPr>
      <w:r>
        <w:rPr>
          <w:b/>
        </w:rPr>
        <w:t>Таблица П2</w:t>
      </w:r>
      <w:r>
        <w:t xml:space="preserve"> – </w:t>
      </w:r>
      <w:r>
        <w:t xml:space="preserve">Уровни убедительности рекомендаций </w:t>
      </w:r>
    </w:p>
    <w:p w:rsidR="00E31E79" w:rsidRDefault="000749F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890" w:type="dxa"/>
        <w:tblInd w:w="-108" w:type="dxa"/>
        <w:tblCellMar>
          <w:top w:w="54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930"/>
        <w:gridCol w:w="3795"/>
        <w:gridCol w:w="4165"/>
      </w:tblGrid>
      <w:tr w:rsidR="00E31E79">
        <w:trPr>
          <w:trHeight w:val="564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Уровень убедительности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Описание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Расшифровка </w:t>
            </w:r>
          </w:p>
        </w:tc>
      </w:tr>
      <w:tr w:rsidR="00E31E79">
        <w:trPr>
          <w:trHeight w:val="1942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A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37" w:line="246" w:lineRule="auto"/>
              <w:ind w:left="0" w:right="60" w:firstLine="0"/>
            </w:pPr>
            <w:r>
              <w:t xml:space="preserve">Рекомендация основана на высоком уровне доказательности (как минимум 1 убедительная публикация I уровня доказательности, показывающая значительное превосходство </w:t>
            </w:r>
          </w:p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t xml:space="preserve">пользы над риском)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E79" w:rsidRDefault="000749FE">
            <w:pPr>
              <w:spacing w:after="46" w:line="238" w:lineRule="auto"/>
              <w:ind w:left="0" w:firstLine="0"/>
            </w:pPr>
            <w:r>
              <w:t xml:space="preserve">Метод/терапия первой линии; либо в сочетании со стандартной </w:t>
            </w:r>
          </w:p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t xml:space="preserve">методикой/терапией </w:t>
            </w:r>
          </w:p>
        </w:tc>
      </w:tr>
      <w:tr w:rsidR="00E31E79">
        <w:trPr>
          <w:trHeight w:val="1942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B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37" w:line="246" w:lineRule="auto"/>
              <w:ind w:left="0" w:right="60" w:firstLine="0"/>
            </w:pPr>
            <w:r>
              <w:t xml:space="preserve">Рекомендация основана на среднем уровне доказательности (как минимум 1 убедительная публикация II </w:t>
            </w:r>
            <w:r>
              <w:t xml:space="preserve">уровня доказательности, показывающая значительное превосходство </w:t>
            </w:r>
          </w:p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t xml:space="preserve">пользы над риском)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E79" w:rsidRDefault="000749FE">
            <w:pPr>
              <w:spacing w:after="0" w:line="259" w:lineRule="auto"/>
              <w:ind w:left="0" w:right="61" w:firstLine="0"/>
            </w:pPr>
            <w:r>
              <w:t xml:space="preserve">Метод/терапия второй линии; либо при отказе, противопоказании, или неэффективности стандартной методики/терапии. Рекомендуется мониторирование побочных явлений </w:t>
            </w:r>
          </w:p>
        </w:tc>
      </w:tr>
      <w:tr w:rsidR="00E31E79">
        <w:trPr>
          <w:trHeight w:val="2494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C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33" w:line="249" w:lineRule="auto"/>
              <w:ind w:left="0" w:right="60" w:firstLine="0"/>
            </w:pPr>
            <w:r>
              <w:t xml:space="preserve">Рекомендация основана на слабом уровне доказательности (но как минимум 1 убедительная публикация III уровня доказательности, показывающая значительное превосходство пользы над риском) </w:t>
            </w:r>
            <w:r>
              <w:rPr>
                <w:i/>
              </w:rPr>
              <w:t xml:space="preserve">или </w:t>
            </w:r>
            <w:r>
              <w:t xml:space="preserve">нет убедительных данных ни о </w:t>
            </w:r>
          </w:p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t xml:space="preserve">пользе, ни о риске) 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46" w:line="238" w:lineRule="auto"/>
              <w:ind w:left="0" w:right="61" w:firstLine="0"/>
            </w:pPr>
            <w:r>
              <w:t>Нет возражений п</w:t>
            </w:r>
            <w:r>
              <w:t xml:space="preserve">ротив данного метода/терапии или нет возражений против продолжения данного </w:t>
            </w:r>
          </w:p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t xml:space="preserve">метода/терапии </w:t>
            </w:r>
          </w:p>
          <w:p w:rsidR="00E31E79" w:rsidRDefault="000749FE">
            <w:pPr>
              <w:spacing w:after="0" w:line="259" w:lineRule="auto"/>
              <w:ind w:left="0" w:right="61" w:firstLine="0"/>
            </w:pPr>
            <w:r>
              <w:t xml:space="preserve">Рекомендовано при отказе, противопоказании, или неэффективности стандартной методики/терапии, при условии отсутствия побочных эффектов </w:t>
            </w:r>
          </w:p>
        </w:tc>
      </w:tr>
      <w:tr w:rsidR="00E31E79">
        <w:trPr>
          <w:trHeight w:val="2494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D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79" w:rsidRDefault="000749FE">
            <w:pPr>
              <w:spacing w:after="29" w:line="253" w:lineRule="auto"/>
              <w:ind w:left="0" w:right="59" w:firstLine="0"/>
            </w:pPr>
            <w:r>
              <w:t xml:space="preserve">Отсутствие убедительных публикаций I, II или III уровня доказательности, показывающих значительное превосходство пользы над риском, либо убедительные публикации I, II или III уровня доказательности, показывающие значительное </w:t>
            </w:r>
          </w:p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t>превосходство риска над пользо</w:t>
            </w:r>
            <w:r>
              <w:t xml:space="preserve">й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E79" w:rsidRDefault="000749FE">
            <w:pPr>
              <w:spacing w:after="0" w:line="259" w:lineRule="auto"/>
              <w:ind w:left="0" w:firstLine="0"/>
              <w:jc w:val="left"/>
            </w:pPr>
            <w:r>
              <w:t xml:space="preserve">Не рекомендовано </w:t>
            </w:r>
          </w:p>
        </w:tc>
      </w:tr>
    </w:tbl>
    <w:p w:rsidR="00E31E79" w:rsidRDefault="000749FE">
      <w:pPr>
        <w:spacing w:after="165" w:line="259" w:lineRule="auto"/>
        <w:ind w:left="0" w:firstLine="0"/>
        <w:jc w:val="left"/>
      </w:pPr>
      <w:r>
        <w:rPr>
          <w:b/>
        </w:rPr>
        <w:t xml:space="preserve"> </w:t>
      </w:r>
    </w:p>
    <w:p w:rsidR="00E31E79" w:rsidRDefault="000749FE">
      <w:pPr>
        <w:pStyle w:val="Heading3"/>
        <w:spacing w:after="102"/>
        <w:ind w:left="703"/>
      </w:pPr>
      <w:r>
        <w:t>Порядок обновления клинических рекомендаций</w:t>
      </w:r>
      <w:r>
        <w:rPr>
          <w:b w:val="0"/>
        </w:rPr>
        <w:t xml:space="preserve">  </w:t>
      </w:r>
    </w:p>
    <w:p w:rsidR="00E31E79" w:rsidRDefault="000749FE">
      <w:pPr>
        <w:spacing w:after="437" w:line="364" w:lineRule="auto"/>
        <w:ind w:left="0" w:firstLine="708"/>
      </w:pPr>
      <w:r>
        <w:t>Механизм обновления клинических рекомендаций предусматривает их систематическую актуализацию – не реже чем один раз в три года или при появлении новой информации о тактике ведения пациен</w:t>
      </w:r>
      <w:r>
        <w:t>тов с данным заболеванием. Решение об обновлении принимает МЗ РФ на основе предложений, представленных медицинскими некоммерческими профессиональными организациями. Сформированные предложения должны учитывать результаты комплексной оценки лекарственных пре</w:t>
      </w:r>
      <w:r>
        <w:t>паратов, медицинских изделий, а также результаты клинической апробации.</w:t>
      </w:r>
    </w:p>
    <w:p w:rsidR="00E31E79" w:rsidRDefault="000749FE">
      <w:pPr>
        <w:spacing w:after="0" w:line="259" w:lineRule="auto"/>
        <w:ind w:left="713"/>
        <w:jc w:val="center"/>
      </w:pPr>
      <w:r>
        <w:t xml:space="preserve">30 </w:t>
      </w:r>
    </w:p>
    <w:p w:rsidR="00E31E79" w:rsidRDefault="000749FE">
      <w:pPr>
        <w:spacing w:after="0" w:line="259" w:lineRule="auto"/>
        <w:ind w:left="708" w:firstLine="0"/>
        <w:jc w:val="left"/>
      </w:pPr>
      <w:r>
        <w:t xml:space="preserve"> </w:t>
      </w:r>
    </w:p>
    <w:p w:rsidR="00E31E79" w:rsidRDefault="000749FE">
      <w:pPr>
        <w:pStyle w:val="Heading1"/>
        <w:spacing w:after="90"/>
        <w:ind w:right="1751"/>
        <w:jc w:val="right"/>
      </w:pPr>
      <w:r>
        <w:t xml:space="preserve">Приложение Б. Алгоритмы ведения пациента </w:t>
      </w:r>
    </w:p>
    <w:p w:rsidR="00E31E79" w:rsidRDefault="000749FE">
      <w:pPr>
        <w:spacing w:after="0" w:line="259" w:lineRule="auto"/>
        <w:ind w:left="0" w:firstLine="0"/>
        <w:jc w:val="left"/>
      </w:pPr>
      <w:r>
        <w:t xml:space="preserve"> </w:t>
      </w:r>
    </w:p>
    <w:p w:rsidR="00E31E79" w:rsidRDefault="000749FE">
      <w:pPr>
        <w:spacing w:after="25" w:line="259" w:lineRule="auto"/>
        <w:ind w:left="-1" w:firstLine="0"/>
        <w:jc w:val="left"/>
      </w:pPr>
      <w:r>
        <w:rPr>
          <w:noProof/>
        </w:rPr>
        <w:drawing>
          <wp:inline distT="0" distB="0" distL="0" distR="0">
            <wp:extent cx="5940425" cy="4058920"/>
            <wp:effectExtent l="0" t="0" r="0" b="0"/>
            <wp:docPr id="5983" name="Picture 59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3" name="Picture 5983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5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E79" w:rsidRDefault="000749FE">
      <w:pPr>
        <w:spacing w:after="0" w:line="259" w:lineRule="auto"/>
        <w:ind w:left="0" w:firstLine="0"/>
        <w:jc w:val="left"/>
      </w:pPr>
      <w:r>
        <w:t xml:space="preserve"> </w:t>
      </w:r>
      <w:r>
        <w:tab/>
      </w:r>
      <w:r>
        <w:rPr>
          <w:b/>
          <w:sz w:val="28"/>
        </w:rPr>
        <w:t xml:space="preserve"> </w:t>
      </w:r>
    </w:p>
    <w:p w:rsidR="00E31E79" w:rsidRDefault="000749FE">
      <w:pPr>
        <w:pStyle w:val="Heading1"/>
        <w:ind w:right="7"/>
      </w:pPr>
      <w:r>
        <w:t xml:space="preserve">Приложение В. Информация для пациента </w:t>
      </w:r>
    </w:p>
    <w:p w:rsidR="00E31E79" w:rsidRDefault="000749FE">
      <w:pPr>
        <w:spacing w:line="384" w:lineRule="auto"/>
        <w:ind w:left="0" w:firstLine="708"/>
      </w:pPr>
      <w:r>
        <w:t xml:space="preserve">Синдром делеции 22-й хромосомы — </w:t>
      </w:r>
      <w:r>
        <w:t xml:space="preserve">это совокупность морфологических, иммунологических и неврологических изменений, которые являются следствием врожденного генетического дефекта: делеции длинного плеча 1 копии 22-й хромосомы — del 22q11.2.  </w:t>
      </w:r>
    </w:p>
    <w:p w:rsidR="00E31E79" w:rsidRDefault="000749FE">
      <w:pPr>
        <w:spacing w:line="397" w:lineRule="auto"/>
        <w:ind w:left="0" w:firstLine="708"/>
      </w:pPr>
      <w:r>
        <w:t>В классическом понимании это сочетание патологии л</w:t>
      </w:r>
      <w:r>
        <w:t xml:space="preserve">ицевого скелета (расщелины твердого неба), врожденного порока сердца, недоразвития (или отсутствие) тимуса (как следствие – иммунодефицит) и снижения уровня кальция в крови в результате недоразвития паращитовидной железы. Заболевание может передаваться по </w:t>
      </w:r>
      <w:r>
        <w:t xml:space="preserve">наследству. </w:t>
      </w:r>
    </w:p>
    <w:p w:rsidR="00E31E79" w:rsidRDefault="000749FE">
      <w:pPr>
        <w:spacing w:line="389" w:lineRule="auto"/>
        <w:ind w:left="0" w:firstLine="708"/>
      </w:pPr>
      <w:r>
        <w:t>Спектр клинических проявлений при синдроме делеции 22-й хромосомы достаточно широк. Для этого синдрома характерно преобладание тех или иных признаков в зависимости от возраста пациента.  Так, у детей после рождения на первом месте по тяжести п</w:t>
      </w:r>
      <w:r>
        <w:t xml:space="preserve">реобладают врожденный порок сердца и снижение уровня кальция в крови.  С возрастом появляются проблемы другого характера: задержка умственного развития, инфекционные и аутоиммунные осложнения.  </w:t>
      </w:r>
    </w:p>
    <w:p w:rsidR="00E31E79" w:rsidRDefault="000749FE">
      <w:pPr>
        <w:spacing w:after="174"/>
        <w:ind w:left="718"/>
      </w:pPr>
      <w:r>
        <w:t>Основные симптомы и признаки синдрома делеции 22-й хромосомы:</w:t>
      </w:r>
      <w:r>
        <w:t xml:space="preserve"> </w:t>
      </w:r>
    </w:p>
    <w:p w:rsidR="00E31E79" w:rsidRDefault="000749FE">
      <w:pPr>
        <w:numPr>
          <w:ilvl w:val="0"/>
          <w:numId w:val="14"/>
        </w:numPr>
        <w:spacing w:line="399" w:lineRule="auto"/>
        <w:ind w:hanging="360"/>
      </w:pPr>
      <w:r>
        <w:t xml:space="preserve">Врожденный порок сердца представлен у большинства пациентов (прерывание дуга аорты, общий артериальный ствол и тетрада Фалло и другие).  </w:t>
      </w:r>
    </w:p>
    <w:p w:rsidR="00E31E79" w:rsidRDefault="000749FE">
      <w:pPr>
        <w:numPr>
          <w:ilvl w:val="0"/>
          <w:numId w:val="14"/>
        </w:numPr>
        <w:spacing w:line="398" w:lineRule="auto"/>
        <w:ind w:hanging="360"/>
      </w:pPr>
      <w:r>
        <w:t xml:space="preserve">Судорожный синдромом (при выраженном дефиците кальция/недоразвитии паращитовидной железы). </w:t>
      </w:r>
    </w:p>
    <w:p w:rsidR="00E31E79" w:rsidRDefault="000749FE">
      <w:pPr>
        <w:numPr>
          <w:ilvl w:val="0"/>
          <w:numId w:val="14"/>
        </w:numPr>
        <w:spacing w:line="397" w:lineRule="auto"/>
        <w:ind w:hanging="360"/>
      </w:pPr>
      <w:r>
        <w:t xml:space="preserve">Поражение носоглотки у большинства пациентов (расщепление нѐба, губы, раздвоение уздечки нѐба, гнусавый оттенок голоса, может встречаться снижение обоняния, слуха). </w:t>
      </w:r>
    </w:p>
    <w:p w:rsidR="00E31E79" w:rsidRDefault="000749FE">
      <w:pPr>
        <w:numPr>
          <w:ilvl w:val="0"/>
          <w:numId w:val="14"/>
        </w:numPr>
        <w:spacing w:after="45" w:line="378" w:lineRule="auto"/>
        <w:ind w:hanging="360"/>
      </w:pPr>
      <w:r>
        <w:t>Характерные черты лица (удлиненное лицо, недоразвитие или неправильное расположение челюст</w:t>
      </w:r>
      <w:r>
        <w:t xml:space="preserve">ных костей, широкая переносица, мелкие зубы, асимметрия лица при плаче, опущенные вниз уголки рта, широко посаженные глаза, низко посаженные и деформированные ушные раковины, непропорционально большой кончик носа). </w:t>
      </w:r>
    </w:p>
    <w:p w:rsidR="00E31E79" w:rsidRDefault="000749FE">
      <w:pPr>
        <w:numPr>
          <w:ilvl w:val="0"/>
          <w:numId w:val="14"/>
        </w:numPr>
        <w:spacing w:line="398" w:lineRule="auto"/>
        <w:ind w:hanging="360"/>
      </w:pPr>
      <w:r>
        <w:t>Нарушения иммунитета отмечаются у больши</w:t>
      </w:r>
      <w:r>
        <w:t xml:space="preserve">нства пациентов, в результате которого могут развиваться грибковые заболевания, пневмоцистная инфекция, другие бактериальные и вирусные инфекции. </w:t>
      </w:r>
    </w:p>
    <w:p w:rsidR="00E31E79" w:rsidRDefault="000749FE">
      <w:pPr>
        <w:numPr>
          <w:ilvl w:val="0"/>
          <w:numId w:val="14"/>
        </w:numPr>
        <w:spacing w:after="560" w:line="399" w:lineRule="auto"/>
        <w:ind w:hanging="360"/>
      </w:pPr>
      <w:r>
        <w:t>В результате неправильной работы иммунной системы могут развиваться аутоиммунные заболевания, такие как ювени</w:t>
      </w:r>
      <w:r>
        <w:t xml:space="preserve">льный ревматоидный артрит (ЮРА), </w:t>
      </w:r>
    </w:p>
    <w:p w:rsidR="00E31E79" w:rsidRDefault="000749FE">
      <w:pPr>
        <w:spacing w:after="0" w:line="259" w:lineRule="auto"/>
        <w:ind w:left="713"/>
        <w:jc w:val="center"/>
      </w:pPr>
      <w:r>
        <w:t xml:space="preserve">32 </w:t>
      </w:r>
    </w:p>
    <w:p w:rsidR="00E31E79" w:rsidRDefault="000749FE">
      <w:pPr>
        <w:spacing w:after="0" w:line="259" w:lineRule="auto"/>
        <w:ind w:left="708" w:firstLine="0"/>
        <w:jc w:val="left"/>
      </w:pPr>
      <w:r>
        <w:t xml:space="preserve"> </w:t>
      </w:r>
    </w:p>
    <w:p w:rsidR="00E31E79" w:rsidRDefault="000749FE">
      <w:pPr>
        <w:spacing w:line="399" w:lineRule="auto"/>
        <w:ind w:left="730"/>
      </w:pPr>
      <w:r>
        <w:t xml:space="preserve">воспалительные заболевания кишечника (ВЗК), аутоиммунный увеит, бронхиальная астма.  </w:t>
      </w:r>
    </w:p>
    <w:p w:rsidR="00E31E79" w:rsidRDefault="000749FE">
      <w:pPr>
        <w:numPr>
          <w:ilvl w:val="0"/>
          <w:numId w:val="14"/>
        </w:numPr>
        <w:spacing w:line="398" w:lineRule="auto"/>
        <w:ind w:hanging="360"/>
      </w:pPr>
      <w:r>
        <w:t xml:space="preserve">Задержка физического развития нередко наблюдается у пациентов с синдромом делеции 22q11.2-й хромосомы.  </w:t>
      </w:r>
    </w:p>
    <w:p w:rsidR="00E31E79" w:rsidRDefault="000749FE">
      <w:pPr>
        <w:numPr>
          <w:ilvl w:val="0"/>
          <w:numId w:val="14"/>
        </w:numPr>
        <w:spacing w:line="398" w:lineRule="auto"/>
        <w:ind w:hanging="360"/>
      </w:pPr>
      <w:r>
        <w:t>Задержка речевого и психо</w:t>
      </w:r>
      <w:r>
        <w:t xml:space="preserve">моторного развития наблюдается у 70—90% и проявляется с возрастом. Пациенты наблюдаются с диагнозами «психоз» или «шизофрения», «депрессия», «биполярный синдром». </w:t>
      </w:r>
    </w:p>
    <w:p w:rsidR="00E31E79" w:rsidRDefault="000749FE">
      <w:pPr>
        <w:spacing w:line="395" w:lineRule="auto"/>
        <w:ind w:left="0" w:firstLine="708"/>
      </w:pPr>
      <w:r>
        <w:t xml:space="preserve">Диагноз подтверждается определением генетического дефекта: микроделеции в хромосоме 22q.  </w:t>
      </w:r>
    </w:p>
    <w:p w:rsidR="00E31E79" w:rsidRDefault="000749FE">
      <w:pPr>
        <w:spacing w:line="392" w:lineRule="auto"/>
        <w:ind w:left="0" w:firstLine="708"/>
      </w:pPr>
      <w:r>
        <w:t>В</w:t>
      </w:r>
      <w:r>
        <w:t xml:space="preserve"> настоящее время не существует методов терапии данного заболевания, которые могут привести к выздоровлению. В качестве экспериментального метода используется трансплантация тимуса при полном СДГ. Терапия пациентов с синдромом делеции 22-й хромосомы направл</w:t>
      </w:r>
      <w:r>
        <w:t>ена, главным образом, на лечение осложнений, возникающих в тот или иной период жизни пациента.  Проводится хирургическое лечение пороков сердца и лицевого скелета. В зависимости от степени выраженности иммунологического дефекта пациенты могут нуждаться в р</w:t>
      </w:r>
      <w:r>
        <w:t xml:space="preserve">егулярной (ежемесячной) терапии внутривенным иммуноглобулином, профилактической противомикробной терапии. </w:t>
      </w:r>
    </w:p>
    <w:p w:rsidR="00E31E79" w:rsidRDefault="000749FE">
      <w:pPr>
        <w:spacing w:after="109"/>
        <w:ind w:left="718"/>
      </w:pPr>
      <w:r>
        <w:t xml:space="preserve">При возникновении аутоиммунных осложнений проводится их лечение. </w:t>
      </w:r>
    </w:p>
    <w:p w:rsidR="00E31E79" w:rsidRDefault="000749FE">
      <w:pPr>
        <w:spacing w:line="377" w:lineRule="auto"/>
        <w:ind w:left="0" w:firstLine="708"/>
      </w:pPr>
      <w:r>
        <w:t xml:space="preserve">Пациенты с данным синдромом наблюдаются различными специалистами, проходят диагностические процедуры в зависимости от выраженности тех или иных клинических проявлений заболевания. </w:t>
      </w:r>
    </w:p>
    <w:p w:rsidR="00E31E79" w:rsidRDefault="000749FE">
      <w:pPr>
        <w:spacing w:after="156"/>
        <w:ind w:left="718"/>
      </w:pPr>
      <w:r>
        <w:t xml:space="preserve"> Наиболее значимые проблемы — психиатрического плана.  </w:t>
      </w:r>
    </w:p>
    <w:p w:rsidR="00E31E79" w:rsidRDefault="000749FE">
      <w:pPr>
        <w:spacing w:line="396" w:lineRule="auto"/>
        <w:ind w:left="0" w:firstLine="708"/>
      </w:pPr>
      <w:r>
        <w:t>Выбор профессии опр</w:t>
      </w:r>
      <w:r>
        <w:t xml:space="preserve">еделяется умственным развитием и психическими отклонениями. </w:t>
      </w:r>
    </w:p>
    <w:p w:rsidR="00E31E79" w:rsidRDefault="000749FE">
      <w:pPr>
        <w:spacing w:after="4166"/>
        <w:ind w:left="718"/>
      </w:pPr>
      <w:r>
        <w:t xml:space="preserve">Возможно проведение диагностики в период внутриутробного развития плода. </w:t>
      </w:r>
    </w:p>
    <w:p w:rsidR="00E31E79" w:rsidRDefault="000749FE">
      <w:pPr>
        <w:spacing w:after="0" w:line="259" w:lineRule="auto"/>
        <w:ind w:left="713"/>
        <w:jc w:val="center"/>
      </w:pPr>
      <w:r>
        <w:t xml:space="preserve">33 </w:t>
      </w:r>
    </w:p>
    <w:p w:rsidR="00E31E79" w:rsidRDefault="000749FE">
      <w:pPr>
        <w:spacing w:after="0" w:line="259" w:lineRule="auto"/>
        <w:ind w:left="708" w:firstLine="0"/>
        <w:jc w:val="left"/>
      </w:pPr>
      <w:r>
        <w:t xml:space="preserve"> </w:t>
      </w:r>
    </w:p>
    <w:sectPr w:rsidR="00E31E79">
      <w:headerReference w:type="even" r:id="rId82"/>
      <w:headerReference w:type="default" r:id="rId83"/>
      <w:footerReference w:type="even" r:id="rId84"/>
      <w:footerReference w:type="default" r:id="rId85"/>
      <w:headerReference w:type="first" r:id="rId86"/>
      <w:footerReference w:type="first" r:id="rId87"/>
      <w:pgSz w:w="11906" w:h="16838"/>
      <w:pgMar w:top="1137" w:right="845" w:bottom="714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749FE">
      <w:pPr>
        <w:spacing w:after="0" w:line="240" w:lineRule="auto"/>
      </w:pPr>
      <w:r>
        <w:separator/>
      </w:r>
    </w:p>
  </w:endnote>
  <w:endnote w:type="continuationSeparator" w:id="0">
    <w:p w:rsidR="00000000" w:rsidRDefault="00074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7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  <w:p w:rsidR="00E31E79" w:rsidRDefault="000749FE">
    <w:pPr>
      <w:spacing w:after="0" w:line="259" w:lineRule="auto"/>
      <w:ind w:left="708" w:firstLine="0"/>
      <w:jc w:val="left"/>
    </w:pPr>
    <w: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7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  <w:p w:rsidR="00E31E79" w:rsidRDefault="000749FE">
    <w:pPr>
      <w:spacing w:after="0" w:line="259" w:lineRule="auto"/>
      <w:ind w:left="708" w:firstLine="0"/>
      <w:jc w:val="left"/>
    </w:pPr>
    <w: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34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  <w:p w:rsidR="00E31E79" w:rsidRDefault="000749FE">
    <w:pPr>
      <w:spacing w:after="0" w:line="259" w:lineRule="auto"/>
      <w:ind w:left="348" w:firstLine="0"/>
      <w:jc w:val="left"/>
    </w:pPr>
    <w: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34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  <w:p w:rsidR="00E31E79" w:rsidRDefault="000749FE">
    <w:pPr>
      <w:spacing w:after="0" w:line="259" w:lineRule="auto"/>
      <w:ind w:left="348" w:firstLine="0"/>
      <w:jc w:val="left"/>
    </w:pPr>
    <w: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34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  <w:p w:rsidR="00E31E79" w:rsidRDefault="000749FE">
    <w:pPr>
      <w:spacing w:after="0" w:line="259" w:lineRule="auto"/>
      <w:ind w:left="348" w:firstLine="0"/>
      <w:jc w:val="left"/>
    </w:pPr>
    <w:r>
      <w:t xml:space="preserve"> 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7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  <w:p w:rsidR="00E31E79" w:rsidRDefault="000749FE">
    <w:pPr>
      <w:spacing w:after="0" w:line="259" w:lineRule="auto"/>
      <w:ind w:left="708" w:firstLine="0"/>
      <w:jc w:val="left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7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  <w:p w:rsidR="00E31E79" w:rsidRDefault="000749FE">
    <w:pPr>
      <w:spacing w:after="0" w:line="259" w:lineRule="auto"/>
      <w:ind w:left="708" w:firstLine="0"/>
      <w:jc w:val="left"/>
    </w:pP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7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  <w:p w:rsidR="00E31E79" w:rsidRDefault="000749FE">
    <w:pPr>
      <w:spacing w:after="0" w:line="259" w:lineRule="auto"/>
      <w:ind w:left="708" w:firstLine="0"/>
      <w:jc w:val="left"/>
    </w:pPr>
    <w: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70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  <w:p w:rsidR="00E31E79" w:rsidRDefault="000749FE">
    <w:pPr>
      <w:spacing w:after="0" w:line="259" w:lineRule="auto"/>
      <w:ind w:left="708" w:firstLine="0"/>
      <w:jc w:val="left"/>
    </w:pPr>
    <w: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70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  <w:p w:rsidR="00E31E79" w:rsidRDefault="000749FE">
    <w:pPr>
      <w:spacing w:after="0" w:line="259" w:lineRule="auto"/>
      <w:ind w:left="708" w:firstLine="0"/>
      <w:jc w:val="left"/>
    </w:pPr>
    <w: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70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  <w:p w:rsidR="00E31E79" w:rsidRDefault="000749FE">
    <w:pPr>
      <w:spacing w:after="0" w:line="259" w:lineRule="auto"/>
      <w:ind w:left="708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749FE">
      <w:pPr>
        <w:spacing w:after="0" w:line="240" w:lineRule="auto"/>
      </w:pPr>
      <w:r>
        <w:separator/>
      </w:r>
    </w:p>
  </w:footnote>
  <w:footnote w:type="continuationSeparator" w:id="0">
    <w:p w:rsidR="00000000" w:rsidRDefault="00074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36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36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E31E79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36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E79" w:rsidRDefault="000749FE">
    <w:pPr>
      <w:spacing w:after="0" w:line="259" w:lineRule="auto"/>
      <w:ind w:left="36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B7B"/>
    <w:multiLevelType w:val="hybridMultilevel"/>
    <w:tmpl w:val="D710091E"/>
    <w:lvl w:ilvl="0" w:tplc="45E0F3F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A666A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0AB41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F4471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E23A3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E818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BAA59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E254F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DCE77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4A5A62"/>
    <w:multiLevelType w:val="hybridMultilevel"/>
    <w:tmpl w:val="5688F3FC"/>
    <w:lvl w:ilvl="0" w:tplc="C6E620C2">
      <w:start w:val="1"/>
      <w:numFmt w:val="bullet"/>
      <w:lvlText w:val="•"/>
      <w:lvlJc w:val="left"/>
      <w:pPr>
        <w:ind w:left="1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88D194">
      <w:start w:val="1"/>
      <w:numFmt w:val="bullet"/>
      <w:lvlText w:val="o"/>
      <w:lvlJc w:val="left"/>
      <w:pPr>
        <w:ind w:left="17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43EAE">
      <w:start w:val="1"/>
      <w:numFmt w:val="bullet"/>
      <w:lvlText w:val="▪"/>
      <w:lvlJc w:val="left"/>
      <w:pPr>
        <w:ind w:left="2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E1ABE">
      <w:start w:val="1"/>
      <w:numFmt w:val="bullet"/>
      <w:lvlText w:val="•"/>
      <w:lvlJc w:val="left"/>
      <w:pPr>
        <w:ind w:left="3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90E99A">
      <w:start w:val="1"/>
      <w:numFmt w:val="bullet"/>
      <w:lvlText w:val="o"/>
      <w:lvlJc w:val="left"/>
      <w:pPr>
        <w:ind w:left="3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8F982">
      <w:start w:val="1"/>
      <w:numFmt w:val="bullet"/>
      <w:lvlText w:val="▪"/>
      <w:lvlJc w:val="left"/>
      <w:pPr>
        <w:ind w:left="4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6882AA">
      <w:start w:val="1"/>
      <w:numFmt w:val="bullet"/>
      <w:lvlText w:val="•"/>
      <w:lvlJc w:val="left"/>
      <w:pPr>
        <w:ind w:left="5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4C21EE">
      <w:start w:val="1"/>
      <w:numFmt w:val="bullet"/>
      <w:lvlText w:val="o"/>
      <w:lvlJc w:val="left"/>
      <w:pPr>
        <w:ind w:left="6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1E5EC0">
      <w:start w:val="1"/>
      <w:numFmt w:val="bullet"/>
      <w:lvlText w:val="▪"/>
      <w:lvlJc w:val="left"/>
      <w:pPr>
        <w:ind w:left="6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F360EC"/>
    <w:multiLevelType w:val="hybridMultilevel"/>
    <w:tmpl w:val="0DDADF5A"/>
    <w:lvl w:ilvl="0" w:tplc="0A640EE8">
      <w:start w:val="1"/>
      <w:numFmt w:val="bullet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783A3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5641E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D2259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BCEAC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0CF18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C240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14D74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E820B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07CDB"/>
    <w:multiLevelType w:val="hybridMultilevel"/>
    <w:tmpl w:val="6F9C51CC"/>
    <w:lvl w:ilvl="0" w:tplc="51A8242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125B7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162EE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1210C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A2AEC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2BE5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B0CB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87AE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52A5A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B33AD2"/>
    <w:multiLevelType w:val="multilevel"/>
    <w:tmpl w:val="79AAFD22"/>
    <w:lvl w:ilvl="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7A174C"/>
    <w:multiLevelType w:val="hybridMultilevel"/>
    <w:tmpl w:val="FDC64208"/>
    <w:lvl w:ilvl="0" w:tplc="ABECFE8A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4EA8C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088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24E6B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8AA1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8809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0A0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CE1A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36FB4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AC6E22"/>
    <w:multiLevelType w:val="hybridMultilevel"/>
    <w:tmpl w:val="D32E4760"/>
    <w:lvl w:ilvl="0" w:tplc="A19EA27E">
      <w:start w:val="1"/>
      <w:numFmt w:val="bullet"/>
      <w:lvlText w:val="•"/>
      <w:lvlJc w:val="left"/>
      <w:pPr>
        <w:ind w:left="1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F0F78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46482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24F50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B8FC8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329F2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263C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74095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7C115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94112B"/>
    <w:multiLevelType w:val="hybridMultilevel"/>
    <w:tmpl w:val="BDD05C44"/>
    <w:lvl w:ilvl="0" w:tplc="399697D0">
      <w:start w:val="1"/>
      <w:numFmt w:val="bullet"/>
      <w:lvlText w:val="o"/>
      <w:lvlJc w:val="left"/>
      <w:pPr>
        <w:ind w:left="14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2CF726">
      <w:start w:val="1"/>
      <w:numFmt w:val="bullet"/>
      <w:lvlText w:val="o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0DEDE">
      <w:start w:val="1"/>
      <w:numFmt w:val="bullet"/>
      <w:lvlText w:val="▪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14D358">
      <w:start w:val="1"/>
      <w:numFmt w:val="bullet"/>
      <w:lvlText w:val="•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2B602">
      <w:start w:val="1"/>
      <w:numFmt w:val="bullet"/>
      <w:lvlText w:val="o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6CC2B8">
      <w:start w:val="1"/>
      <w:numFmt w:val="bullet"/>
      <w:lvlText w:val="▪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02B84C">
      <w:start w:val="1"/>
      <w:numFmt w:val="bullet"/>
      <w:lvlText w:val="•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D689E0">
      <w:start w:val="1"/>
      <w:numFmt w:val="bullet"/>
      <w:lvlText w:val="o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9E2362">
      <w:start w:val="1"/>
      <w:numFmt w:val="bullet"/>
      <w:lvlText w:val="▪"/>
      <w:lvlJc w:val="left"/>
      <w:pPr>
        <w:ind w:left="75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8A6D7A"/>
    <w:multiLevelType w:val="hybridMultilevel"/>
    <w:tmpl w:val="7648126A"/>
    <w:lvl w:ilvl="0" w:tplc="CC86ADC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76EE7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EF13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6079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E73A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C41A0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CEA67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B014C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CC6E0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997AA6"/>
    <w:multiLevelType w:val="hybridMultilevel"/>
    <w:tmpl w:val="24C4D270"/>
    <w:lvl w:ilvl="0" w:tplc="8BE0B8A6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F48E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DA03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FA8A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D84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4205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F406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0221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1295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4561015"/>
    <w:multiLevelType w:val="hybridMultilevel"/>
    <w:tmpl w:val="6DF01A64"/>
    <w:lvl w:ilvl="0" w:tplc="AF28039E">
      <w:start w:val="1"/>
      <w:numFmt w:val="bullet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78C3E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4972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343DD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84DA9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86F08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CA030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26C7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69E3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A3006F5"/>
    <w:multiLevelType w:val="hybridMultilevel"/>
    <w:tmpl w:val="418033BC"/>
    <w:lvl w:ilvl="0" w:tplc="385C744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A66DA4">
      <w:start w:val="1"/>
      <w:numFmt w:val="bullet"/>
      <w:lvlText w:val="o"/>
      <w:lvlJc w:val="left"/>
      <w:pPr>
        <w:ind w:left="1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EE8584">
      <w:start w:val="1"/>
      <w:numFmt w:val="bullet"/>
      <w:lvlText w:val="▪"/>
      <w:lvlJc w:val="left"/>
      <w:pPr>
        <w:ind w:left="1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9AD522">
      <w:start w:val="1"/>
      <w:numFmt w:val="bullet"/>
      <w:lvlText w:val="•"/>
      <w:lvlJc w:val="left"/>
      <w:pPr>
        <w:ind w:left="2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E5C0E">
      <w:start w:val="1"/>
      <w:numFmt w:val="bullet"/>
      <w:lvlText w:val="o"/>
      <w:lvlJc w:val="left"/>
      <w:pPr>
        <w:ind w:left="3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62B4DC">
      <w:start w:val="1"/>
      <w:numFmt w:val="bullet"/>
      <w:lvlText w:val="▪"/>
      <w:lvlJc w:val="left"/>
      <w:pPr>
        <w:ind w:left="4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E0712">
      <w:start w:val="1"/>
      <w:numFmt w:val="bullet"/>
      <w:lvlText w:val="•"/>
      <w:lvlJc w:val="left"/>
      <w:pPr>
        <w:ind w:left="4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4C5F06">
      <w:start w:val="1"/>
      <w:numFmt w:val="bullet"/>
      <w:lvlText w:val="o"/>
      <w:lvlJc w:val="left"/>
      <w:pPr>
        <w:ind w:left="5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7C2012">
      <w:start w:val="1"/>
      <w:numFmt w:val="bullet"/>
      <w:lvlText w:val="▪"/>
      <w:lvlJc w:val="left"/>
      <w:pPr>
        <w:ind w:left="6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DF33F69"/>
    <w:multiLevelType w:val="hybridMultilevel"/>
    <w:tmpl w:val="9E743E84"/>
    <w:lvl w:ilvl="0" w:tplc="C9B839E6">
      <w:start w:val="1"/>
      <w:numFmt w:val="decimal"/>
      <w:lvlText w:val="%1."/>
      <w:lvlJc w:val="left"/>
      <w:pPr>
        <w:ind w:left="14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8BEF4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301D90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C8F388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5C20E6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B8A400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2CD460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240FEE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E4A226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25E5842"/>
    <w:multiLevelType w:val="hybridMultilevel"/>
    <w:tmpl w:val="61E60F0C"/>
    <w:lvl w:ilvl="0" w:tplc="ADE49C4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4FE1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2420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A0D1D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0C7E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DCB57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08F29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F4843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478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10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6"/>
  </w:num>
  <w:num w:numId="11">
    <w:abstractNumId w:val="11"/>
  </w:num>
  <w:num w:numId="12">
    <w:abstractNumId w:val="9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79"/>
    <w:rsid w:val="000749FE"/>
    <w:rsid w:val="00E3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DE1610F-0646-4755-BEAD-D49EF12A9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41"/>
      <w:ind w:left="10" w:right="32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54" w:line="265" w:lineRule="auto"/>
      <w:ind w:left="143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54" w:line="265" w:lineRule="auto"/>
      <w:ind w:left="1438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176"/>
      <w:ind w:left="718" w:hanging="10"/>
      <w:outlineLvl w:val="3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4Char">
    <w:name w:val="Heading 4 Char"/>
    <w:link w:val="Heading4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42" Type="http://schemas.openxmlformats.org/officeDocument/2006/relationships/image" Target="media/image50.png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55" Type="http://schemas.openxmlformats.org/officeDocument/2006/relationships/header" Target="header6.xml"/><Relationship Id="rId63" Type="http://schemas.openxmlformats.org/officeDocument/2006/relationships/header" Target="header10.xml"/><Relationship Id="rId68" Type="http://schemas.openxmlformats.org/officeDocument/2006/relationships/footer" Target="footer12.xml"/><Relationship Id="rId76" Type="http://schemas.openxmlformats.org/officeDocument/2006/relationships/header" Target="header14.xml"/><Relationship Id="rId84" Type="http://schemas.openxmlformats.org/officeDocument/2006/relationships/footer" Target="footer16.xml"/><Relationship Id="rId89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hyperlink" Target="https://esid.org/Education/Diagnostic-Criteria-PID" TargetMode="External"/><Relationship Id="rId2" Type="http://schemas.openxmlformats.org/officeDocument/2006/relationships/styles" Target="styles.xml"/><Relationship Id="rId11" Type="http://schemas.openxmlformats.org/officeDocument/2006/relationships/image" Target="media/image5.png"/><Relationship Id="rId37" Type="http://schemas.openxmlformats.org/officeDocument/2006/relationships/image" Target="media/image0.png"/><Relationship Id="rId40" Type="http://schemas.openxmlformats.org/officeDocument/2006/relationships/image" Target="media/image30.png"/><Relationship Id="rId45" Type="http://schemas.openxmlformats.org/officeDocument/2006/relationships/header" Target="header1.xml"/><Relationship Id="rId53" Type="http://schemas.openxmlformats.org/officeDocument/2006/relationships/footer" Target="footer4.xml"/><Relationship Id="rId58" Type="http://schemas.openxmlformats.org/officeDocument/2006/relationships/header" Target="header8.xml"/><Relationship Id="rId66" Type="http://schemas.openxmlformats.org/officeDocument/2006/relationships/footer" Target="footer11.xml"/><Relationship Id="rId74" Type="http://schemas.openxmlformats.org/officeDocument/2006/relationships/hyperlink" Target="https://esid.org/Education/Diagnostic-Criteria-PID" TargetMode="External"/><Relationship Id="rId79" Type="http://schemas.openxmlformats.org/officeDocument/2006/relationships/header" Target="header15.xml"/><Relationship Id="rId87" Type="http://schemas.openxmlformats.org/officeDocument/2006/relationships/footer" Target="footer18.xml"/><Relationship Id="rId5" Type="http://schemas.openxmlformats.org/officeDocument/2006/relationships/footnotes" Target="footnotes.xml"/><Relationship Id="rId61" Type="http://schemas.openxmlformats.org/officeDocument/2006/relationships/header" Target="header9.xml"/><Relationship Id="rId82" Type="http://schemas.openxmlformats.org/officeDocument/2006/relationships/header" Target="header16.xml"/><Relationship Id="rId14" Type="http://schemas.openxmlformats.org/officeDocument/2006/relationships/image" Target="media/image8.png"/><Relationship Id="rId43" Type="http://schemas.openxmlformats.org/officeDocument/2006/relationships/image" Target="media/image60.png"/><Relationship Id="rId48" Type="http://schemas.openxmlformats.org/officeDocument/2006/relationships/footer" Target="footer2.xml"/><Relationship Id="rId56" Type="http://schemas.openxmlformats.org/officeDocument/2006/relationships/footer" Target="footer6.xml"/><Relationship Id="rId64" Type="http://schemas.openxmlformats.org/officeDocument/2006/relationships/header" Target="header11.xml"/><Relationship Id="rId69" Type="http://schemas.openxmlformats.org/officeDocument/2006/relationships/hyperlink" Target="https://esid.org/Education/Diagnostic-Criteria-PID" TargetMode="External"/><Relationship Id="rId77" Type="http://schemas.openxmlformats.org/officeDocument/2006/relationships/footer" Target="footer13.xml"/><Relationship Id="rId8" Type="http://schemas.openxmlformats.org/officeDocument/2006/relationships/image" Target="media/image2.png"/><Relationship Id="rId51" Type="http://schemas.openxmlformats.org/officeDocument/2006/relationships/header" Target="header4.xml"/><Relationship Id="rId72" Type="http://schemas.openxmlformats.org/officeDocument/2006/relationships/hyperlink" Target="https://esid.org/Education/Diagnostic-Criteria-PID" TargetMode="External"/><Relationship Id="rId80" Type="http://schemas.openxmlformats.org/officeDocument/2006/relationships/footer" Target="footer15.xml"/><Relationship Id="rId85" Type="http://schemas.openxmlformats.org/officeDocument/2006/relationships/footer" Target="footer17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38" Type="http://schemas.openxmlformats.org/officeDocument/2006/relationships/image" Target="media/image10.png"/><Relationship Id="rId46" Type="http://schemas.openxmlformats.org/officeDocument/2006/relationships/header" Target="header2.xml"/><Relationship Id="rId59" Type="http://schemas.openxmlformats.org/officeDocument/2006/relationships/footer" Target="footer7.xml"/><Relationship Id="rId67" Type="http://schemas.openxmlformats.org/officeDocument/2006/relationships/header" Target="header12.xml"/><Relationship Id="rId41" Type="http://schemas.openxmlformats.org/officeDocument/2006/relationships/image" Target="media/image40.png"/><Relationship Id="rId54" Type="http://schemas.openxmlformats.org/officeDocument/2006/relationships/footer" Target="footer5.xml"/><Relationship Id="rId62" Type="http://schemas.openxmlformats.org/officeDocument/2006/relationships/footer" Target="footer9.xml"/><Relationship Id="rId70" Type="http://schemas.openxmlformats.org/officeDocument/2006/relationships/hyperlink" Target="https://esid.org/Education/Diagnostic-Criteria-PID" TargetMode="External"/><Relationship Id="rId75" Type="http://schemas.openxmlformats.org/officeDocument/2006/relationships/header" Target="header13.xml"/><Relationship Id="rId83" Type="http://schemas.openxmlformats.org/officeDocument/2006/relationships/header" Target="header17.xm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49" Type="http://schemas.openxmlformats.org/officeDocument/2006/relationships/header" Target="header3.xml"/><Relationship Id="rId57" Type="http://schemas.openxmlformats.org/officeDocument/2006/relationships/header" Target="header7.xml"/><Relationship Id="rId10" Type="http://schemas.openxmlformats.org/officeDocument/2006/relationships/image" Target="media/image4.png"/><Relationship Id="rId44" Type="http://schemas.openxmlformats.org/officeDocument/2006/relationships/image" Target="media/image70.png"/><Relationship Id="rId52" Type="http://schemas.openxmlformats.org/officeDocument/2006/relationships/header" Target="header5.xml"/><Relationship Id="rId60" Type="http://schemas.openxmlformats.org/officeDocument/2006/relationships/footer" Target="footer8.xml"/><Relationship Id="rId65" Type="http://schemas.openxmlformats.org/officeDocument/2006/relationships/footer" Target="footer10.xml"/><Relationship Id="rId73" Type="http://schemas.openxmlformats.org/officeDocument/2006/relationships/hyperlink" Target="https://esid.org/Education/Diagnostic-Criteria-PID" TargetMode="External"/><Relationship Id="rId78" Type="http://schemas.openxmlformats.org/officeDocument/2006/relationships/footer" Target="footer14.xml"/><Relationship Id="rId81" Type="http://schemas.openxmlformats.org/officeDocument/2006/relationships/image" Target="media/image9.jpg"/><Relationship Id="rId86" Type="http://schemas.openxmlformats.org/officeDocument/2006/relationships/header" Target="header18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3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7962</Words>
  <Characters>45386</Characters>
  <Application>Microsoft Office Word</Application>
  <DocSecurity>4</DocSecurity>
  <Lines>378</Lines>
  <Paragraphs>106</Paragraphs>
  <ScaleCrop>false</ScaleCrop>
  <Company/>
  <LinksUpToDate>false</LinksUpToDate>
  <CharactersWithSpaces>53242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Ординаторы Детское отделение</dc:creator>
  <cp:keywords/>
  <cp:lastModifiedBy>word</cp:lastModifiedBy>
  <cp:revision>2</cp:revision>
  <dcterms:created xsi:type="dcterms:W3CDTF">2025-02-06T18:01:00Z</dcterms:created>
  <dcterms:modified xsi:type="dcterms:W3CDTF">2025-02-06T18:01:00Z</dcterms:modified>
</cp:coreProperties>
</file>