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F6D" w:rsidRPr="00910F6D" w:rsidRDefault="00910F6D" w:rsidP="00910F6D">
      <w:pPr>
        <w:shd w:val="clear" w:color="auto" w:fill="FFFFFF"/>
        <w:spacing w:after="0" w:line="240" w:lineRule="auto"/>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910F6D" w:rsidRPr="00910F6D" w:rsidRDefault="00910F6D" w:rsidP="00910F6D">
      <w:pPr>
        <w:shd w:val="clear" w:color="auto" w:fill="FFFFFF"/>
        <w:spacing w:after="0" w:line="240" w:lineRule="auto"/>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Клинические рекомендации</w:t>
      </w:r>
    </w:p>
    <w:p w:rsidR="00910F6D" w:rsidRPr="00910F6D" w:rsidRDefault="00910F6D" w:rsidP="00910F6D">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Рак носоглотки</w:t>
      </w:r>
    </w:p>
    <w:p w:rsidR="00910F6D" w:rsidRPr="00910F6D" w:rsidRDefault="00910F6D" w:rsidP="00910F6D">
      <w:pPr>
        <w:shd w:val="clear" w:color="auto" w:fill="FFFFFF"/>
        <w:spacing w:after="150" w:line="240" w:lineRule="auto"/>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4"/>
          <w:szCs w:val="24"/>
          <w:lang w:eastAsia="ru-RU"/>
        </w:rPr>
        <w:t>Кодирование по Международной статистической</w:t>
      </w:r>
      <w:r w:rsidRPr="00910F6D">
        <w:rPr>
          <w:rFonts w:ascii="Times New Roman" w:eastAsia="Times New Roman" w:hAnsi="Times New Roman" w:cs="Times New Roman"/>
          <w:color w:val="222222"/>
          <w:sz w:val="27"/>
          <w:szCs w:val="27"/>
          <w:lang w:eastAsia="ru-RU"/>
        </w:rPr>
        <w:br/>
      </w:r>
      <w:r w:rsidRPr="00910F6D">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910F6D">
        <w:rPr>
          <w:rFonts w:ascii="Times New Roman" w:eastAsia="Times New Roman" w:hAnsi="Times New Roman" w:cs="Times New Roman"/>
          <w:b/>
          <w:bCs/>
          <w:color w:val="222222"/>
          <w:sz w:val="27"/>
          <w:szCs w:val="27"/>
          <w:lang w:eastAsia="ru-RU"/>
        </w:rPr>
        <w:t>C11</w:t>
      </w:r>
    </w:p>
    <w:p w:rsidR="00910F6D" w:rsidRPr="00910F6D" w:rsidRDefault="00910F6D" w:rsidP="00910F6D">
      <w:pPr>
        <w:shd w:val="clear" w:color="auto" w:fill="FFFFFF"/>
        <w:spacing w:after="150" w:line="240" w:lineRule="auto"/>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4"/>
          <w:szCs w:val="24"/>
          <w:lang w:eastAsia="ru-RU"/>
        </w:rPr>
        <w:t>Год утверждения (частота пересмотра):</w:t>
      </w:r>
      <w:r w:rsidRPr="00910F6D">
        <w:rPr>
          <w:rFonts w:ascii="Times New Roman" w:eastAsia="Times New Roman" w:hAnsi="Times New Roman" w:cs="Times New Roman"/>
          <w:b/>
          <w:bCs/>
          <w:color w:val="222222"/>
          <w:sz w:val="27"/>
          <w:szCs w:val="27"/>
          <w:lang w:eastAsia="ru-RU"/>
        </w:rPr>
        <w:t>2024</w:t>
      </w:r>
    </w:p>
    <w:p w:rsidR="00910F6D" w:rsidRPr="00910F6D" w:rsidRDefault="00910F6D" w:rsidP="00910F6D">
      <w:pPr>
        <w:shd w:val="clear" w:color="auto" w:fill="FFFFFF"/>
        <w:spacing w:after="150" w:line="240" w:lineRule="auto"/>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4"/>
          <w:szCs w:val="24"/>
          <w:lang w:eastAsia="ru-RU"/>
        </w:rPr>
        <w:t>Возрастная категория:</w:t>
      </w:r>
      <w:r w:rsidRPr="00910F6D">
        <w:rPr>
          <w:rFonts w:ascii="Times New Roman" w:eastAsia="Times New Roman" w:hAnsi="Times New Roman" w:cs="Times New Roman"/>
          <w:b/>
          <w:bCs/>
          <w:color w:val="222222"/>
          <w:sz w:val="27"/>
          <w:szCs w:val="27"/>
          <w:lang w:eastAsia="ru-RU"/>
        </w:rPr>
        <w:t>Взрослые</w:t>
      </w:r>
    </w:p>
    <w:p w:rsidR="00910F6D" w:rsidRPr="00910F6D" w:rsidRDefault="00910F6D" w:rsidP="00910F6D">
      <w:pPr>
        <w:shd w:val="clear" w:color="auto" w:fill="FFFFFF"/>
        <w:spacing w:after="150" w:line="240" w:lineRule="auto"/>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4"/>
          <w:szCs w:val="24"/>
          <w:lang w:eastAsia="ru-RU"/>
        </w:rPr>
        <w:t>Пересмотр не позднее:</w:t>
      </w:r>
      <w:r w:rsidRPr="00910F6D">
        <w:rPr>
          <w:rFonts w:ascii="Times New Roman" w:eastAsia="Times New Roman" w:hAnsi="Times New Roman" w:cs="Times New Roman"/>
          <w:b/>
          <w:bCs/>
          <w:color w:val="222222"/>
          <w:sz w:val="27"/>
          <w:szCs w:val="27"/>
          <w:lang w:eastAsia="ru-RU"/>
        </w:rPr>
        <w:t>2026</w:t>
      </w:r>
    </w:p>
    <w:p w:rsidR="00910F6D" w:rsidRPr="00910F6D" w:rsidRDefault="00910F6D" w:rsidP="00910F6D">
      <w:pPr>
        <w:shd w:val="clear" w:color="auto" w:fill="FFFFFF"/>
        <w:spacing w:after="150" w:line="240" w:lineRule="auto"/>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4"/>
          <w:szCs w:val="24"/>
          <w:lang w:eastAsia="ru-RU"/>
        </w:rPr>
        <w:t>ID:</w:t>
      </w:r>
      <w:r w:rsidRPr="00910F6D">
        <w:rPr>
          <w:rFonts w:ascii="Times New Roman" w:eastAsia="Times New Roman" w:hAnsi="Times New Roman" w:cs="Times New Roman"/>
          <w:b/>
          <w:bCs/>
          <w:color w:val="222222"/>
          <w:sz w:val="27"/>
          <w:szCs w:val="27"/>
          <w:lang w:eastAsia="ru-RU"/>
        </w:rPr>
        <w:t>535</w:t>
      </w:r>
    </w:p>
    <w:p w:rsidR="00910F6D" w:rsidRPr="00910F6D" w:rsidRDefault="00910F6D" w:rsidP="00910F6D">
      <w:pPr>
        <w:shd w:val="clear" w:color="auto" w:fill="FFFFFF"/>
        <w:spacing w:after="0" w:line="240" w:lineRule="auto"/>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4"/>
          <w:szCs w:val="24"/>
          <w:lang w:eastAsia="ru-RU"/>
        </w:rPr>
        <w:t>Разработчик клинической рекомендации</w:t>
      </w:r>
    </w:p>
    <w:p w:rsidR="00910F6D" w:rsidRPr="00910F6D" w:rsidRDefault="00910F6D" w:rsidP="00910F6D">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10F6D">
        <w:rPr>
          <w:rFonts w:ascii="Times New Roman" w:eastAsia="Times New Roman" w:hAnsi="Times New Roman" w:cs="Times New Roman"/>
          <w:b/>
          <w:bCs/>
          <w:color w:val="222222"/>
          <w:sz w:val="27"/>
          <w:szCs w:val="27"/>
          <w:lang w:eastAsia="ru-RU"/>
        </w:rPr>
        <w:t>Ассоциация онкологов России</w:t>
      </w:r>
    </w:p>
    <w:p w:rsidR="00910F6D" w:rsidRPr="00910F6D" w:rsidRDefault="00910F6D" w:rsidP="00910F6D">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10F6D">
        <w:rPr>
          <w:rFonts w:ascii="Times New Roman" w:eastAsia="Times New Roman" w:hAnsi="Times New Roman" w:cs="Times New Roman"/>
          <w:b/>
          <w:bCs/>
          <w:color w:val="222222"/>
          <w:sz w:val="27"/>
          <w:szCs w:val="27"/>
          <w:lang w:eastAsia="ru-RU"/>
        </w:rPr>
        <w:t>Общероссийская общественная организация «Федерация специалистов по лечению заболеваний головы и шеи»</w:t>
      </w:r>
    </w:p>
    <w:p w:rsidR="00910F6D" w:rsidRPr="00910F6D" w:rsidRDefault="00910F6D" w:rsidP="00910F6D">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10F6D">
        <w:rPr>
          <w:rFonts w:ascii="Times New Roman" w:eastAsia="Times New Roman" w:hAnsi="Times New Roman" w:cs="Times New Roman"/>
          <w:b/>
          <w:bCs/>
          <w:color w:val="222222"/>
          <w:sz w:val="27"/>
          <w:szCs w:val="27"/>
          <w:lang w:eastAsia="ru-RU"/>
        </w:rPr>
        <w:t>Некоммерческая организация "Ассоциация онкологических организаций Сибири и Дальнего Востока</w:t>
      </w:r>
    </w:p>
    <w:p w:rsidR="00910F6D" w:rsidRPr="00910F6D" w:rsidRDefault="00910F6D" w:rsidP="00910F6D">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10F6D">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клинической онкологии»</w:t>
      </w:r>
    </w:p>
    <w:p w:rsidR="00910F6D" w:rsidRPr="00910F6D" w:rsidRDefault="00910F6D" w:rsidP="00910F6D">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910F6D">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специалистов по опухолям головы и шеи"</w:t>
      </w:r>
    </w:p>
    <w:p w:rsidR="00910F6D" w:rsidRPr="00910F6D" w:rsidRDefault="00910F6D" w:rsidP="00910F6D">
      <w:pPr>
        <w:shd w:val="clear" w:color="auto" w:fill="FFFFFF"/>
        <w:spacing w:after="150" w:line="240" w:lineRule="auto"/>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lastRenderedPageBreak/>
        <w:t>Оглавление</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Список сокращений</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Термины и определения</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2.1 Жалобы и анамнез</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2.2 Физикальное обследование</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2.3 Лабораторные диагностические исследования</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2.5 Иные диагностические исследования</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Критерии оценки качества медицинской помощи</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Список литературы</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Приложение Б. Алгоритмы действий врача</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Приложение В. Информация для пациента</w:t>
      </w:r>
    </w:p>
    <w:p w:rsidR="00910F6D" w:rsidRPr="00910F6D" w:rsidRDefault="00910F6D" w:rsidP="00910F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Список сокращений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в/в – внутривенно</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ДНК – дезоксирибонуклеиновая кислота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ЗНО – злокачественное новообразование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ЛУ – лимфатические узлы</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УЗИ – ультразвуковое исследование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КТ – компьютерная томография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ЛТ – лучевая терапия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ЛФК – лечебная физкультура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ХЛТ – химиолучевая терапия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МРТ – магнитно-резонансная томография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ПЦР – полимеразная цепная реакция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РТ-ПЦР – полимеразная цепная реакция в реальном времени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ПХТ – полихимиотерапия</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ПЭГ</w:t>
      </w:r>
      <w:r w:rsidRPr="00910F6D">
        <w:rPr>
          <w:rFonts w:ascii="Times New Roman" w:eastAsia="Times New Roman" w:hAnsi="Times New Roman" w:cs="Times New Roman"/>
          <w:b/>
          <w:bCs/>
          <w:color w:val="222222"/>
          <w:sz w:val="27"/>
          <w:szCs w:val="27"/>
          <w:lang w:eastAsia="ru-RU"/>
        </w:rPr>
        <w:t> </w:t>
      </w:r>
      <w:r w:rsidRPr="00910F6D">
        <w:rPr>
          <w:rFonts w:ascii="Times New Roman" w:eastAsia="Times New Roman" w:hAnsi="Times New Roman" w:cs="Times New Roman"/>
          <w:color w:val="222222"/>
          <w:sz w:val="27"/>
          <w:szCs w:val="27"/>
          <w:lang w:eastAsia="ru-RU"/>
        </w:rPr>
        <w:t>– перкутанная (чрескожная) эндоскопическая гастростома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ПЭТ-КТ – позитронная эмиссионная томография, совмещенная с компьютерной томографией</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УДД</w:t>
      </w:r>
      <w:r w:rsidRPr="00910F6D">
        <w:rPr>
          <w:rFonts w:ascii="Times New Roman" w:eastAsia="Times New Roman" w:hAnsi="Times New Roman" w:cs="Times New Roman"/>
          <w:b/>
          <w:bCs/>
          <w:color w:val="222222"/>
          <w:sz w:val="27"/>
          <w:szCs w:val="27"/>
          <w:lang w:eastAsia="ru-RU"/>
        </w:rPr>
        <w:t> – </w:t>
      </w:r>
      <w:r w:rsidRPr="00910F6D">
        <w:rPr>
          <w:rFonts w:ascii="Times New Roman" w:eastAsia="Times New Roman" w:hAnsi="Times New Roman" w:cs="Times New Roman"/>
          <w:color w:val="222222"/>
          <w:sz w:val="27"/>
          <w:szCs w:val="27"/>
          <w:lang w:eastAsia="ru-RU"/>
        </w:rPr>
        <w:t>уровень достоверности доказательности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УУР – уровень убедительности рекомендации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ФУ – фторурацил**</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ХБС – хронический болевой синдром</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TNM – (аббревиатура от tumor, nodus и metastasis) международная классификация стадий развития раковых опухолей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CI – доверительный интервал</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HR – отношение рисков</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EBV – вирус Эпштейна-Барр</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ECOG – шкала оценки общего состояния онкологического больного по версии  Восточной объединенной группы онкологов</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ERAS – Enhanced recovery after surgery – ускоренное восстановление после операции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IMRT</w:t>
      </w:r>
      <w:r w:rsidRPr="00910F6D">
        <w:rPr>
          <w:rFonts w:ascii="Times New Roman" w:eastAsia="Times New Roman" w:hAnsi="Times New Roman" w:cs="Times New Roman"/>
          <w:b/>
          <w:bCs/>
          <w:color w:val="222222"/>
          <w:sz w:val="27"/>
          <w:szCs w:val="27"/>
          <w:lang w:eastAsia="ru-RU"/>
        </w:rPr>
        <w:t> – </w:t>
      </w:r>
      <w:r w:rsidRPr="00910F6D">
        <w:rPr>
          <w:rFonts w:ascii="Times New Roman" w:eastAsia="Times New Roman" w:hAnsi="Times New Roman" w:cs="Times New Roman"/>
          <w:color w:val="222222"/>
          <w:sz w:val="27"/>
          <w:szCs w:val="27"/>
          <w:lang w:eastAsia="ru-RU"/>
        </w:rPr>
        <w:t>лучевая терапия с модуляцией интенсивности (volumetric modulated arc therapy)</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QUANTEC</w:t>
      </w:r>
      <w:r w:rsidRPr="00910F6D">
        <w:rPr>
          <w:rFonts w:ascii="Times New Roman" w:eastAsia="Times New Roman" w:hAnsi="Times New Roman" w:cs="Times New Roman"/>
          <w:b/>
          <w:bCs/>
          <w:color w:val="222222"/>
          <w:sz w:val="27"/>
          <w:szCs w:val="27"/>
          <w:lang w:eastAsia="ru-RU"/>
        </w:rPr>
        <w:t> </w:t>
      </w:r>
      <w:r w:rsidRPr="00910F6D">
        <w:rPr>
          <w:rFonts w:ascii="Times New Roman" w:eastAsia="Times New Roman" w:hAnsi="Times New Roman" w:cs="Times New Roman"/>
          <w:color w:val="222222"/>
          <w:sz w:val="27"/>
          <w:szCs w:val="27"/>
          <w:lang w:eastAsia="ru-RU"/>
        </w:rPr>
        <w:t>– практическое руководство для оценки дозолимитирующих параметров критических органов (quantitative analyses of normal tissue effects in the clinic)</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VMAT</w:t>
      </w:r>
      <w:r w:rsidRPr="00910F6D">
        <w:rPr>
          <w:rFonts w:ascii="Times New Roman" w:eastAsia="Times New Roman" w:hAnsi="Times New Roman" w:cs="Times New Roman"/>
          <w:b/>
          <w:bCs/>
          <w:color w:val="222222"/>
          <w:sz w:val="27"/>
          <w:szCs w:val="27"/>
          <w:lang w:eastAsia="ru-RU"/>
        </w:rPr>
        <w:t> – </w:t>
      </w:r>
      <w:r w:rsidRPr="00910F6D">
        <w:rPr>
          <w:rFonts w:ascii="Times New Roman" w:eastAsia="Times New Roman" w:hAnsi="Times New Roman" w:cs="Times New Roman"/>
          <w:color w:val="222222"/>
          <w:sz w:val="27"/>
          <w:szCs w:val="27"/>
          <w:lang w:eastAsia="ru-RU"/>
        </w:rPr>
        <w:t>объемно-модулированная лучевая терапия (volumetric modulated arc therapy)</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18F-ФДГ – флудезоксиглюкоза [18F]</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Термины и определения</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lastRenderedPageBreak/>
        <w:t>Верхняя стенка </w:t>
      </w:r>
      <w:r w:rsidRPr="00910F6D">
        <w:rPr>
          <w:rFonts w:ascii="Times New Roman" w:eastAsia="Times New Roman" w:hAnsi="Times New Roman" w:cs="Times New Roman"/>
          <w:color w:val="222222"/>
          <w:sz w:val="27"/>
          <w:szCs w:val="27"/>
          <w:lang w:eastAsia="ru-RU"/>
        </w:rPr>
        <w:t>–</w:t>
      </w:r>
      <w:r w:rsidRPr="00910F6D">
        <w:rPr>
          <w:rFonts w:ascii="Times New Roman" w:eastAsia="Times New Roman" w:hAnsi="Times New Roman" w:cs="Times New Roman"/>
          <w:b/>
          <w:bCs/>
          <w:color w:val="222222"/>
          <w:sz w:val="27"/>
          <w:szCs w:val="27"/>
          <w:lang w:eastAsia="ru-RU"/>
        </w:rPr>
        <w:t> </w:t>
      </w:r>
      <w:r w:rsidRPr="00910F6D">
        <w:rPr>
          <w:rFonts w:ascii="Times New Roman" w:eastAsia="Times New Roman" w:hAnsi="Times New Roman" w:cs="Times New Roman"/>
          <w:color w:val="222222"/>
          <w:sz w:val="27"/>
          <w:szCs w:val="27"/>
          <w:lang w:eastAsia="ru-RU"/>
        </w:rPr>
        <w:t>основная кость, часть затылочной кости.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Задняя стенка </w:t>
      </w:r>
      <w:r w:rsidRPr="00910F6D">
        <w:rPr>
          <w:rFonts w:ascii="Times New Roman" w:eastAsia="Times New Roman" w:hAnsi="Times New Roman" w:cs="Times New Roman"/>
          <w:color w:val="222222"/>
          <w:sz w:val="27"/>
          <w:szCs w:val="27"/>
          <w:lang w:eastAsia="ru-RU"/>
        </w:rPr>
        <w:t>–</w:t>
      </w:r>
      <w:r w:rsidRPr="00910F6D">
        <w:rPr>
          <w:rFonts w:ascii="Times New Roman" w:eastAsia="Times New Roman" w:hAnsi="Times New Roman" w:cs="Times New Roman"/>
          <w:b/>
          <w:bCs/>
          <w:color w:val="222222"/>
          <w:sz w:val="27"/>
          <w:szCs w:val="27"/>
          <w:lang w:eastAsia="ru-RU"/>
        </w:rPr>
        <w:t> </w:t>
      </w:r>
      <w:r w:rsidRPr="00910F6D">
        <w:rPr>
          <w:rFonts w:ascii="Times New Roman" w:eastAsia="Times New Roman" w:hAnsi="Times New Roman" w:cs="Times New Roman"/>
          <w:color w:val="222222"/>
          <w:sz w:val="27"/>
          <w:szCs w:val="27"/>
          <w:lang w:eastAsia="ru-RU"/>
        </w:rPr>
        <w:t>I, II шейный позвонок.</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Передняя стенка </w:t>
      </w:r>
      <w:r w:rsidRPr="00910F6D">
        <w:rPr>
          <w:rFonts w:ascii="Times New Roman" w:eastAsia="Times New Roman" w:hAnsi="Times New Roman" w:cs="Times New Roman"/>
          <w:color w:val="222222"/>
          <w:sz w:val="27"/>
          <w:szCs w:val="27"/>
          <w:lang w:eastAsia="ru-RU"/>
        </w:rPr>
        <w:t>–</w:t>
      </w:r>
      <w:r w:rsidRPr="00910F6D">
        <w:rPr>
          <w:rFonts w:ascii="Times New Roman" w:eastAsia="Times New Roman" w:hAnsi="Times New Roman" w:cs="Times New Roman"/>
          <w:b/>
          <w:bCs/>
          <w:color w:val="222222"/>
          <w:sz w:val="27"/>
          <w:szCs w:val="27"/>
          <w:lang w:eastAsia="ru-RU"/>
        </w:rPr>
        <w:t> </w:t>
      </w:r>
      <w:r w:rsidRPr="00910F6D">
        <w:rPr>
          <w:rFonts w:ascii="Times New Roman" w:eastAsia="Times New Roman" w:hAnsi="Times New Roman" w:cs="Times New Roman"/>
          <w:color w:val="222222"/>
          <w:sz w:val="27"/>
          <w:szCs w:val="27"/>
          <w:lang w:eastAsia="ru-RU"/>
        </w:rPr>
        <w:t>хоаны.</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Боковые стенки </w:t>
      </w:r>
      <w:r w:rsidRPr="00910F6D">
        <w:rPr>
          <w:rFonts w:ascii="Times New Roman" w:eastAsia="Times New Roman" w:hAnsi="Times New Roman" w:cs="Times New Roman"/>
          <w:color w:val="222222"/>
          <w:sz w:val="27"/>
          <w:szCs w:val="27"/>
          <w:lang w:eastAsia="ru-RU"/>
        </w:rPr>
        <w:t>–</w:t>
      </w:r>
      <w:r w:rsidRPr="00910F6D">
        <w:rPr>
          <w:rFonts w:ascii="Times New Roman" w:eastAsia="Times New Roman" w:hAnsi="Times New Roman" w:cs="Times New Roman"/>
          <w:b/>
          <w:bCs/>
          <w:color w:val="222222"/>
          <w:sz w:val="27"/>
          <w:szCs w:val="27"/>
          <w:lang w:eastAsia="ru-RU"/>
        </w:rPr>
        <w:t> </w:t>
      </w:r>
      <w:r w:rsidRPr="00910F6D">
        <w:rPr>
          <w:rFonts w:ascii="Times New Roman" w:eastAsia="Times New Roman" w:hAnsi="Times New Roman" w:cs="Times New Roman"/>
          <w:color w:val="222222"/>
          <w:sz w:val="27"/>
          <w:szCs w:val="27"/>
          <w:lang w:eastAsia="ru-RU"/>
        </w:rPr>
        <w:t>глоточные отверстия слуховых труб.</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Нижняя стенка </w:t>
      </w:r>
      <w:r w:rsidRPr="00910F6D">
        <w:rPr>
          <w:rFonts w:ascii="Times New Roman" w:eastAsia="Times New Roman" w:hAnsi="Times New Roman" w:cs="Times New Roman"/>
          <w:color w:val="222222"/>
          <w:sz w:val="27"/>
          <w:szCs w:val="27"/>
          <w:lang w:eastAsia="ru-RU"/>
        </w:rPr>
        <w:t>– твердое нёбо.</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Нутритивный статус – состояние организма, характеризующееся взаимосвязью между объемом потребляемых питательных веществ и потребностями, а также способностью организма переваривать, всасывать и метаболизировать питательные вещества.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Безрецидивная выживаемость </w:t>
      </w:r>
      <w:r w:rsidRPr="00910F6D">
        <w:rPr>
          <w:rFonts w:ascii="Times New Roman" w:eastAsia="Times New Roman" w:hAnsi="Times New Roman" w:cs="Times New Roman"/>
          <w:color w:val="222222"/>
          <w:sz w:val="27"/>
          <w:szCs w:val="27"/>
          <w:lang w:eastAsia="ru-RU"/>
        </w:rPr>
        <w:t>– от момента наступления ремиссии до момента возникновения рецидива.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Общая выживаемость </w:t>
      </w:r>
      <w:r w:rsidRPr="00910F6D">
        <w:rPr>
          <w:rFonts w:ascii="Times New Roman" w:eastAsia="Times New Roman" w:hAnsi="Times New Roman" w:cs="Times New Roman"/>
          <w:color w:val="222222"/>
          <w:sz w:val="27"/>
          <w:szCs w:val="27"/>
          <w:lang w:eastAsia="ru-RU"/>
        </w:rPr>
        <w:t>– от начала лечения до окончания исследования или смерти больного.</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Полный эффект </w:t>
      </w:r>
      <w:r w:rsidRPr="00910F6D">
        <w:rPr>
          <w:rFonts w:ascii="Times New Roman" w:eastAsia="Times New Roman" w:hAnsi="Times New Roman" w:cs="Times New Roman"/>
          <w:color w:val="222222"/>
          <w:sz w:val="27"/>
          <w:szCs w:val="27"/>
          <w:lang w:eastAsia="ru-RU"/>
        </w:rPr>
        <w:t>– отсутствие признаков опухоли по данным лабораторных и инструментальных методов обследования.</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Прогрессирование </w:t>
      </w:r>
      <w:r w:rsidRPr="00910F6D">
        <w:rPr>
          <w:rFonts w:ascii="Times New Roman" w:eastAsia="Times New Roman" w:hAnsi="Times New Roman" w:cs="Times New Roman"/>
          <w:color w:val="222222"/>
          <w:sz w:val="27"/>
          <w:szCs w:val="27"/>
          <w:lang w:eastAsia="ru-RU"/>
        </w:rPr>
        <w:t>– появление нового опухолевого очага и/или рост первичного опухолевого очага, метастатических очагов более чем на 25%.</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Частичная регрессия </w:t>
      </w:r>
      <w:r w:rsidRPr="00910F6D">
        <w:rPr>
          <w:rFonts w:ascii="Times New Roman" w:eastAsia="Times New Roman" w:hAnsi="Times New Roman" w:cs="Times New Roman"/>
          <w:color w:val="222222"/>
          <w:sz w:val="27"/>
          <w:szCs w:val="27"/>
          <w:lang w:eastAsia="ru-RU"/>
        </w:rPr>
        <w:t>– сокращение размеров опухолевых очагов более чем на 50% при отсутствии новых.</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Рак носоглотки </w:t>
      </w:r>
      <w:r w:rsidRPr="00910F6D">
        <w:rPr>
          <w:rFonts w:ascii="Times New Roman" w:eastAsia="Times New Roman" w:hAnsi="Times New Roman" w:cs="Times New Roman"/>
          <w:color w:val="222222"/>
          <w:sz w:val="27"/>
          <w:szCs w:val="27"/>
          <w:lang w:eastAsia="ru-RU"/>
        </w:rPr>
        <w:t>– злокачественная опухоль, развивающаяся из неороговевающего эпителия носоглотки [1].</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Среди этиологических факторов развития рака носоглотки необходимо выделить следующие:</w:t>
      </w:r>
    </w:p>
    <w:p w:rsidR="00910F6D" w:rsidRPr="00910F6D" w:rsidRDefault="00910F6D" w:rsidP="00910F6D">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инфицирование вирусом Эпштейн-Барр (EBV);</w:t>
      </w:r>
    </w:p>
    <w:p w:rsidR="00910F6D" w:rsidRPr="00910F6D" w:rsidRDefault="00910F6D" w:rsidP="00910F6D">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хронические воспалительные процессы, вызывающие гиперплазию и метаплазию слизистой оболочки носоглотки;</w:t>
      </w:r>
    </w:p>
    <w:p w:rsidR="00910F6D" w:rsidRPr="00910F6D" w:rsidRDefault="00910F6D" w:rsidP="00910F6D">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влияние анатомических особенностей некоторых рас (народы Юго-Восточной Азии, Африки, Индокитая имеют более высокую заболеваемость) [2, 3].</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Заболеваемость раком носоглотки в России в 2021 году составила 0,37 случая на 100 тыс. населения, при этом заболеваемость у мужчин в 2 раза выше, чем у женщин [4].</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Злокачественное новообразование носоглотки (С11):</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C11.0 – Злокачественное новообразование верхней стенки носоглотки.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C11.1 – Злокачественное новообразование задней стенки носоглотки.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C11.2 – Злокачественное новообразование боковой стенки носоглотки.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C11.3 – Злокачественное новообразование передней стенки носоглотки.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C11.8 – Поражения носоглотки, выходящие за пределы одной и более вышеуказанных локализаций.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C11.9 – Злокачественное новообразование носоглотки неуточненное.</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Международная гистологическая классификация опухолей носоглотки (классификация ВОЗ, 4-е издание, 2010 г.)</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Злокачественные эпителиальные опухоли: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8072/3 Плоскоклеточный рак, крупноклеточный, неороговевающий, БДУ.</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8071/3 Плоскоклеточный рак, ороговевающий, БДУ.</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8020/3 Недифференцированный рак.</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Среди злокачественных опухолей носоглотки преимущественное положение занимают эпителиальные новообразования, из которых на долю рака приходится около 70%. Выделяют три гистологических варианта рака носоглотки: плоскоклеточный ороговевающий рак, плоскоклеточный неороговевающий рак (дифференцированный/недифференцированный), базалоидный вариант плоскоклеточного рака.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Степень распространенности эпителиальных злокачественных опухолей носоглотки представлена в международной классификации стадий рака (TNM), 8-е издание.</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Символ Т содержит следующие градации: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lastRenderedPageBreak/>
        <w:t>ТХ </w:t>
      </w:r>
      <w:r w:rsidRPr="00910F6D">
        <w:rPr>
          <w:rFonts w:ascii="Times New Roman" w:eastAsia="Times New Roman" w:hAnsi="Times New Roman" w:cs="Times New Roman"/>
          <w:color w:val="222222"/>
          <w:sz w:val="27"/>
          <w:szCs w:val="27"/>
          <w:lang w:eastAsia="ru-RU"/>
        </w:rPr>
        <w:t>– недостаточно данных для оценки первичной опухоли.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T0 – </w:t>
      </w:r>
      <w:r w:rsidRPr="00910F6D">
        <w:rPr>
          <w:rFonts w:ascii="Times New Roman" w:eastAsia="Times New Roman" w:hAnsi="Times New Roman" w:cs="Times New Roman"/>
          <w:color w:val="222222"/>
          <w:sz w:val="27"/>
          <w:szCs w:val="27"/>
          <w:lang w:eastAsia="ru-RU"/>
        </w:rPr>
        <w:t>первичная опухоль не определяется, но имеется поражение регионарных ЛУ вирусом Эпштейна-Барр (ВЭБ)</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Тis </w:t>
      </w:r>
      <w:r w:rsidRPr="00910F6D">
        <w:rPr>
          <w:rFonts w:ascii="Times New Roman" w:eastAsia="Times New Roman" w:hAnsi="Times New Roman" w:cs="Times New Roman"/>
          <w:color w:val="222222"/>
          <w:sz w:val="27"/>
          <w:szCs w:val="27"/>
          <w:lang w:eastAsia="ru-RU"/>
        </w:rPr>
        <w:t>– преинвазивная карцинома (интраэпителиальная инвазия или инвазия собственной пластинки слизистой оболочки).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Т1 </w:t>
      </w:r>
      <w:r w:rsidRPr="00910F6D">
        <w:rPr>
          <w:rFonts w:ascii="Times New Roman" w:eastAsia="Times New Roman" w:hAnsi="Times New Roman" w:cs="Times New Roman"/>
          <w:color w:val="222222"/>
          <w:sz w:val="27"/>
          <w:szCs w:val="27"/>
          <w:lang w:eastAsia="ru-RU"/>
        </w:rPr>
        <w:t>– опухоль в пределах носоглотки, или опухоль распространяется в ротоглотку, или полость носа без распространения в парафарингеальное пространство.</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Т2 </w:t>
      </w:r>
      <w:r w:rsidRPr="00910F6D">
        <w:rPr>
          <w:rFonts w:ascii="Times New Roman" w:eastAsia="Times New Roman" w:hAnsi="Times New Roman" w:cs="Times New Roman"/>
          <w:color w:val="222222"/>
          <w:sz w:val="27"/>
          <w:szCs w:val="27"/>
          <w:lang w:eastAsia="ru-RU"/>
        </w:rPr>
        <w:t>– опухоль с распространением в парафарингеальное пространство.</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Т3 </w:t>
      </w:r>
      <w:r w:rsidRPr="00910F6D">
        <w:rPr>
          <w:rFonts w:ascii="Times New Roman" w:eastAsia="Times New Roman" w:hAnsi="Times New Roman" w:cs="Times New Roman"/>
          <w:color w:val="222222"/>
          <w:sz w:val="27"/>
          <w:szCs w:val="27"/>
          <w:lang w:eastAsia="ru-RU"/>
        </w:rPr>
        <w:t>– опухоль распространяется на основание черепа и/или придаточные пазухи носа.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Т4 </w:t>
      </w:r>
      <w:r w:rsidRPr="00910F6D">
        <w:rPr>
          <w:rFonts w:ascii="Times New Roman" w:eastAsia="Times New Roman" w:hAnsi="Times New Roman" w:cs="Times New Roman"/>
          <w:color w:val="222222"/>
          <w:sz w:val="27"/>
          <w:szCs w:val="27"/>
          <w:lang w:eastAsia="ru-RU"/>
        </w:rPr>
        <w:t>– опухоль с интракраниальным распространением и/или поражением черепных нервов, распространением в орбиту, подвисочную ямку, жевательное пространство.</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Символ N указывает на наличие или отсутствие метастазов в регионарных лимфатических узлах (ЛУ):</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NХ </w:t>
      </w:r>
      <w:r w:rsidRPr="00910F6D">
        <w:rPr>
          <w:rFonts w:ascii="Times New Roman" w:eastAsia="Times New Roman" w:hAnsi="Times New Roman" w:cs="Times New Roman"/>
          <w:color w:val="222222"/>
          <w:sz w:val="27"/>
          <w:szCs w:val="27"/>
          <w:lang w:eastAsia="ru-RU"/>
        </w:rPr>
        <w:t>– недостаточно данных для оценки регионарных ЛУ.</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N0 </w:t>
      </w:r>
      <w:r w:rsidRPr="00910F6D">
        <w:rPr>
          <w:rFonts w:ascii="Times New Roman" w:eastAsia="Times New Roman" w:hAnsi="Times New Roman" w:cs="Times New Roman"/>
          <w:color w:val="222222"/>
          <w:sz w:val="27"/>
          <w:szCs w:val="27"/>
          <w:lang w:eastAsia="ru-RU"/>
        </w:rPr>
        <w:t>– поражения регионарных ЛУ нет.</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N1 </w:t>
      </w:r>
      <w:r w:rsidRPr="00910F6D">
        <w:rPr>
          <w:rFonts w:ascii="Times New Roman" w:eastAsia="Times New Roman" w:hAnsi="Times New Roman" w:cs="Times New Roman"/>
          <w:color w:val="222222"/>
          <w:sz w:val="27"/>
          <w:szCs w:val="27"/>
          <w:lang w:eastAsia="ru-RU"/>
        </w:rPr>
        <w:t>– метастазы в шейных ЛУ выше надключичной ямки на стороне поражения не более 6 см в наибольшем измерении и/или одно/двусторонние ретрофарингеальные метастазы не более 6 см в наибольшем измерении.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N2 </w:t>
      </w:r>
      <w:r w:rsidRPr="00910F6D">
        <w:rPr>
          <w:rFonts w:ascii="Times New Roman" w:eastAsia="Times New Roman" w:hAnsi="Times New Roman" w:cs="Times New Roman"/>
          <w:color w:val="222222"/>
          <w:sz w:val="27"/>
          <w:szCs w:val="27"/>
          <w:lang w:eastAsia="ru-RU"/>
        </w:rPr>
        <w:t>– двусторонние метастазы в шейных ЛУ до 6 см в наибольшем измерении, выше надключичной ямки.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N3 </w:t>
      </w:r>
      <w:r w:rsidRPr="00910F6D">
        <w:rPr>
          <w:rFonts w:ascii="Times New Roman" w:eastAsia="Times New Roman" w:hAnsi="Times New Roman" w:cs="Times New Roman"/>
          <w:color w:val="222222"/>
          <w:sz w:val="27"/>
          <w:szCs w:val="27"/>
          <w:lang w:eastAsia="ru-RU"/>
        </w:rPr>
        <w:t>– односторонние или двухсторонние метастазы в ЛУ более 6 см в наибольшем измерении и/или расположенные ниже нижнего края перстневидного хряща.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Символ М характеризует наличие или отсутствие отдаленных метастазов:</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М0 </w:t>
      </w:r>
      <w:r w:rsidRPr="00910F6D">
        <w:rPr>
          <w:rFonts w:ascii="Times New Roman" w:eastAsia="Times New Roman" w:hAnsi="Times New Roman" w:cs="Times New Roman"/>
          <w:color w:val="222222"/>
          <w:sz w:val="27"/>
          <w:szCs w:val="27"/>
          <w:lang w:eastAsia="ru-RU"/>
        </w:rPr>
        <w:t>– отдаленных метастазов нет.</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М1 </w:t>
      </w:r>
      <w:r w:rsidRPr="00910F6D">
        <w:rPr>
          <w:rFonts w:ascii="Times New Roman" w:eastAsia="Times New Roman" w:hAnsi="Times New Roman" w:cs="Times New Roman"/>
          <w:color w:val="222222"/>
          <w:sz w:val="27"/>
          <w:szCs w:val="27"/>
          <w:lang w:eastAsia="ru-RU"/>
        </w:rPr>
        <w:t>– наличие отдаленных метастазов.</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Таблица 1. </w:t>
      </w:r>
      <w:r w:rsidRPr="00910F6D">
        <w:rPr>
          <w:rFonts w:ascii="Times New Roman" w:eastAsia="Times New Roman" w:hAnsi="Times New Roman" w:cs="Times New Roman"/>
          <w:color w:val="222222"/>
          <w:sz w:val="27"/>
          <w:szCs w:val="27"/>
          <w:lang w:eastAsia="ru-RU"/>
        </w:rPr>
        <w:t>Группировка по стадиям</w:t>
      </w:r>
    </w:p>
    <w:tbl>
      <w:tblPr>
        <w:tblW w:w="11850" w:type="dxa"/>
        <w:tblCellMar>
          <w:left w:w="0" w:type="dxa"/>
          <w:right w:w="0" w:type="dxa"/>
        </w:tblCellMar>
        <w:tblLook w:val="04A0" w:firstRow="1" w:lastRow="0" w:firstColumn="1" w:lastColumn="0" w:noHBand="0" w:noVBand="1"/>
      </w:tblPr>
      <w:tblGrid>
        <w:gridCol w:w="3372"/>
        <w:gridCol w:w="3519"/>
        <w:gridCol w:w="3606"/>
        <w:gridCol w:w="1353"/>
      </w:tblGrid>
      <w:tr w:rsidR="00910F6D" w:rsidRPr="00910F6D" w:rsidTr="00910F6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M</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любое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IVC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любое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любое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r>
    </w:tbl>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xml:space="preserve">Клиническая картина рака носоглотки складывается из локальной симптоматики, признаков регионарного и отдаленного метастазирования, а также может быть обусловлена наличием общего опухолевого симптомокомплекса. В большинстве случаев начальные проявления рака носоглотки скрываются под маской острых респираторных вирусных инфекций, ринофарингитов, аденоидных вегетаций. </w:t>
      </w:r>
      <w:r w:rsidRPr="00910F6D">
        <w:rPr>
          <w:rFonts w:ascii="Times New Roman" w:eastAsia="Times New Roman" w:hAnsi="Times New Roman" w:cs="Times New Roman"/>
          <w:color w:val="222222"/>
          <w:sz w:val="27"/>
          <w:szCs w:val="27"/>
          <w:lang w:eastAsia="ru-RU"/>
        </w:rPr>
        <w:lastRenderedPageBreak/>
        <w:t>Нередко первыми клиническими признаками выступают увеличенные лимфатические узлы на шее, которые и заставляют обратиться к врачу.</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Диагноз устанавливается на основании: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1) анамнестических данных;</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2) клинической картины и физикального обследования, включающего тщательный клинический осмотр и пальпацию регионарных лимфатических узлов (ЛУ);</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3) цитологического исследования микропрепарата тканей, отделяемого верхних дыхательных путей и отпечатков, пунктата из увеличенных или подозрительных ЛУ;</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4) патолого-анатомического исследования биопсийного (операционного) материала;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5) инструментального обследований, включая фиброларингоскопию, компьютерную томографию (КТ)/магнитно-резонансную томографию (МРТ), позитронную эмиссионную томографию, совмещенную с компьютерной томографией (ПЭТ-КТ) с флудезоксиглюкозой [18F] (18F-ФДГ), по показаниям</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6) лабораторного исследования уровня ДНК вируса Эпштейн-Барра</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2.1 Жалобы и анамнез</w:t>
      </w:r>
    </w:p>
    <w:p w:rsidR="00910F6D" w:rsidRPr="00910F6D" w:rsidRDefault="00910F6D" w:rsidP="00910F6D">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 всем пациентам с подозрением на рак носоглотки </w:t>
      </w:r>
      <w:r w:rsidRPr="00910F6D">
        <w:rPr>
          <w:rFonts w:ascii="Times New Roman" w:eastAsia="Times New Roman" w:hAnsi="Times New Roman" w:cs="Times New Roman"/>
          <w:color w:val="222222"/>
          <w:sz w:val="27"/>
          <w:szCs w:val="27"/>
          <w:lang w:eastAsia="ru-RU"/>
        </w:rPr>
        <w:t>тщательный сбор жалоб и анамнеза у пациента с целью выявления факторов, которые могут повлиять на дальнейшее обследование и выбор тактики лечения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lastRenderedPageBreak/>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Комментарии:</w:t>
      </w: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к факторам риска относятся вредные бытовые привычки (курение, употребление крепких спиртных напитков), производственные вредности, хроническую инфекцию (хронический фарингит, отит, ринит, вирус Эпштейн-Барр). При определении стажа курения целесообразно применять критерий количества пачка/лет, подразумевающий накопленный стаж с учетом продолжительности и интенсивности курения.</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2.2 Физикальное обследование</w:t>
      </w:r>
    </w:p>
    <w:p w:rsidR="00910F6D" w:rsidRPr="00910F6D" w:rsidRDefault="00910F6D" w:rsidP="00910F6D">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пациентам с подозрением на рак носоглотки тщательный физикальный осмотр, включающий переднюю и заднюю риноскопию, пальпацию регионарных ЛУ, оценку нутритивного статуса в целях определения распространенности опухолевого процесса и принятия решения о необходимости коррекции непротивного статуса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910F6D" w:rsidRPr="00910F6D" w:rsidRDefault="00910F6D" w:rsidP="00910F6D">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 </w:t>
      </w:r>
      <w:r w:rsidRPr="00910F6D">
        <w:rPr>
          <w:rFonts w:ascii="Times New Roman" w:eastAsia="Times New Roman" w:hAnsi="Times New Roman" w:cs="Times New Roman"/>
          <w:color w:val="222222"/>
          <w:sz w:val="27"/>
          <w:szCs w:val="27"/>
          <w:lang w:eastAsia="ru-RU"/>
        </w:rPr>
        <w:t>всем пациентам с раком носоглотки или подозрением на рак носоглотки выполнять определение дезоксирибонуклеиновой кислоты (ДНК вируса Эпштейна-Барр (Epstein-Barr virus (EBV)) методом ПЦР в периферической и пуповинной крови, количественное исследование (предпочтительно) или определение антител классов M, G (IgM, IgG) к вирусу Эпштейн-Барра (EBV) в крови методом полимеразной цепной реакции (ПЦР), с целью верификации опухоли и оценки дальнейшей эффективности противоопухолевого лечения [5].</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4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lastRenderedPageBreak/>
        <w:t>Комментарии: </w:t>
      </w:r>
      <w:r w:rsidRPr="00910F6D">
        <w:rPr>
          <w:rFonts w:ascii="Times New Roman" w:eastAsia="Times New Roman" w:hAnsi="Times New Roman" w:cs="Times New Roman"/>
          <w:i/>
          <w:iCs/>
          <w:color w:val="333333"/>
          <w:sz w:val="27"/>
          <w:szCs w:val="27"/>
          <w:lang w:eastAsia="ru-RU"/>
        </w:rPr>
        <w:t>инфицированность EBV ассоциирована с раком носоглотки 1-го типа, по данным Всемирной организации здравоохранения [6, 7]. Y.M. Lo и соавт. применили анализ ПЦР в реальном времени (РТ-ПЦР), что сделало определение циркулирующей внеклеточной ДНК EBV существенно более чувствительным. Для измерения ДНК EBV используются праймеры к BamHI-W региону в геноме EBV, который повторяется 8-11 раз, что повышает чувствительность его выявления в сравнении с однокопийными генами, например, EBNA1, LMP2 или POL1. Этим методом вирусная ДНК  была идентифицирована у 96% (55 из 57) пациентов НФР и у 7% (3 из 43) здоровых людей. Вторым преимуществом РТ-ПЦР стала возможность количественного определения ДНК EBV. Это позволило выявить различия в вирусной нагрузке в плазме пациентов ранних (I/II) и поздних (III/IV) стадий НФР [6]. Оценка уровня ДНК вируса в крови применяется в ряде клиник в целях мониторинга остаточной болезни. Исследования показали, что при местно- распространенном раке высокий изначальный уровень ДНК EBV в крови или сохраняющийся к концу лучевой терапии (ЛТ) высокий уровень ДНК ассоциирован с неблагоприятным прогнозом после завершения ЛТ или химиолучевой терапии (ХЛТ) [8, 9, 10, 11, 12, 13].</w:t>
      </w:r>
    </w:p>
    <w:p w:rsidR="00910F6D" w:rsidRPr="00910F6D" w:rsidRDefault="00910F6D" w:rsidP="00910F6D">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 всем </w:t>
      </w:r>
      <w:r w:rsidRPr="00910F6D">
        <w:rPr>
          <w:rFonts w:ascii="Times New Roman" w:eastAsia="Times New Roman" w:hAnsi="Times New Roman" w:cs="Times New Roman"/>
          <w:color w:val="222222"/>
          <w:sz w:val="27"/>
          <w:szCs w:val="27"/>
          <w:lang w:eastAsia="ru-RU"/>
        </w:rPr>
        <w:t>пациентам выполнить цитологическое исследование микропрепрата тканей лимфоузла тонкоигольной аспирационной биопсии, под контролем УЗИ, при подозрении на метастазы ЛУ шеи с целью стадирования  заболевания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910F6D" w:rsidRPr="00910F6D" w:rsidRDefault="00910F6D" w:rsidP="00910F6D">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 </w:t>
      </w:r>
      <w:r w:rsidRPr="00910F6D">
        <w:rPr>
          <w:rFonts w:ascii="Times New Roman" w:eastAsia="Times New Roman" w:hAnsi="Times New Roman" w:cs="Times New Roman"/>
          <w:color w:val="222222"/>
          <w:sz w:val="27"/>
          <w:szCs w:val="27"/>
          <w:lang w:eastAsia="ru-RU"/>
        </w:rPr>
        <w:t>всем пациентам с подозрением на рак носоглотки эндоскопическая эндоназальная ревизия полости носа, носоглотки с взятием биоптатов и мазков отпечатков с поверхности эрозий, изъязвлений, пунктатов уплотнений без признаков изъязвлений с целью подтверждения или опровержения диагноза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lastRenderedPageBreak/>
        <w:t>Рекомендуется </w:t>
      </w:r>
      <w:r w:rsidRPr="00910F6D">
        <w:rPr>
          <w:rFonts w:ascii="Times New Roman" w:eastAsia="Times New Roman" w:hAnsi="Times New Roman" w:cs="Times New Roman"/>
          <w:color w:val="222222"/>
          <w:sz w:val="27"/>
          <w:szCs w:val="27"/>
          <w:lang w:eastAsia="ru-RU"/>
        </w:rPr>
        <w:t>выполнить УЗИ лимфатических узлов шеи с обеих сторон всем пациентам с раком носоглотки с пункцией подозрительных ЛУ шеи для цитологического и патологоанатомического исследования биопсийного материала с целью подтверждения или опровержения диагноза [2, 14].</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 </w:t>
      </w:r>
      <w:r w:rsidRPr="00910F6D">
        <w:rPr>
          <w:rFonts w:ascii="Times New Roman" w:eastAsia="Times New Roman" w:hAnsi="Times New Roman" w:cs="Times New Roman"/>
          <w:color w:val="222222"/>
          <w:sz w:val="27"/>
          <w:szCs w:val="27"/>
          <w:lang w:eastAsia="ru-RU"/>
        </w:rPr>
        <w:t>всем пациентам с раком носоглотки и при подозрении на рак носоглотки с целью оценки распространенности опухоли выполнить КТ лицевого отдела черепа с внутривенным болюсным контрастированием и/или МРТ лицевого отдела черепа, шеи с внутривенным контрастированием [2, 14].</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Комментарии:</w:t>
      </w: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для оценки местного распространения рака носоглотки, при наличии возможности, следует проводить МРТ лицевого отдела черепа, шеи с контрастным усилением [14]. При образованиях, непосредственно прилежащих к основанию черепа КТ лицевого отдела черепа может использоваться в качестве дополняющей методики для оценки костной деструкции, определения наличия эрозий костей.  Для оценки локального распространения и регионарного метастазирования в лимфатические узлы КТ или МРТ шеи должно охватывать всю область от основания черепа до верхней апертуры грудной клетки, при выявлении вовлечения лимфатических узлов ниже перстневидного хряща область исследования следует распространить до уровня бифуркации трахеи. При значительных размерах интракраниального компонента с целью дополнительной оценки его распространенности и выраженности объемного эффекта рекомендуется МРТ головного мозга [2].</w:t>
      </w:r>
    </w:p>
    <w:p w:rsidR="00910F6D" w:rsidRPr="00910F6D" w:rsidRDefault="00910F6D" w:rsidP="00910F6D">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пациентам с раком носоглотки выполнить КТ органов грудной полости с целью стадирования [2, 14].</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w:t>
      </w:r>
      <w:r w:rsidRPr="00910F6D">
        <w:rPr>
          <w:rFonts w:ascii="Times New Roman" w:eastAsia="Times New Roman" w:hAnsi="Times New Roman" w:cs="Times New Roman"/>
          <w:i/>
          <w:iCs/>
          <w:color w:val="333333"/>
          <w:sz w:val="27"/>
          <w:szCs w:val="27"/>
          <w:lang w:eastAsia="ru-RU"/>
        </w:rPr>
        <w:t> при невозможности выполнения КТ органов грудной полости, рекомендуется проведение прицельной рентгенография органов грудной клетки.</w:t>
      </w:r>
    </w:p>
    <w:p w:rsidR="00910F6D" w:rsidRPr="00910F6D" w:rsidRDefault="00910F6D" w:rsidP="00910F6D">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 </w:t>
      </w:r>
      <w:r w:rsidRPr="00910F6D">
        <w:rPr>
          <w:rFonts w:ascii="Times New Roman" w:eastAsia="Times New Roman" w:hAnsi="Times New Roman" w:cs="Times New Roman"/>
          <w:color w:val="222222"/>
          <w:sz w:val="27"/>
          <w:szCs w:val="27"/>
          <w:lang w:eastAsia="ru-RU"/>
        </w:rPr>
        <w:t>для диагностики отдаленных метастазов у пациентов с местнораспространенными ЗНО носоглотки и метастатическим поражением регионарных ЛУ выполнение ПЭТ-КТ с флудезоксиглюкозой [18F] и/или КТ органов грудной полости с внутривенным болюсным контрастированием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lastRenderedPageBreak/>
        <w:t>Комментарий:</w:t>
      </w:r>
      <w:r w:rsidRPr="00910F6D">
        <w:rPr>
          <w:rFonts w:ascii="Times New Roman" w:eastAsia="Times New Roman" w:hAnsi="Times New Roman" w:cs="Times New Roman"/>
          <w:i/>
          <w:iCs/>
          <w:color w:val="333333"/>
          <w:sz w:val="27"/>
          <w:szCs w:val="27"/>
          <w:lang w:eastAsia="ru-RU"/>
        </w:rPr>
        <w:t> ПЭТ-КТ с ПЭТ-КТ с флудезоксиглюкозой [18F] обладает высокой чувствительностью и специфичностью в выявлении отдаленных метастазов у пациентов с раком носоглотки и рекомендуется при местно-распространённом процессе [15].</w:t>
      </w:r>
    </w:p>
    <w:p w:rsidR="00910F6D" w:rsidRPr="00910F6D" w:rsidRDefault="00910F6D" w:rsidP="00910F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10F6D">
        <w:rPr>
          <w:rFonts w:ascii="Times New Roman" w:eastAsia="Times New Roman" w:hAnsi="Times New Roman" w:cs="Times New Roman"/>
          <w:b/>
          <w:bCs/>
          <w:color w:val="222222"/>
          <w:sz w:val="27"/>
          <w:szCs w:val="27"/>
          <w:u w:val="single"/>
          <w:lang w:eastAsia="ru-RU"/>
        </w:rPr>
        <w:t>2.4.1 Планирование лучевой и химиолучевой терапии</w:t>
      </w:r>
    </w:p>
    <w:p w:rsidR="00910F6D" w:rsidRPr="00910F6D" w:rsidRDefault="00910F6D" w:rsidP="00910F6D">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пациентам с раком носоглотки МРТ лицевого отдела черепа с в/в контрастированием для планирования лучевой терапии [16].</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2 (уровень убедительности рекомендаций – A).</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w:t>
      </w: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при невозможности проведения МРТ, обладающей более высокой тканевой и пространственный визуализацией, для планирования ЛТ и ХЛТ рекомендуется КТ с в/в контрастным усилением или ПЭТ-КТ [17].</w:t>
      </w:r>
    </w:p>
    <w:p w:rsidR="00910F6D" w:rsidRPr="00910F6D" w:rsidRDefault="00910F6D" w:rsidP="00910F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10F6D">
        <w:rPr>
          <w:rFonts w:ascii="Times New Roman" w:eastAsia="Times New Roman" w:hAnsi="Times New Roman" w:cs="Times New Roman"/>
          <w:b/>
          <w:bCs/>
          <w:color w:val="222222"/>
          <w:sz w:val="27"/>
          <w:szCs w:val="27"/>
          <w:u w:val="single"/>
          <w:lang w:eastAsia="ru-RU"/>
        </w:rPr>
        <w:t>2.4.2 Оценка эффективности противоопухолевого лечения</w:t>
      </w:r>
    </w:p>
    <w:p w:rsidR="00910F6D" w:rsidRPr="00910F6D" w:rsidRDefault="00910F6D" w:rsidP="00910F6D">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всем пациентам с ЗНО носоглотки выполнить МРТ лицевого отдела черепа, шеи с внутривенным болюсным контрастированием (от основания черепа до верхней апертуры грудной клетки) через 2-3 месяца после окончания ЛТ/ХЛТ для оценки первичной опухоли и зон регионарного метастазирования [18].</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w:t>
      </w: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при неоднозначных результатах МРТ рекомендуется выполнение ПЭТ-КТ с флудезоксиглюкозой [18F] для дифференциальной диагностики постлучевых изменений и рецидива заболевания [19]</w:t>
      </w:r>
    </w:p>
    <w:p w:rsidR="00910F6D" w:rsidRPr="00910F6D" w:rsidRDefault="00910F6D" w:rsidP="00910F6D">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пациентам с ЗНО носоглотки и с регионарными метастазами выполнить позитронную эмиссионную томографию (ПЭТ-КТ), совмещенную с КТ всего тела с флудезоксиглюкозой [18F] не ранее чем через 3 месяца после окончания ЛТ/ХЛТ, для решения вопроса о целесообразности выполнения  шейной лимфодиссекции [20].</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2 (уровень убедительности рекомендаций – A).</w:t>
      </w:r>
    </w:p>
    <w:p w:rsidR="00910F6D" w:rsidRPr="00910F6D" w:rsidRDefault="00910F6D" w:rsidP="00910F6D">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всем пациентам после ЛТ/ХЛТ через 2-3 месяца для подтверждения полной резорбции регионарных метастазов и решения вопроса об отказе от лимфаденэктомии выполнить пункцию подозрительных ЛУ шеи под контролем ультразвукового исследования (УЗИ)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lastRenderedPageBreak/>
        <w:t>Комментарий:</w:t>
      </w:r>
      <w:r w:rsidRPr="00910F6D">
        <w:rPr>
          <w:rFonts w:ascii="Times New Roman" w:eastAsia="Times New Roman" w:hAnsi="Times New Roman" w:cs="Times New Roman"/>
          <w:i/>
          <w:iCs/>
          <w:color w:val="333333"/>
          <w:sz w:val="27"/>
          <w:szCs w:val="27"/>
          <w:lang w:eastAsia="ru-RU"/>
        </w:rPr>
        <w:t> Подозрительными следует считать увеличенные более 2см в максимальном измерении ЛУ шеи I-IV групп и более 1 см V группы, а также ЛУ с измененной структурой согласно данным УЗИ.</w:t>
      </w:r>
    </w:p>
    <w:p w:rsidR="00910F6D" w:rsidRPr="00910F6D" w:rsidRDefault="00910F6D" w:rsidP="00910F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10F6D">
        <w:rPr>
          <w:rFonts w:ascii="Times New Roman" w:eastAsia="Times New Roman" w:hAnsi="Times New Roman" w:cs="Times New Roman"/>
          <w:b/>
          <w:bCs/>
          <w:color w:val="222222"/>
          <w:sz w:val="27"/>
          <w:szCs w:val="27"/>
          <w:u w:val="single"/>
          <w:lang w:eastAsia="ru-RU"/>
        </w:rPr>
        <w:t>2.4.3 Динамическое наблюдение</w:t>
      </w:r>
    </w:p>
    <w:p w:rsidR="00910F6D" w:rsidRPr="00910F6D" w:rsidRDefault="00910F6D" w:rsidP="00910F6D">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всем пациентам с раком носоглотки выполнения адекватного физикального осмотра зоны интереса при невозможности, рекомендуется проведение фиброларингоскопии каждые 1-3 месяца в течение первых двух лет после окончания лечения, каждые 2-6 месяцев в течение 2 лет, каждые 4-8 месяцев в течение 3-5 лет, далее 1 раз в год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всем пациентам с раком носоглотки УЗИ лимфатических узлов шеи с 2-х сторон каждые 1-3 месяца в течение первых двух лет после окончания лечения, каждые 2-6 месяцев в течение 2 лет, каждые 4-8 месяцев в течение 3-5 лет, далее 1 раз в год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всем пациентам с раком носоглотки компьютерную томографию (КТ) мягких тканей головы и шеи  с в/в болюсным контрастированием или магнитно-резонансную томографию (МРТ) мягких тканей головы и шеи с в/в болюсным контрастированием каждые 1-3 месяца в течение первых двух лет после окончания лечения, каждые 2-6 месяцев в течение 2 лет, каждые 4-8 месяцев в течение 3-5 лет, далее 1 раз в год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всем пациентам с раком носоглотки КТ органов грудной полости каждые 6 месяцев после окончания лечения до 5 лет, далее 1 раз в год [2]</w:t>
      </w:r>
      <w:r w:rsidRPr="00910F6D">
        <w:rPr>
          <w:rFonts w:ascii="Times New Roman" w:eastAsia="Times New Roman" w:hAnsi="Times New Roman" w:cs="Times New Roman"/>
          <w:b/>
          <w:bCs/>
          <w:color w:val="222222"/>
          <w:sz w:val="27"/>
          <w:szCs w:val="27"/>
          <w:lang w:eastAsia="ru-RU"/>
        </w:rPr>
        <w:t>.  </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w:t>
      </w:r>
      <w:r w:rsidRPr="00910F6D">
        <w:rPr>
          <w:rFonts w:ascii="Times New Roman" w:eastAsia="Times New Roman" w:hAnsi="Times New Roman" w:cs="Times New Roman"/>
          <w:i/>
          <w:iCs/>
          <w:color w:val="333333"/>
          <w:sz w:val="27"/>
          <w:szCs w:val="27"/>
          <w:lang w:eastAsia="ru-RU"/>
        </w:rPr>
        <w:t> при невозможности выполнения КТ, рекомендуется проведение прицельной рентгенографии органов грудной клетки</w:t>
      </w:r>
    </w:p>
    <w:p w:rsidR="00910F6D" w:rsidRPr="00910F6D" w:rsidRDefault="00910F6D" w:rsidP="00910F6D">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xml:space="preserve"> пациентам с ЗНО носоглотки при  наличии симптомов, свидетельствующих о рецидиве заболевания или установленном рецидиве заболевания, выполнение ПЭТ-КТ с флудезоксиглюкозой [18F] или КТ органов грудной и брюшной полостей с в/в болюсным контрастированием с </w:t>
      </w:r>
      <w:r w:rsidRPr="00910F6D">
        <w:rPr>
          <w:rFonts w:ascii="Times New Roman" w:eastAsia="Times New Roman" w:hAnsi="Times New Roman" w:cs="Times New Roman"/>
          <w:color w:val="222222"/>
          <w:sz w:val="27"/>
          <w:szCs w:val="27"/>
          <w:lang w:eastAsia="ru-RU"/>
        </w:rPr>
        <w:lastRenderedPageBreak/>
        <w:t>целью оценки распространенности опухолевого процесса и выработки тактики лечения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w:t>
      </w:r>
      <w:r w:rsidRPr="00910F6D">
        <w:rPr>
          <w:rFonts w:ascii="Times New Roman" w:eastAsia="Times New Roman" w:hAnsi="Times New Roman" w:cs="Times New Roman"/>
          <w:i/>
          <w:iCs/>
          <w:color w:val="333333"/>
          <w:sz w:val="27"/>
          <w:szCs w:val="27"/>
          <w:lang w:eastAsia="ru-RU"/>
        </w:rPr>
        <w:t> при невозможности выполнения ПЭТ-КТ с фтордезоксиглюкозой [18F]</w:t>
      </w:r>
      <w:r w:rsidRPr="00910F6D">
        <w:rPr>
          <w:rFonts w:ascii="Times New Roman" w:eastAsia="Times New Roman" w:hAnsi="Times New Roman" w:cs="Times New Roman"/>
          <w:b/>
          <w:bCs/>
          <w:i/>
          <w:iCs/>
          <w:color w:val="333333"/>
          <w:sz w:val="27"/>
          <w:szCs w:val="27"/>
          <w:lang w:eastAsia="ru-RU"/>
        </w:rPr>
        <w:t> </w:t>
      </w:r>
      <w:r w:rsidRPr="00910F6D">
        <w:rPr>
          <w:rFonts w:ascii="Times New Roman" w:eastAsia="Times New Roman" w:hAnsi="Times New Roman" w:cs="Times New Roman"/>
          <w:i/>
          <w:iCs/>
          <w:color w:val="333333"/>
          <w:sz w:val="27"/>
          <w:szCs w:val="27"/>
          <w:lang w:eastAsia="ru-RU"/>
        </w:rPr>
        <w:t>или КТ органов грудной и брюшной полостей с в/в контрастным усилением рекомендуется проведение прицельной рентгенографии органов грудной клетки и УЗИ органов брюшной полости (комплексное).</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2.5 Иные диагностические исследования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Дополнительная информация отсутствует</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Специальное противоопухолевое лечение больных раком носоглотки должно проводиться с учетом опыта и оснащенности клиники, а также предпочтений пациента в свете ожидаемых результатов как с точки зрения эффективности борьбы с онкологическим заболеванием, так и сохранения качества жизни пациентов.</w:t>
      </w:r>
    </w:p>
    <w:p w:rsidR="00910F6D" w:rsidRPr="00910F6D" w:rsidRDefault="00910F6D" w:rsidP="00910F6D">
      <w:pPr>
        <w:spacing w:before="750" w:after="450" w:line="240" w:lineRule="auto"/>
        <w:outlineLvl w:val="1"/>
        <w:rPr>
          <w:rFonts w:ascii="Times New Roman" w:eastAsia="Times New Roman" w:hAnsi="Times New Roman" w:cs="Times New Roman"/>
          <w:b/>
          <w:bCs/>
          <w:color w:val="222222"/>
          <w:sz w:val="33"/>
          <w:szCs w:val="33"/>
          <w:lang w:eastAsia="ru-RU"/>
        </w:rPr>
      </w:pPr>
      <w:r w:rsidRPr="00910F6D">
        <w:rPr>
          <w:rFonts w:ascii="Times New Roman" w:eastAsia="Times New Roman" w:hAnsi="Times New Roman" w:cs="Times New Roman"/>
          <w:b/>
          <w:bCs/>
          <w:color w:val="222222"/>
          <w:sz w:val="33"/>
          <w:szCs w:val="33"/>
          <w:lang w:eastAsia="ru-RU"/>
        </w:rPr>
        <w:t>3.1.  Консервативное лечение</w:t>
      </w:r>
    </w:p>
    <w:p w:rsidR="00910F6D" w:rsidRPr="00910F6D" w:rsidRDefault="00910F6D" w:rsidP="00910F6D">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lastRenderedPageBreak/>
        <w:t>Рекомендуется </w:t>
      </w:r>
      <w:r w:rsidRPr="00910F6D">
        <w:rPr>
          <w:rFonts w:ascii="Times New Roman" w:eastAsia="Times New Roman" w:hAnsi="Times New Roman" w:cs="Times New Roman"/>
          <w:color w:val="222222"/>
          <w:sz w:val="27"/>
          <w:szCs w:val="27"/>
          <w:lang w:eastAsia="ru-RU"/>
        </w:rPr>
        <w:t>рассматривать консервативное лучевое или химиолучевое лечение как основной метод радикального лечения пациентов с раком носоглотки с целью повышения выживаемости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Пациентам с раком носоглотки стадии T1, N0, M0 рекомендуется </w:t>
      </w:r>
      <w:r w:rsidRPr="00910F6D">
        <w:rPr>
          <w:rFonts w:ascii="Times New Roman" w:eastAsia="Times New Roman" w:hAnsi="Times New Roman" w:cs="Times New Roman"/>
          <w:color w:val="222222"/>
          <w:sz w:val="27"/>
          <w:szCs w:val="27"/>
          <w:lang w:eastAsia="ru-RU"/>
        </w:rPr>
        <w:t>проведение самостоятельной лучевой терапии с целью повышения выживаемости и снижения токсичности лечения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Пациентам с раком носоглотки стадии T2, N0, M0</w:t>
      </w: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проведение самостоятельной химиолучевой терапии  с целью повышения выживаемости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Пациентам с раком носоглотки стадии T1, N1</w:t>
      </w:r>
      <w:r w:rsidRPr="00910F6D">
        <w:rPr>
          <w:rFonts w:ascii="Times New Roman" w:eastAsia="Times New Roman" w:hAnsi="Times New Roman" w:cs="Times New Roman"/>
          <w:color w:val="222222"/>
          <w:sz w:val="27"/>
          <w:szCs w:val="27"/>
          <w:lang w:eastAsia="ru-RU"/>
        </w:rPr>
        <w:t>-</w:t>
      </w:r>
      <w:r w:rsidRPr="00910F6D">
        <w:rPr>
          <w:rFonts w:ascii="Times New Roman" w:eastAsia="Times New Roman" w:hAnsi="Times New Roman" w:cs="Times New Roman"/>
          <w:b/>
          <w:bCs/>
          <w:color w:val="222222"/>
          <w:sz w:val="27"/>
          <w:szCs w:val="27"/>
          <w:lang w:eastAsia="ru-RU"/>
        </w:rPr>
        <w:t>3, T2</w:t>
      </w:r>
      <w:r w:rsidRPr="00910F6D">
        <w:rPr>
          <w:rFonts w:ascii="Times New Roman" w:eastAsia="Times New Roman" w:hAnsi="Times New Roman" w:cs="Times New Roman"/>
          <w:color w:val="222222"/>
          <w:sz w:val="27"/>
          <w:szCs w:val="27"/>
          <w:lang w:eastAsia="ru-RU"/>
        </w:rPr>
        <w:t>-</w:t>
      </w:r>
      <w:r w:rsidRPr="00910F6D">
        <w:rPr>
          <w:rFonts w:ascii="Times New Roman" w:eastAsia="Times New Roman" w:hAnsi="Times New Roman" w:cs="Times New Roman"/>
          <w:b/>
          <w:bCs/>
          <w:color w:val="222222"/>
          <w:sz w:val="27"/>
          <w:szCs w:val="27"/>
          <w:lang w:eastAsia="ru-RU"/>
        </w:rPr>
        <w:t>T4, любого N рекомендуется</w:t>
      </w:r>
      <w:r w:rsidRPr="00910F6D">
        <w:rPr>
          <w:rFonts w:ascii="Times New Roman" w:eastAsia="Times New Roman" w:hAnsi="Times New Roman" w:cs="Times New Roman"/>
          <w:color w:val="222222"/>
          <w:sz w:val="27"/>
          <w:szCs w:val="27"/>
          <w:lang w:eastAsia="ru-RU"/>
        </w:rPr>
        <w:t> конкурентная ХЛТ с последующей адъювантной химиотерапией (2 курса) или индукционная химиотерапия с последующей конкурентной ХЛТ с целью повышения выживаемости. [21, 22, 23].</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1 (уровень убедительности рекомендаций – 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w:t>
      </w:r>
      <w:r w:rsidRPr="00910F6D">
        <w:rPr>
          <w:rFonts w:ascii="Times New Roman" w:eastAsia="Times New Roman" w:hAnsi="Times New Roman" w:cs="Times New Roman"/>
          <w:b/>
          <w:bCs/>
          <w:i/>
          <w:iCs/>
          <w:color w:val="333333"/>
          <w:sz w:val="27"/>
          <w:szCs w:val="27"/>
          <w:lang w:eastAsia="ru-RU"/>
        </w:rPr>
        <w:t> </w:t>
      </w:r>
      <w:r w:rsidRPr="00910F6D">
        <w:rPr>
          <w:rFonts w:ascii="Times New Roman" w:eastAsia="Times New Roman" w:hAnsi="Times New Roman" w:cs="Times New Roman"/>
          <w:i/>
          <w:iCs/>
          <w:color w:val="333333"/>
          <w:sz w:val="27"/>
          <w:szCs w:val="27"/>
          <w:lang w:eastAsia="ru-RU"/>
        </w:rPr>
        <w:t>Метаанализ, проведенный Blanchard и соавт. [21] и включавший 19 исследований и 4806 пациентов, показал, что режим адъювантной ХТ после ХЛТ, ассоциирован с увеличением общей выживаемости (отношение рисков (HR) 0,65; 95 % доверительный интервал (CI) 0,56-0,76 и HR 0,80; 95% CI 0,70-0,93, соответственно) и выживаемости без прогрессирования (HR 0,62; 95 % CI 0,53-0,72 и HR 0,81; 95 % CI 0,71-0,92, соответственно). Индукционная ХТ с последующей ХЛТ при местно- распространенном раке носоглотки, по всей видимости, улучшает контроль над заболеванием по сравнению с ХЛТ в конкурентном режиме [22, 23]. При наличии остаточных метастатических ЛУ после окончания лечения целесообразно хирургическое лечение. В случае полной регрессии метастатических узлов после использования консервативных методов лечения – динамическое наблюдение.</w:t>
      </w:r>
    </w:p>
    <w:p w:rsidR="00910F6D" w:rsidRPr="00910F6D" w:rsidRDefault="00910F6D" w:rsidP="00910F6D">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Пациентам с раком носоглотки при любом T, N, M1 рекомендовано </w:t>
      </w:r>
      <w:r w:rsidRPr="00910F6D">
        <w:rPr>
          <w:rFonts w:ascii="Times New Roman" w:eastAsia="Times New Roman" w:hAnsi="Times New Roman" w:cs="Times New Roman"/>
          <w:color w:val="222222"/>
          <w:sz w:val="27"/>
          <w:szCs w:val="27"/>
          <w:lang w:eastAsia="ru-RU"/>
        </w:rPr>
        <w:t>с целью повышения выживаемости проведение ХТ с включением схем с препаратами платины (L01XA: соединения платины) [24].</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lastRenderedPageBreak/>
        <w:t>Уровень достоверности доказательств – 3 (уровень убедительности рекомендаций – В).</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Комментарии:</w:t>
      </w:r>
      <w:r w:rsidRPr="00910F6D">
        <w:rPr>
          <w:rFonts w:ascii="Times New Roman" w:eastAsia="Times New Roman" w:hAnsi="Times New Roman" w:cs="Times New Roman"/>
          <w:b/>
          <w:bCs/>
          <w:i/>
          <w:iCs/>
          <w:color w:val="333333"/>
          <w:sz w:val="27"/>
          <w:szCs w:val="27"/>
          <w:lang w:eastAsia="ru-RU"/>
        </w:rPr>
        <w:t> </w:t>
      </w:r>
      <w:r w:rsidRPr="00910F6D">
        <w:rPr>
          <w:rFonts w:ascii="Times New Roman" w:eastAsia="Times New Roman" w:hAnsi="Times New Roman" w:cs="Times New Roman"/>
          <w:i/>
          <w:iCs/>
          <w:color w:val="333333"/>
          <w:sz w:val="27"/>
          <w:szCs w:val="27"/>
          <w:lang w:eastAsia="ru-RU"/>
        </w:rPr>
        <w:t>В процессе ХТ с учетом ответа может быть целесообразным решение вопроса о проведении ЛТ/ХЛТ, или лекарственной терапии, или хирургического лечения (при олигометастатическом поражении), либо симптоматического лечения.</w:t>
      </w:r>
    </w:p>
    <w:p w:rsidR="00910F6D" w:rsidRPr="00910F6D" w:rsidRDefault="00910F6D" w:rsidP="00910F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10F6D">
        <w:rPr>
          <w:rFonts w:ascii="Times New Roman" w:eastAsia="Times New Roman" w:hAnsi="Times New Roman" w:cs="Times New Roman"/>
          <w:b/>
          <w:bCs/>
          <w:color w:val="222222"/>
          <w:sz w:val="27"/>
          <w:szCs w:val="27"/>
          <w:u w:val="single"/>
          <w:lang w:eastAsia="ru-RU"/>
        </w:rPr>
        <w:t>Локальный рецидив или остаточная опухоль после лучевой терапии</w:t>
      </w:r>
    </w:p>
    <w:p w:rsidR="00910F6D" w:rsidRPr="00910F6D" w:rsidRDefault="00910F6D" w:rsidP="00910F6D">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Пациентам с локальным рецидивом или остаточной опухолью после лучевой терапии рекомендована </w:t>
      </w:r>
      <w:r w:rsidRPr="00910F6D">
        <w:rPr>
          <w:rFonts w:ascii="Times New Roman" w:eastAsia="Times New Roman" w:hAnsi="Times New Roman" w:cs="Times New Roman"/>
          <w:color w:val="222222"/>
          <w:sz w:val="27"/>
          <w:szCs w:val="27"/>
          <w:lang w:eastAsia="ru-RU"/>
        </w:rPr>
        <w:t>ХТ с включением схем с препаратами платины (L01XA: соединения платины) c целью повышения выживаемости [25].</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2 (уровень убедительности рекомендаций – В).</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Комментарии:</w:t>
      </w:r>
      <w:r w:rsidRPr="00910F6D">
        <w:rPr>
          <w:rFonts w:ascii="Times New Roman" w:eastAsia="Times New Roman" w:hAnsi="Times New Roman" w:cs="Times New Roman"/>
          <w:b/>
          <w:bCs/>
          <w:i/>
          <w:iCs/>
          <w:color w:val="333333"/>
          <w:sz w:val="27"/>
          <w:szCs w:val="27"/>
          <w:lang w:eastAsia="ru-RU"/>
        </w:rPr>
        <w:t> </w:t>
      </w:r>
      <w:r w:rsidRPr="00910F6D">
        <w:rPr>
          <w:rFonts w:ascii="Times New Roman" w:eastAsia="Times New Roman" w:hAnsi="Times New Roman" w:cs="Times New Roman"/>
          <w:i/>
          <w:iCs/>
          <w:color w:val="333333"/>
          <w:sz w:val="27"/>
          <w:szCs w:val="27"/>
          <w:lang w:eastAsia="ru-RU"/>
        </w:rPr>
        <w:t>при резектабельности опухоли возможно рассмотреть вопрос о хирургическом вмешательстве с обсуждением вопроса о повторной лучевой либо одновременной химиолучевой терапии. При нерезектабельности опухоли целесообразно обсудить возможность повторной лучевой терапия/одновременной химиолучевой терапии, либо лекарственной терапии, либо симптоматического лечения [</w:t>
      </w:r>
      <w:r w:rsidRPr="00910F6D">
        <w:rPr>
          <w:rFonts w:ascii="Times New Roman" w:eastAsia="Times New Roman" w:hAnsi="Times New Roman" w:cs="Times New Roman"/>
          <w:color w:val="222222"/>
          <w:sz w:val="27"/>
          <w:szCs w:val="27"/>
          <w:lang w:eastAsia="ru-RU"/>
        </w:rPr>
        <w:t>2</w:t>
      </w:r>
      <w:r w:rsidRPr="00910F6D">
        <w:rPr>
          <w:rFonts w:ascii="Times New Roman" w:eastAsia="Times New Roman" w:hAnsi="Times New Roman" w:cs="Times New Roman"/>
          <w:i/>
          <w:iCs/>
          <w:color w:val="333333"/>
          <w:sz w:val="27"/>
          <w:szCs w:val="27"/>
          <w:lang w:eastAsia="ru-RU"/>
        </w:rPr>
        <w:t>].</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Проведение повторной лучевой терапии обсуждается при общем состоянии пациента 0-1 по шкале ECOG и не ранее 6 месяцев (предпочтительно не ранее 2 лет) после предшествующего облучения [26]</w:t>
      </w:r>
    </w:p>
    <w:p w:rsidR="00910F6D" w:rsidRPr="00910F6D" w:rsidRDefault="00910F6D" w:rsidP="00910F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10F6D">
        <w:rPr>
          <w:rFonts w:ascii="Times New Roman" w:eastAsia="Times New Roman" w:hAnsi="Times New Roman" w:cs="Times New Roman"/>
          <w:b/>
          <w:bCs/>
          <w:color w:val="222222"/>
          <w:sz w:val="27"/>
          <w:szCs w:val="27"/>
          <w:u w:val="single"/>
          <w:lang w:eastAsia="ru-RU"/>
        </w:rPr>
        <w:t>Локальный рецидив или остаточная опухоль с отдаленными метастазами</w:t>
      </w:r>
    </w:p>
    <w:p w:rsidR="00910F6D" w:rsidRPr="00910F6D" w:rsidRDefault="00910F6D" w:rsidP="00910F6D">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 случае локального рецидива или остаточной опухоли с отдаленными метастазами при оценке общего состояния пациента с раком носоглотки по шкале оценки общего состояния онкологического пациента по версии Восточной объединенной группы онкологов (ECOG) 0-1 </w:t>
      </w:r>
      <w:r w:rsidRPr="00910F6D">
        <w:rPr>
          <w:rFonts w:ascii="Times New Roman" w:eastAsia="Times New Roman" w:hAnsi="Times New Roman" w:cs="Times New Roman"/>
          <w:b/>
          <w:bCs/>
          <w:color w:val="222222"/>
          <w:sz w:val="27"/>
          <w:szCs w:val="27"/>
          <w:lang w:eastAsia="ru-RU"/>
        </w:rPr>
        <w:t>рекомендовано </w:t>
      </w:r>
      <w:r w:rsidRPr="00910F6D">
        <w:rPr>
          <w:rFonts w:ascii="Times New Roman" w:eastAsia="Times New Roman" w:hAnsi="Times New Roman" w:cs="Times New Roman"/>
          <w:color w:val="222222"/>
          <w:sz w:val="27"/>
          <w:szCs w:val="27"/>
          <w:lang w:eastAsia="ru-RU"/>
        </w:rPr>
        <w:t>рассмотреть вопрос о проведении лекарственного лечения с применением режимов ХТ или монохимиотерапии (в зависимости от ранее проведенного первичного лечения) с целью повышения выживаемости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 случае локального рецидива или остаточной опухоли с отдаленными метастазами при оценке общего состояния пациента с раком носоглотки по шкале ECOG 2 </w:t>
      </w:r>
      <w:r w:rsidRPr="00910F6D">
        <w:rPr>
          <w:rFonts w:ascii="Times New Roman" w:eastAsia="Times New Roman" w:hAnsi="Times New Roman" w:cs="Times New Roman"/>
          <w:b/>
          <w:bCs/>
          <w:color w:val="222222"/>
          <w:sz w:val="27"/>
          <w:szCs w:val="27"/>
          <w:lang w:eastAsia="ru-RU"/>
        </w:rPr>
        <w:t>рекомендована </w:t>
      </w:r>
      <w:r w:rsidRPr="00910F6D">
        <w:rPr>
          <w:rFonts w:ascii="Times New Roman" w:eastAsia="Times New Roman" w:hAnsi="Times New Roman" w:cs="Times New Roman"/>
          <w:color w:val="222222"/>
          <w:sz w:val="27"/>
          <w:szCs w:val="27"/>
          <w:lang w:eastAsia="ru-RU"/>
        </w:rPr>
        <w:t xml:space="preserve">монохимиотерапия с целью повышения </w:t>
      </w:r>
      <w:r w:rsidRPr="00910F6D">
        <w:rPr>
          <w:rFonts w:ascii="Times New Roman" w:eastAsia="Times New Roman" w:hAnsi="Times New Roman" w:cs="Times New Roman"/>
          <w:color w:val="222222"/>
          <w:sz w:val="27"/>
          <w:szCs w:val="27"/>
          <w:lang w:eastAsia="ru-RU"/>
        </w:rPr>
        <w:lastRenderedPageBreak/>
        <w:t>выживаемости или симптоматическое лечение с целью купирования симптомов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 случае локального рецидива или остаточной опухоли с отдаленными метастазами при оценке общего состояния пациента с раком носоглотки по шкале ECOG 3 </w:t>
      </w:r>
      <w:r w:rsidRPr="00910F6D">
        <w:rPr>
          <w:rFonts w:ascii="Times New Roman" w:eastAsia="Times New Roman" w:hAnsi="Times New Roman" w:cs="Times New Roman"/>
          <w:b/>
          <w:bCs/>
          <w:color w:val="222222"/>
          <w:sz w:val="27"/>
          <w:szCs w:val="27"/>
          <w:lang w:eastAsia="ru-RU"/>
        </w:rPr>
        <w:t>рекомендовано </w:t>
      </w:r>
      <w:r w:rsidRPr="00910F6D">
        <w:rPr>
          <w:rFonts w:ascii="Times New Roman" w:eastAsia="Times New Roman" w:hAnsi="Times New Roman" w:cs="Times New Roman"/>
          <w:color w:val="222222"/>
          <w:sz w:val="27"/>
          <w:szCs w:val="27"/>
          <w:lang w:eastAsia="ru-RU"/>
        </w:rPr>
        <w:t>симптоматическое лечение с целью купирования симптомов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before="750" w:after="450" w:line="240" w:lineRule="auto"/>
        <w:outlineLvl w:val="1"/>
        <w:rPr>
          <w:rFonts w:ascii="Times New Roman" w:eastAsia="Times New Roman" w:hAnsi="Times New Roman" w:cs="Times New Roman"/>
          <w:b/>
          <w:bCs/>
          <w:color w:val="222222"/>
          <w:sz w:val="33"/>
          <w:szCs w:val="33"/>
          <w:lang w:eastAsia="ru-RU"/>
        </w:rPr>
      </w:pPr>
      <w:r w:rsidRPr="00910F6D">
        <w:rPr>
          <w:rFonts w:ascii="Times New Roman" w:eastAsia="Times New Roman" w:hAnsi="Times New Roman" w:cs="Times New Roman"/>
          <w:b/>
          <w:bCs/>
          <w:color w:val="222222"/>
          <w:sz w:val="33"/>
          <w:szCs w:val="33"/>
          <w:lang w:eastAsia="ru-RU"/>
        </w:rPr>
        <w:t>3.2. Принципы лучевой терапии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Введение: Всех пациентов до лечения должен оценивать врач-радиотерапевт, предпочтительно специализирующийся на опухолях головы и шеи, которому следует предпринять следующие действия: рассмотреть адекватность биопсийного материала, стадирования и визуализации опухолевого процесса (КТ, МРТ) для определения степени распространения опухоли, исключить наличие синхронной первичной опухоли, оценить текущий функциональный статус и возможность лучевого/химиолучевого лечения, разработать проспективный план наблюдения, который будет включать санацию орофарингеальной области, в том числе обследование зубов, обеспечение адекватного питания, обезболивания, ранозаживления, а также другие мероприятия, которые необходимы для максимальной реабилитации пациентов. Для пациентов, которым проводится лучевое/химиолучевое лечение, необходимо проработать план реализации противоопухолевой терапии в полном объеме и в оптимальные сроки.</w:t>
      </w:r>
    </w:p>
    <w:p w:rsidR="00910F6D" w:rsidRPr="00910F6D" w:rsidRDefault="00910F6D" w:rsidP="00910F6D">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Настоятельно </w:t>
      </w: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проведение лучевой терапии в качестве основного или адъювантного лечения, она должна проводиться в специализированных учреждениях с соответствующим оснащением и опытом лечения больных раком носоголотки [27].</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4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w:t>
      </w:r>
      <w:r w:rsidRPr="00910F6D">
        <w:rPr>
          <w:rFonts w:ascii="Times New Roman" w:eastAsia="Times New Roman" w:hAnsi="Times New Roman" w:cs="Times New Roman"/>
          <w:i/>
          <w:iCs/>
          <w:color w:val="333333"/>
          <w:sz w:val="27"/>
          <w:szCs w:val="27"/>
          <w:lang w:eastAsia="ru-RU"/>
        </w:rPr>
        <w:t xml:space="preserve"> требуется глубокое понимание анатомии, клинической ситуации и визуализации специфических проявлений заболевания. Предпочтительно проведение дистанционной ЛТ с применением </w:t>
      </w:r>
      <w:r w:rsidRPr="00910F6D">
        <w:rPr>
          <w:rFonts w:ascii="Times New Roman" w:eastAsia="Times New Roman" w:hAnsi="Times New Roman" w:cs="Times New Roman"/>
          <w:i/>
          <w:iCs/>
          <w:color w:val="333333"/>
          <w:sz w:val="27"/>
          <w:szCs w:val="27"/>
          <w:lang w:eastAsia="ru-RU"/>
        </w:rPr>
        <w:lastRenderedPageBreak/>
        <w:t>высокопрецизионных способов – IMRT (лучевая терапия с модуляцией интенсивности (volumetric modulated arc therapy)), VMAT (объемно-модулированная лучевая терапия (volumetric modulated arc therapy)). При значительных ограничениях дозы со стороны нормальных тканей рассматривается проведение протонной терапии [23]. Также допустимо проведение 3D-конформной ЛТ.</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Оптимальным подходом в клинической практике является подведение запланированных доз ионизирующего излучения в мишень наряду с максимальным снижением дозы на область органов риска.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Объем облучения до радикальных доз не следует модифицировать на основании клинического ответа, полученного до лучевого лечения (после индукционной полихимиотерапии), за исключением случаев прогрессии опухоли. Допустимо обсуждение вопроса о сокращении объема за счет исключения из него жизненно важных структур, свободных от опухолевого поражения на момент планирования лучевой терапии, в случае превышения предельно допустимой дозной нагрузки на них согласно критериям QUANTEC (практическое руководство для оценки дозолимитирующих параметров критических органов (quantitative analyses of normal tissue effects in the clinic)) [</w:t>
      </w:r>
      <w:r w:rsidRPr="00910F6D">
        <w:rPr>
          <w:rFonts w:ascii="Times New Roman" w:eastAsia="Times New Roman" w:hAnsi="Times New Roman" w:cs="Times New Roman"/>
          <w:color w:val="222222"/>
          <w:sz w:val="27"/>
          <w:szCs w:val="27"/>
          <w:lang w:eastAsia="ru-RU"/>
        </w:rPr>
        <w:t>2</w:t>
      </w:r>
      <w:r w:rsidRPr="00910F6D">
        <w:rPr>
          <w:rFonts w:ascii="Times New Roman" w:eastAsia="Times New Roman" w:hAnsi="Times New Roman" w:cs="Times New Roman"/>
          <w:i/>
          <w:iCs/>
          <w:color w:val="333333"/>
          <w:sz w:val="27"/>
          <w:szCs w:val="27"/>
          <w:lang w:eastAsia="ru-RU"/>
        </w:rPr>
        <w:t>]. Анатомические изменения в процессе проведения курса ЛТ (например, быстрое уменьшение размера опухоли, значительная потеря массы тела) могут потребовать повторной диагностической визуализации и повторного планирования (адаптации) лечения. Предпочтительно проведение дистанционной ЛТ с применением высокопрецизионных способов – IMRT (лучевая терапия с модуляцией интенсивности (volumetric modulated arc therapy), VMAT (</w:t>
      </w:r>
      <w:r w:rsidRPr="00910F6D">
        <w:rPr>
          <w:rFonts w:ascii="Times New Roman" w:eastAsia="Times New Roman" w:hAnsi="Times New Roman" w:cs="Times New Roman"/>
          <w:b/>
          <w:bCs/>
          <w:i/>
          <w:iCs/>
          <w:color w:val="333333"/>
          <w:sz w:val="27"/>
          <w:szCs w:val="27"/>
          <w:lang w:eastAsia="ru-RU"/>
        </w:rPr>
        <w:t>объемно-модулированная лучевая терапия (volumetric modulated arc therapy)</w:t>
      </w:r>
      <w:r w:rsidRPr="00910F6D">
        <w:rPr>
          <w:rFonts w:ascii="Times New Roman" w:eastAsia="Times New Roman" w:hAnsi="Times New Roman" w:cs="Times New Roman"/>
          <w:i/>
          <w:iCs/>
          <w:color w:val="333333"/>
          <w:sz w:val="27"/>
          <w:szCs w:val="27"/>
          <w:lang w:eastAsia="ru-RU"/>
        </w:rPr>
        <w:t>). Также допустимо проведение 3D-конформной ЛТ [28, 29].</w:t>
      </w:r>
    </w:p>
    <w:p w:rsidR="00910F6D" w:rsidRPr="00910F6D" w:rsidRDefault="00910F6D" w:rsidP="00910F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10F6D">
        <w:rPr>
          <w:rFonts w:ascii="Times New Roman" w:eastAsia="Times New Roman" w:hAnsi="Times New Roman" w:cs="Times New Roman"/>
          <w:b/>
          <w:bCs/>
          <w:color w:val="222222"/>
          <w:sz w:val="27"/>
          <w:szCs w:val="27"/>
          <w:u w:val="single"/>
          <w:lang w:eastAsia="ru-RU"/>
        </w:rPr>
        <w:t>ЛТ в самостоятельном варианте</w:t>
      </w:r>
    </w:p>
    <w:p w:rsidR="00910F6D" w:rsidRPr="00910F6D" w:rsidRDefault="00910F6D" w:rsidP="00910F6D">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Пациентам с раком носоглотки ЛТ в самостоятельном варианте </w:t>
      </w:r>
      <w:r w:rsidRPr="00910F6D">
        <w:rPr>
          <w:rFonts w:ascii="Times New Roman" w:eastAsia="Times New Roman" w:hAnsi="Times New Roman" w:cs="Times New Roman"/>
          <w:b/>
          <w:bCs/>
          <w:color w:val="222222"/>
          <w:sz w:val="27"/>
          <w:szCs w:val="27"/>
          <w:lang w:eastAsia="ru-RU"/>
        </w:rPr>
        <w:t>рекомендована</w:t>
      </w:r>
      <w:r w:rsidRPr="00910F6D">
        <w:rPr>
          <w:rFonts w:ascii="Times New Roman" w:eastAsia="Times New Roman" w:hAnsi="Times New Roman" w:cs="Times New Roman"/>
          <w:color w:val="222222"/>
          <w:sz w:val="27"/>
          <w:szCs w:val="27"/>
          <w:lang w:eastAsia="ru-RU"/>
        </w:rPr>
        <w:t> на первичный очаг (область высокого риска) 66-70 Гр (1,8-2,2 Гр/фракция) и на локорегионарную область (область промежуточного/ низкого риска), включая регионарные ЛУ 50 Гр (2,0 Гр/фракция), либо 54-63 Гр (1,6-1,8 Гр/фракция) с целью повышения выживаемости [30]</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r w:rsidRPr="00910F6D">
        <w:rPr>
          <w:rFonts w:ascii="Times New Roman" w:eastAsia="Times New Roman" w:hAnsi="Times New Roman" w:cs="Times New Roman"/>
          <w:color w:val="222222"/>
          <w:sz w:val="27"/>
          <w:szCs w:val="27"/>
          <w:lang w:eastAsia="ru-RU"/>
        </w:rPr>
        <w:t>        </w:t>
      </w:r>
    </w:p>
    <w:p w:rsidR="00910F6D" w:rsidRPr="00910F6D" w:rsidRDefault="00910F6D" w:rsidP="00910F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10F6D">
        <w:rPr>
          <w:rFonts w:ascii="Times New Roman" w:eastAsia="Times New Roman" w:hAnsi="Times New Roman" w:cs="Times New Roman"/>
          <w:b/>
          <w:bCs/>
          <w:color w:val="222222"/>
          <w:sz w:val="27"/>
          <w:szCs w:val="27"/>
          <w:u w:val="single"/>
          <w:lang w:eastAsia="ru-RU"/>
        </w:rPr>
        <w:t>Конкурентная ХЛТ</w:t>
      </w:r>
    </w:p>
    <w:p w:rsidR="00910F6D" w:rsidRPr="00910F6D" w:rsidRDefault="00910F6D" w:rsidP="00910F6D">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Больным раком носоглотки </w:t>
      </w: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конкурентная ЛТ на первичный очаг и клинически определяемые регионарные метастазы (область высокого риска) – 70 Гр (2,0 Гр/фракция) ежедневно с понедельника по пятницу в течение 7 недель; на локорегионарную область (область промежуточного/ низкого риска), в том числе регионарные ЛУ 50 Гр (2,0 Гр/фракция), либо 54-63 Гр (1,6-1,8 Гр/фракция) с целью повышения выживаемости [30].</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r w:rsidRPr="00910F6D">
        <w:rPr>
          <w:rFonts w:ascii="Times New Roman" w:eastAsia="Times New Roman" w:hAnsi="Times New Roman" w:cs="Times New Roman"/>
          <w:color w:val="222222"/>
          <w:sz w:val="27"/>
          <w:szCs w:val="27"/>
          <w:lang w:eastAsia="ru-RU"/>
        </w:rPr>
        <w:t>        </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Комментарии:</w:t>
      </w:r>
      <w:r w:rsidRPr="00910F6D">
        <w:rPr>
          <w:rFonts w:ascii="Times New Roman" w:eastAsia="Times New Roman" w:hAnsi="Times New Roman" w:cs="Times New Roman"/>
          <w:i/>
          <w:iCs/>
          <w:color w:val="333333"/>
          <w:sz w:val="27"/>
          <w:szCs w:val="27"/>
          <w:lang w:eastAsia="ru-RU"/>
        </w:rPr>
        <w:t> в режиме IMRT – 54-63 Гр (по 1,8 Гр) и 44-56 Гр (по 1,6-1,7 Гр)</w:t>
      </w:r>
      <w:r w:rsidRPr="00910F6D">
        <w:rPr>
          <w:rFonts w:ascii="Times New Roman" w:eastAsia="Times New Roman" w:hAnsi="Times New Roman" w:cs="Times New Roman"/>
          <w:b/>
          <w:bCs/>
          <w:i/>
          <w:iCs/>
          <w:color w:val="333333"/>
          <w:sz w:val="27"/>
          <w:szCs w:val="27"/>
          <w:lang w:eastAsia="ru-RU"/>
        </w:rPr>
        <w:t>.</w:t>
      </w: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Стандартом является применение цисплатина** в дозе 100 мг/м² на фоне гипергидратации в 1, 22 и 43-й дни ЛТ (рекомендуемая суммарная доза во время ЛТ – 300 мг/м²). После индукционной полихимиотерапии (ПХТ) в качестве альтернативы цисплатину** целесообразно использование карбоплатина** с учетом переносимости ХЛТ и соматического состояния пациента. Карбоплатин** применяется в режиме AUC –1,5-2,0 в виде еженедельных введений с первого дня ЛТ [31].</w:t>
      </w: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Польза применения схем нетрадиционного фракционирования доз при проведении одновременной ХЛТ не подтверждена [32].</w:t>
      </w:r>
    </w:p>
    <w:p w:rsidR="00910F6D" w:rsidRPr="00910F6D" w:rsidRDefault="00910F6D" w:rsidP="00910F6D">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Паллиативная ЛТ рекомендована</w:t>
      </w:r>
      <w:r w:rsidRPr="00910F6D">
        <w:rPr>
          <w:rFonts w:ascii="Times New Roman" w:eastAsia="Times New Roman" w:hAnsi="Times New Roman" w:cs="Times New Roman"/>
          <w:color w:val="222222"/>
          <w:sz w:val="27"/>
          <w:szCs w:val="27"/>
          <w:lang w:eastAsia="ru-RU"/>
        </w:rPr>
        <w:t> пациентам с ЗНО носоглотки для облегчения или профилактики локорегионарных симптомов в случае невозможности проведения радикального лечения со стандартной ЛТ.  Возможен выбор схемы ЛТ по индивидуальному плану с учетом минимизации токсичности лечения, в том числе в дозе 50 Гр (2,5 Гр/фракция) и 30Гр (3 Гр/фракция) [33].</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4 (уровень убедительности рекомендаций – С).</w:t>
      </w:r>
      <w:r w:rsidRPr="00910F6D">
        <w:rPr>
          <w:rFonts w:ascii="Times New Roman" w:eastAsia="Times New Roman" w:hAnsi="Times New Roman" w:cs="Times New Roman"/>
          <w:color w:val="222222"/>
          <w:sz w:val="27"/>
          <w:szCs w:val="27"/>
          <w:lang w:eastAsia="ru-RU"/>
        </w:rPr>
        <w:t> </w:t>
      </w:r>
    </w:p>
    <w:p w:rsidR="00910F6D" w:rsidRPr="00910F6D" w:rsidRDefault="00910F6D" w:rsidP="00910F6D">
      <w:pPr>
        <w:spacing w:before="750" w:after="450" w:line="240" w:lineRule="auto"/>
        <w:outlineLvl w:val="1"/>
        <w:rPr>
          <w:rFonts w:ascii="Times New Roman" w:eastAsia="Times New Roman" w:hAnsi="Times New Roman" w:cs="Times New Roman"/>
          <w:b/>
          <w:bCs/>
          <w:color w:val="222222"/>
          <w:sz w:val="33"/>
          <w:szCs w:val="33"/>
          <w:lang w:eastAsia="ru-RU"/>
        </w:rPr>
      </w:pPr>
      <w:r w:rsidRPr="00910F6D">
        <w:rPr>
          <w:rFonts w:ascii="Times New Roman" w:eastAsia="Times New Roman" w:hAnsi="Times New Roman" w:cs="Times New Roman"/>
          <w:b/>
          <w:bCs/>
          <w:color w:val="222222"/>
          <w:sz w:val="33"/>
          <w:szCs w:val="33"/>
          <w:lang w:eastAsia="ru-RU"/>
        </w:rPr>
        <w:t>3.3. Принципы системной химиотерапии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Примечание: Представленные схемы химиотерапии показаны при плоскоклеточном и недифференцированном раке. Схемы химиотерапии при иных гистологических типах опухолей (например, саркомы) смотреть в соответствующих клинических рекомендациях.</w:t>
      </w:r>
    </w:p>
    <w:p w:rsidR="00910F6D" w:rsidRPr="00910F6D" w:rsidRDefault="00910F6D" w:rsidP="00910F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10F6D">
        <w:rPr>
          <w:rFonts w:ascii="Times New Roman" w:eastAsia="Times New Roman" w:hAnsi="Times New Roman" w:cs="Times New Roman"/>
          <w:b/>
          <w:bCs/>
          <w:color w:val="222222"/>
          <w:sz w:val="27"/>
          <w:szCs w:val="27"/>
          <w:u w:val="single"/>
          <w:lang w:eastAsia="ru-RU"/>
        </w:rPr>
        <w:t>Индукционная ХТ с последующей последовательной ХЛТ</w:t>
      </w:r>
    </w:p>
    <w:p w:rsidR="00910F6D" w:rsidRPr="00910F6D" w:rsidRDefault="00910F6D" w:rsidP="00910F6D">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Больным раком носоглотки индукционная ПХТ с целью повышения выживаемости </w:t>
      </w:r>
      <w:r w:rsidRPr="00910F6D">
        <w:rPr>
          <w:rFonts w:ascii="Times New Roman" w:eastAsia="Times New Roman" w:hAnsi="Times New Roman" w:cs="Times New Roman"/>
          <w:b/>
          <w:bCs/>
          <w:color w:val="222222"/>
          <w:sz w:val="27"/>
          <w:szCs w:val="27"/>
          <w:lang w:eastAsia="ru-RU"/>
        </w:rPr>
        <w:t>рекомендована </w:t>
      </w:r>
      <w:r w:rsidRPr="00910F6D">
        <w:rPr>
          <w:rFonts w:ascii="Times New Roman" w:eastAsia="Times New Roman" w:hAnsi="Times New Roman" w:cs="Times New Roman"/>
          <w:color w:val="222222"/>
          <w:sz w:val="27"/>
          <w:szCs w:val="27"/>
          <w:lang w:eastAsia="ru-RU"/>
        </w:rPr>
        <w:t>по схеме: Доцетаксел** 75 мг/м</w:t>
      </w:r>
      <w:r w:rsidRPr="00910F6D">
        <w:rPr>
          <w:rFonts w:ascii="Times New Roman" w:eastAsia="Times New Roman" w:hAnsi="Times New Roman" w:cs="Times New Roman"/>
          <w:color w:val="222222"/>
          <w:sz w:val="20"/>
          <w:szCs w:val="20"/>
          <w:vertAlign w:val="superscript"/>
          <w:lang w:eastAsia="ru-RU"/>
        </w:rPr>
        <w:t>2</w:t>
      </w:r>
      <w:r w:rsidRPr="00910F6D">
        <w:rPr>
          <w:rFonts w:ascii="Times New Roman" w:eastAsia="Times New Roman" w:hAnsi="Times New Roman" w:cs="Times New Roman"/>
          <w:color w:val="222222"/>
          <w:sz w:val="27"/>
          <w:szCs w:val="27"/>
          <w:lang w:eastAsia="ru-RU"/>
        </w:rPr>
        <w:t xml:space="preserve"> 1-й день + </w:t>
      </w:r>
      <w:r w:rsidRPr="00910F6D">
        <w:rPr>
          <w:rFonts w:ascii="Times New Roman" w:eastAsia="Times New Roman" w:hAnsi="Times New Roman" w:cs="Times New Roman"/>
          <w:color w:val="222222"/>
          <w:sz w:val="27"/>
          <w:szCs w:val="27"/>
          <w:lang w:eastAsia="ru-RU"/>
        </w:rPr>
        <w:lastRenderedPageBreak/>
        <w:t>цисплатин** 75 мг/м</w:t>
      </w:r>
      <w:r w:rsidRPr="00910F6D">
        <w:rPr>
          <w:rFonts w:ascii="Times New Roman" w:eastAsia="Times New Roman" w:hAnsi="Times New Roman" w:cs="Times New Roman"/>
          <w:color w:val="222222"/>
          <w:sz w:val="20"/>
          <w:szCs w:val="20"/>
          <w:vertAlign w:val="superscript"/>
          <w:lang w:eastAsia="ru-RU"/>
        </w:rPr>
        <w:t>2</w:t>
      </w:r>
      <w:r w:rsidRPr="00910F6D">
        <w:rPr>
          <w:rFonts w:ascii="Times New Roman" w:eastAsia="Times New Roman" w:hAnsi="Times New Roman" w:cs="Times New Roman"/>
          <w:color w:val="222222"/>
          <w:sz w:val="27"/>
          <w:szCs w:val="27"/>
          <w:lang w:eastAsia="ru-RU"/>
        </w:rPr>
        <w:t> 1-й день + #фторурацил** 1000 мг/м</w:t>
      </w:r>
      <w:r w:rsidRPr="00910F6D">
        <w:rPr>
          <w:rFonts w:ascii="Times New Roman" w:eastAsia="Times New Roman" w:hAnsi="Times New Roman" w:cs="Times New Roman"/>
          <w:color w:val="222222"/>
          <w:sz w:val="20"/>
          <w:szCs w:val="20"/>
          <w:vertAlign w:val="superscript"/>
          <w:lang w:eastAsia="ru-RU"/>
        </w:rPr>
        <w:t>2</w:t>
      </w:r>
      <w:r w:rsidRPr="00910F6D">
        <w:rPr>
          <w:rFonts w:ascii="Times New Roman" w:eastAsia="Times New Roman" w:hAnsi="Times New Roman" w:cs="Times New Roman"/>
          <w:color w:val="222222"/>
          <w:sz w:val="27"/>
          <w:szCs w:val="27"/>
          <w:lang w:eastAsia="ru-RU"/>
        </w:rPr>
        <w:t>/сут 1-4 дни, всего 2-3 курса ХТ с интервалом 3 недели. [31].</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r w:rsidRPr="00910F6D">
        <w:rPr>
          <w:rFonts w:ascii="Times New Roman" w:eastAsia="Times New Roman" w:hAnsi="Times New Roman" w:cs="Times New Roman"/>
          <w:color w:val="222222"/>
          <w:sz w:val="27"/>
          <w:szCs w:val="27"/>
          <w:lang w:eastAsia="ru-RU"/>
        </w:rPr>
        <w:t>            </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Комментарии:</w:t>
      </w:r>
      <w:r w:rsidRPr="00910F6D">
        <w:rPr>
          <w:rFonts w:ascii="Times New Roman" w:eastAsia="Times New Roman" w:hAnsi="Times New Roman" w:cs="Times New Roman"/>
          <w:b/>
          <w:bCs/>
          <w:i/>
          <w:iCs/>
          <w:color w:val="333333"/>
          <w:sz w:val="27"/>
          <w:szCs w:val="27"/>
          <w:lang w:eastAsia="ru-RU"/>
        </w:rPr>
        <w:t> </w:t>
      </w:r>
      <w:r w:rsidRPr="00910F6D">
        <w:rPr>
          <w:rFonts w:ascii="Times New Roman" w:eastAsia="Times New Roman" w:hAnsi="Times New Roman" w:cs="Times New Roman"/>
          <w:i/>
          <w:iCs/>
          <w:color w:val="333333"/>
          <w:sz w:val="27"/>
          <w:szCs w:val="27"/>
          <w:lang w:eastAsia="ru-RU"/>
        </w:rPr>
        <w:t>В качестве конкурентной (одновременная) ХЛТ после индукции предпочтительно проведение ХТ с включением цисплатина** 100 мг/м</w:t>
      </w:r>
      <w:r w:rsidRPr="00910F6D">
        <w:rPr>
          <w:rFonts w:ascii="Times New Roman" w:eastAsia="Times New Roman" w:hAnsi="Times New Roman" w:cs="Times New Roman"/>
          <w:i/>
          <w:iCs/>
          <w:color w:val="333333"/>
          <w:sz w:val="20"/>
          <w:szCs w:val="20"/>
          <w:vertAlign w:val="superscript"/>
          <w:lang w:eastAsia="ru-RU"/>
        </w:rPr>
        <w:t>2</w:t>
      </w:r>
      <w:r w:rsidRPr="00910F6D">
        <w:rPr>
          <w:rFonts w:ascii="Times New Roman" w:eastAsia="Times New Roman" w:hAnsi="Times New Roman" w:cs="Times New Roman"/>
          <w:i/>
          <w:iCs/>
          <w:color w:val="333333"/>
          <w:sz w:val="27"/>
          <w:szCs w:val="27"/>
          <w:lang w:eastAsia="ru-RU"/>
        </w:rPr>
        <w:t> 1-й, 22-й, 43-й дни или, или в качестве альтернативы еженедельное введение карбоплатина** 2,0 AUC</w:t>
      </w:r>
      <w:r w:rsidRPr="00910F6D">
        <w:rPr>
          <w:rFonts w:ascii="Times New Roman" w:eastAsia="Times New Roman" w:hAnsi="Times New Roman" w:cs="Times New Roman"/>
          <w:color w:val="222222"/>
          <w:sz w:val="27"/>
          <w:szCs w:val="27"/>
          <w:lang w:eastAsia="ru-RU"/>
        </w:rPr>
        <w:t> или #</w:t>
      </w:r>
      <w:r w:rsidRPr="00910F6D">
        <w:rPr>
          <w:rFonts w:ascii="Times New Roman" w:eastAsia="Times New Roman" w:hAnsi="Times New Roman" w:cs="Times New Roman"/>
          <w:i/>
          <w:iCs/>
          <w:color w:val="333333"/>
          <w:sz w:val="27"/>
          <w:szCs w:val="27"/>
          <w:lang w:eastAsia="ru-RU"/>
        </w:rPr>
        <w:t>цисплатина** 40 мг/м2 [34, 88]</w:t>
      </w:r>
    </w:p>
    <w:p w:rsidR="00910F6D" w:rsidRPr="00910F6D" w:rsidRDefault="00910F6D" w:rsidP="00910F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10F6D">
        <w:rPr>
          <w:rFonts w:ascii="Times New Roman" w:eastAsia="Times New Roman" w:hAnsi="Times New Roman" w:cs="Times New Roman"/>
          <w:b/>
          <w:bCs/>
          <w:color w:val="222222"/>
          <w:sz w:val="27"/>
          <w:szCs w:val="27"/>
          <w:u w:val="single"/>
          <w:lang w:eastAsia="ru-RU"/>
        </w:rPr>
        <w:t>ХЛТ с последующей адъювантной ХТ</w:t>
      </w:r>
    </w:p>
    <w:p w:rsidR="00910F6D" w:rsidRPr="00910F6D" w:rsidRDefault="00910F6D" w:rsidP="00910F6D">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Пациентам с раком носоглотки ХЛТ с последующей адъювантной ХТ </w:t>
      </w:r>
      <w:r w:rsidRPr="00910F6D">
        <w:rPr>
          <w:rFonts w:ascii="Times New Roman" w:eastAsia="Times New Roman" w:hAnsi="Times New Roman" w:cs="Times New Roman"/>
          <w:b/>
          <w:bCs/>
          <w:color w:val="222222"/>
          <w:sz w:val="27"/>
          <w:szCs w:val="27"/>
          <w:lang w:eastAsia="ru-RU"/>
        </w:rPr>
        <w:t>рекомендовано</w:t>
      </w:r>
      <w:r w:rsidRPr="00910F6D">
        <w:rPr>
          <w:rFonts w:ascii="Times New Roman" w:eastAsia="Times New Roman" w:hAnsi="Times New Roman" w:cs="Times New Roman"/>
          <w:color w:val="222222"/>
          <w:sz w:val="27"/>
          <w:szCs w:val="27"/>
          <w:lang w:eastAsia="ru-RU"/>
        </w:rPr>
        <w:t>: цисплатин** 100 мг/м2 1 раз в 3 недели + ЛТ с последующей адъювантной  ХТ (цисплатин** 80 мг/м</w:t>
      </w:r>
      <w:r w:rsidRPr="00910F6D">
        <w:rPr>
          <w:rFonts w:ascii="Times New Roman" w:eastAsia="Times New Roman" w:hAnsi="Times New Roman" w:cs="Times New Roman"/>
          <w:color w:val="222222"/>
          <w:sz w:val="20"/>
          <w:szCs w:val="20"/>
          <w:vertAlign w:val="superscript"/>
          <w:lang w:eastAsia="ru-RU"/>
        </w:rPr>
        <w:t>2</w:t>
      </w:r>
      <w:r w:rsidRPr="00910F6D">
        <w:rPr>
          <w:rFonts w:ascii="Times New Roman" w:eastAsia="Times New Roman" w:hAnsi="Times New Roman" w:cs="Times New Roman"/>
          <w:color w:val="222222"/>
          <w:sz w:val="27"/>
          <w:szCs w:val="27"/>
          <w:lang w:eastAsia="ru-RU"/>
        </w:rPr>
        <w:t> 1-й день + #фторурацил** 1000 мг/м</w:t>
      </w:r>
      <w:r w:rsidRPr="00910F6D">
        <w:rPr>
          <w:rFonts w:ascii="Times New Roman" w:eastAsia="Times New Roman" w:hAnsi="Times New Roman" w:cs="Times New Roman"/>
          <w:color w:val="222222"/>
          <w:sz w:val="20"/>
          <w:szCs w:val="20"/>
          <w:vertAlign w:val="superscript"/>
          <w:lang w:eastAsia="ru-RU"/>
        </w:rPr>
        <w:t>2</w:t>
      </w:r>
      <w:r w:rsidRPr="00910F6D">
        <w:rPr>
          <w:rFonts w:ascii="Times New Roman" w:eastAsia="Times New Roman" w:hAnsi="Times New Roman" w:cs="Times New Roman"/>
          <w:color w:val="222222"/>
          <w:sz w:val="27"/>
          <w:szCs w:val="27"/>
          <w:lang w:eastAsia="ru-RU"/>
        </w:rPr>
        <w:t>/сут 1–4 дни) [89], всего 2–3 курса ХТ [</w:t>
      </w:r>
      <w:r w:rsidRPr="00910F6D">
        <w:rPr>
          <w:rFonts w:ascii="Times New Roman" w:eastAsia="Times New Roman" w:hAnsi="Times New Roman" w:cs="Times New Roman"/>
          <w:i/>
          <w:iCs/>
          <w:color w:val="333333"/>
          <w:sz w:val="27"/>
          <w:szCs w:val="27"/>
          <w:lang w:eastAsia="ru-RU"/>
        </w:rPr>
        <w:t>27</w:t>
      </w:r>
      <w:r w:rsidRPr="00910F6D">
        <w:rPr>
          <w:rFonts w:ascii="Times New Roman" w:eastAsia="Times New Roman" w:hAnsi="Times New Roman" w:cs="Times New Roman"/>
          <w:color w:val="222222"/>
          <w:sz w:val="27"/>
          <w:szCs w:val="27"/>
          <w:lang w:eastAsia="ru-RU"/>
        </w:rPr>
        <w:t>]. Для пациентов с невозможностью введения цисплатина** может быть рассмотрена возможность замены последнего на карбоплатин**</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2 (уровень убедительности рекомендаций – B).</w:t>
      </w:r>
      <w:r w:rsidRPr="00910F6D">
        <w:rPr>
          <w:rFonts w:ascii="Times New Roman" w:eastAsia="Times New Roman" w:hAnsi="Times New Roman" w:cs="Times New Roman"/>
          <w:color w:val="222222"/>
          <w:sz w:val="27"/>
          <w:szCs w:val="27"/>
          <w:lang w:eastAsia="ru-RU"/>
        </w:rPr>
        <w:t>         </w:t>
      </w:r>
    </w:p>
    <w:p w:rsidR="00910F6D" w:rsidRPr="00910F6D" w:rsidRDefault="00910F6D" w:rsidP="00910F6D">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Пациентам с рецидивами и отдаленными метастазами при раке носоглотки </w:t>
      </w: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поли- или монохимиотерапия для увеличения общей выживаемости с учетом общего состояния пациента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r w:rsidRPr="00910F6D">
        <w:rPr>
          <w:rFonts w:ascii="Times New Roman" w:eastAsia="Times New Roman" w:hAnsi="Times New Roman" w:cs="Times New Roman"/>
          <w:color w:val="222222"/>
          <w:sz w:val="27"/>
          <w:szCs w:val="27"/>
          <w:lang w:eastAsia="ru-RU"/>
        </w:rPr>
        <w:t>  </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карбоплатин** AUC 5-6 в/в кап, день 1 + #паклитаксел** 175 мг/м2 в/в кап, день 1, длительность курса 21 день [</w:t>
      </w:r>
      <w:r w:rsidRPr="00910F6D">
        <w:rPr>
          <w:rFonts w:ascii="Times New Roman" w:eastAsia="Times New Roman" w:hAnsi="Times New Roman" w:cs="Times New Roman"/>
          <w:color w:val="222222"/>
          <w:sz w:val="27"/>
          <w:szCs w:val="27"/>
          <w:lang w:eastAsia="ru-RU"/>
        </w:rPr>
        <w:t>31</w:t>
      </w:r>
      <w:r w:rsidRPr="00910F6D">
        <w:rPr>
          <w:rFonts w:ascii="Times New Roman" w:eastAsia="Times New Roman" w:hAnsi="Times New Roman" w:cs="Times New Roman"/>
          <w:i/>
          <w:iCs/>
          <w:color w:val="333333"/>
          <w:sz w:val="27"/>
          <w:szCs w:val="27"/>
          <w:lang w:eastAsia="ru-RU"/>
        </w:rPr>
        <w:t>];</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цисплатин** 75 мг/м2 +# доцетаксел** 75-100 мг/м2 в/в кап, день 1, длительность курса 21 день [35];</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цисплатин** 100 мг/м2 в/в кап, день 1 + #фторурацил** 1000 мг/м2/сут в/в кап, дни 1-4, длительность курса 21 день [36];</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карбоплатин** AUC 5 в / в/в 1-й день + #фторурацил** 1000 мг / м2 в / в 24-часовая инфузия в 1–4-й дни, каждые 3 нед. [</w:t>
      </w:r>
      <w:r w:rsidRPr="00910F6D">
        <w:rPr>
          <w:rFonts w:ascii="Times New Roman" w:eastAsia="Times New Roman" w:hAnsi="Times New Roman" w:cs="Times New Roman"/>
          <w:color w:val="222222"/>
          <w:sz w:val="27"/>
          <w:szCs w:val="27"/>
          <w:lang w:eastAsia="ru-RU"/>
        </w:rPr>
        <w:t>31</w:t>
      </w:r>
      <w:r w:rsidRPr="00910F6D">
        <w:rPr>
          <w:rFonts w:ascii="Times New Roman" w:eastAsia="Times New Roman" w:hAnsi="Times New Roman" w:cs="Times New Roman"/>
          <w:i/>
          <w:iCs/>
          <w:color w:val="333333"/>
          <w:sz w:val="27"/>
          <w:szCs w:val="27"/>
          <w:lang w:eastAsia="ru-RU"/>
        </w:rPr>
        <w:t>];</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#Гемцитабин** 1000 мг/м2 в/в в 1-й и 8-й дни + #цисплатин** 80мг/м2  в/в в 1-й день, каждые 3 нед. [37].</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Режимы монохимиотерапии: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цисплатин** 100 мг/м2 в/в кап, день, продолжительность курса 21 день [38];</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#паклитаксел** 80 мг/м2 в/в кап, еженедельно[39];</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#доцетаксел** 100 мг/м2 в/в кап, день 1, курс 21 день [40];</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#фторурацил** 1000 мг/м2 в/в кап, дни 1-4, курс 21 день [38];</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 </w:t>
      </w:r>
      <w:r w:rsidRPr="00910F6D">
        <w:rPr>
          <w:rFonts w:ascii="Times New Roman" w:eastAsia="Times New Roman" w:hAnsi="Times New Roman" w:cs="Times New Roman"/>
          <w:i/>
          <w:iCs/>
          <w:color w:val="333333"/>
          <w:sz w:val="27"/>
          <w:szCs w:val="27"/>
          <w:lang w:eastAsia="ru-RU"/>
        </w:rPr>
        <w:t>#метотрексат** 40 мг/м2 в/в кап 1 раз в неделю [41];</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#капецитабин** 1250 мг/м2 энтерально 2 раза в день с перерывом в 1 неделю, длительность курса 21 день [42].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#гемцитабин** 1000 мг/м2 1, 8, 15 дни 1 раз в 28 дней [43].</w:t>
      </w:r>
    </w:p>
    <w:p w:rsidR="00910F6D" w:rsidRPr="00910F6D" w:rsidRDefault="00910F6D" w:rsidP="00910F6D">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 качестве химиотерапии 2-й линии </w:t>
      </w:r>
      <w:r w:rsidRPr="00910F6D">
        <w:rPr>
          <w:rFonts w:ascii="Times New Roman" w:eastAsia="Times New Roman" w:hAnsi="Times New Roman" w:cs="Times New Roman"/>
          <w:b/>
          <w:bCs/>
          <w:color w:val="222222"/>
          <w:sz w:val="27"/>
          <w:szCs w:val="27"/>
          <w:lang w:eastAsia="ru-RU"/>
        </w:rPr>
        <w:t>рекомендован </w:t>
      </w:r>
      <w:r w:rsidRPr="00910F6D">
        <w:rPr>
          <w:rFonts w:ascii="Times New Roman" w:eastAsia="Times New Roman" w:hAnsi="Times New Roman" w:cs="Times New Roman"/>
          <w:color w:val="222222"/>
          <w:sz w:val="27"/>
          <w:szCs w:val="27"/>
          <w:lang w:eastAsia="ru-RU"/>
        </w:rPr>
        <w:t>один из режимов, перечисленных выше, или терапия пембролизумабом** (АТХ:L01XC Моноклональные антитела) в случаях высокой MSI-H [44, 45, 46, 86, 87].</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2 (уровень убедительности рекомендаций – B).</w:t>
      </w:r>
      <w:r w:rsidRPr="00910F6D">
        <w:rPr>
          <w:rFonts w:ascii="Times New Roman" w:eastAsia="Times New Roman" w:hAnsi="Times New Roman" w:cs="Times New Roman"/>
          <w:color w:val="222222"/>
          <w:sz w:val="27"/>
          <w:szCs w:val="27"/>
          <w:lang w:eastAsia="ru-RU"/>
        </w:rPr>
        <w:t>      </w:t>
      </w:r>
    </w:p>
    <w:p w:rsidR="00910F6D" w:rsidRPr="00910F6D" w:rsidRDefault="00910F6D" w:rsidP="00910F6D">
      <w:pPr>
        <w:spacing w:before="750" w:after="450" w:line="240" w:lineRule="auto"/>
        <w:outlineLvl w:val="1"/>
        <w:rPr>
          <w:rFonts w:ascii="Times New Roman" w:eastAsia="Times New Roman" w:hAnsi="Times New Roman" w:cs="Times New Roman"/>
          <w:b/>
          <w:bCs/>
          <w:color w:val="222222"/>
          <w:sz w:val="33"/>
          <w:szCs w:val="33"/>
          <w:lang w:eastAsia="ru-RU"/>
        </w:rPr>
      </w:pPr>
      <w:r w:rsidRPr="00910F6D">
        <w:rPr>
          <w:rFonts w:ascii="Times New Roman" w:eastAsia="Times New Roman" w:hAnsi="Times New Roman" w:cs="Times New Roman"/>
          <w:b/>
          <w:bCs/>
          <w:color w:val="222222"/>
          <w:sz w:val="33"/>
          <w:szCs w:val="33"/>
          <w:lang w:eastAsia="ru-RU"/>
        </w:rPr>
        <w:t>3.4. Иное лечение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Порядок и рекомендации по обезболиванию при злокачественных новообразованиях носоглотки соответствуют рекомендациям, представленным в рубрикаторе «Хронический болевой синдром (ХБС) у взрослых пациентов, нуждающихся в паллиативной медицинской помощи».</w:t>
      </w:r>
    </w:p>
    <w:p w:rsidR="00910F6D" w:rsidRPr="00910F6D" w:rsidRDefault="00910F6D" w:rsidP="00910F6D">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Пациентам с местнораспространенными ЗНО носоглотки при угрозе кровотечения или состоявшегося кровотечения из опухоли и/или регионарных метастатических узлов </w:t>
      </w:r>
      <w:r w:rsidRPr="00910F6D">
        <w:rPr>
          <w:rFonts w:ascii="Times New Roman" w:eastAsia="Times New Roman" w:hAnsi="Times New Roman" w:cs="Times New Roman"/>
          <w:b/>
          <w:bCs/>
          <w:color w:val="222222"/>
          <w:sz w:val="27"/>
          <w:szCs w:val="27"/>
          <w:lang w:eastAsia="ru-RU"/>
        </w:rPr>
        <w:t>рекомендовано</w:t>
      </w:r>
      <w:r w:rsidRPr="00910F6D">
        <w:rPr>
          <w:rFonts w:ascii="Times New Roman" w:eastAsia="Times New Roman" w:hAnsi="Times New Roman" w:cs="Times New Roman"/>
          <w:color w:val="222222"/>
          <w:sz w:val="27"/>
          <w:szCs w:val="27"/>
          <w:lang w:eastAsia="ru-RU"/>
        </w:rPr>
        <w:t> выполнить ангиографию наружной сонной артерии избирательную и при отсутствии противопоказаний произвести селективную и суперселективную эмболизацию опухолевых сосудов с целью снижения рисков кровотечения и фатальных осложнений [47].</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r w:rsidRPr="00910F6D">
        <w:rPr>
          <w:rFonts w:ascii="Times New Roman" w:eastAsia="Times New Roman" w:hAnsi="Times New Roman" w:cs="Times New Roman"/>
          <w:color w:val="222222"/>
          <w:sz w:val="27"/>
          <w:szCs w:val="27"/>
          <w:lang w:eastAsia="ru-RU"/>
        </w:rPr>
        <w:t>  </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Пациентам с местно-распространенными формами рака головы и шеи, а также при угрозе кровотечения из опухолевых узлов в области головы и шеи необходимо:</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Произвести клиническую оценку состояния опухолевого процесса и оценить риски возникновения кровотечения, размеры опухоли и переход опухоли на соседние структуры в случае изъявления опухоли, имеющейся полости в области опухоли или рецидива опухоли, близости к ветвям сонной артерии, наличие незаживающей раны, состоявшееся кровотечение из опухоли.</w:t>
      </w:r>
    </w:p>
    <w:p w:rsidR="00910F6D" w:rsidRPr="00910F6D" w:rsidRDefault="00910F6D" w:rsidP="00910F6D">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 случае констатации риска кровотечения из опухолевых узлов </w:t>
      </w:r>
      <w:r w:rsidRPr="00910F6D">
        <w:rPr>
          <w:rFonts w:ascii="Times New Roman" w:eastAsia="Times New Roman" w:hAnsi="Times New Roman" w:cs="Times New Roman"/>
          <w:b/>
          <w:bCs/>
          <w:color w:val="222222"/>
          <w:sz w:val="27"/>
          <w:szCs w:val="27"/>
          <w:lang w:eastAsia="ru-RU"/>
        </w:rPr>
        <w:t>рекомендовано</w:t>
      </w:r>
      <w:r w:rsidRPr="00910F6D">
        <w:rPr>
          <w:rFonts w:ascii="Times New Roman" w:eastAsia="Times New Roman" w:hAnsi="Times New Roman" w:cs="Times New Roman"/>
          <w:color w:val="222222"/>
          <w:sz w:val="27"/>
          <w:szCs w:val="27"/>
          <w:lang w:eastAsia="ru-RU"/>
        </w:rPr>
        <w:t xml:space="preserve"> произвести ангиографию наружной сонной артерии </w:t>
      </w:r>
      <w:r w:rsidRPr="00910F6D">
        <w:rPr>
          <w:rFonts w:ascii="Times New Roman" w:eastAsia="Times New Roman" w:hAnsi="Times New Roman" w:cs="Times New Roman"/>
          <w:color w:val="222222"/>
          <w:sz w:val="27"/>
          <w:szCs w:val="27"/>
          <w:lang w:eastAsia="ru-RU"/>
        </w:rPr>
        <w:lastRenderedPageBreak/>
        <w:t>избирательную и при отсутствии противопоказаний произвести произвести селективную и суперселективную эмболизацию опухолевых сосудов с целью снижения рисков кровотечения и фатальных осложнений [80-85].</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910F6D" w:rsidRPr="00910F6D" w:rsidRDefault="00910F6D" w:rsidP="00910F6D">
      <w:pPr>
        <w:spacing w:before="750" w:after="450" w:line="240" w:lineRule="auto"/>
        <w:outlineLvl w:val="1"/>
        <w:rPr>
          <w:rFonts w:ascii="Times New Roman" w:eastAsia="Times New Roman" w:hAnsi="Times New Roman" w:cs="Times New Roman"/>
          <w:b/>
          <w:bCs/>
          <w:color w:val="222222"/>
          <w:sz w:val="33"/>
          <w:szCs w:val="33"/>
          <w:lang w:eastAsia="ru-RU"/>
        </w:rPr>
      </w:pPr>
      <w:r w:rsidRPr="00910F6D">
        <w:rPr>
          <w:rFonts w:ascii="Times New Roman" w:eastAsia="Times New Roman" w:hAnsi="Times New Roman" w:cs="Times New Roman"/>
          <w:b/>
          <w:bCs/>
          <w:color w:val="222222"/>
          <w:sz w:val="33"/>
          <w:szCs w:val="33"/>
          <w:lang w:eastAsia="ru-RU"/>
        </w:rPr>
        <w:t>3.5.  Диетотерапия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Необходимость назначения лечебного питания определяется нутритивным статусом пациента, а также целесообразностью коррекции сопутствующих состояний и профилактики осложнений проводимого лечения, в связи с чем принципы лечебного питания и показания представлены в разделе «Медицинская реабилитация и санаторно-курортное лечение, медицинские показания и противопоказания к применению методов реабилитации, в том числе основанных на использовании природных лечебных факторов»</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10F6D" w:rsidRPr="00910F6D" w:rsidRDefault="00910F6D" w:rsidP="00910F6D">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Рекомендуются </w:t>
      </w:r>
      <w:r w:rsidRPr="00910F6D">
        <w:rPr>
          <w:rFonts w:ascii="Times New Roman" w:eastAsia="Times New Roman" w:hAnsi="Times New Roman" w:cs="Times New Roman"/>
          <w:color w:val="222222"/>
          <w:sz w:val="27"/>
          <w:szCs w:val="27"/>
          <w:lang w:eastAsia="ru-RU"/>
        </w:rPr>
        <w:t>пациентам со злокачественными опухолями носоглотки программы профилактической гимнастики и обучение тактике глотания до начала лечения для уменьшения нарушения глотания при проведении противоопухолевой терапии [48].</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r w:rsidRPr="00910F6D">
        <w:rPr>
          <w:rFonts w:ascii="Times New Roman" w:eastAsia="Times New Roman" w:hAnsi="Times New Roman" w:cs="Times New Roman"/>
          <w:color w:val="222222"/>
          <w:sz w:val="27"/>
          <w:szCs w:val="27"/>
          <w:lang w:eastAsia="ru-RU"/>
        </w:rPr>
        <w:t>          </w:t>
      </w:r>
    </w:p>
    <w:p w:rsidR="00910F6D" w:rsidRPr="00910F6D" w:rsidRDefault="00910F6D" w:rsidP="00910F6D">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Нутритивно-метаболическая реабилитация не менее 7 суток </w:t>
      </w:r>
      <w:r w:rsidRPr="00910F6D">
        <w:rPr>
          <w:rFonts w:ascii="Times New Roman" w:eastAsia="Times New Roman" w:hAnsi="Times New Roman" w:cs="Times New Roman"/>
          <w:b/>
          <w:bCs/>
          <w:color w:val="222222"/>
          <w:sz w:val="27"/>
          <w:szCs w:val="27"/>
          <w:lang w:eastAsia="ru-RU"/>
        </w:rPr>
        <w:t>рекомендована</w:t>
      </w:r>
      <w:r w:rsidRPr="00910F6D">
        <w:rPr>
          <w:rFonts w:ascii="Times New Roman" w:eastAsia="Times New Roman" w:hAnsi="Times New Roman" w:cs="Times New Roman"/>
          <w:color w:val="222222"/>
          <w:sz w:val="27"/>
          <w:szCs w:val="27"/>
          <w:lang w:eastAsia="ru-RU"/>
        </w:rPr>
        <w:t xml:space="preserve"> с целью снижения частоты послеоперационных осложнений и длительности </w:t>
      </w:r>
      <w:r w:rsidRPr="00910F6D">
        <w:rPr>
          <w:rFonts w:ascii="Times New Roman" w:eastAsia="Times New Roman" w:hAnsi="Times New Roman" w:cs="Times New Roman"/>
          <w:color w:val="222222"/>
          <w:sz w:val="27"/>
          <w:szCs w:val="27"/>
          <w:lang w:eastAsia="ru-RU"/>
        </w:rPr>
        <w:lastRenderedPageBreak/>
        <w:t>пребывания пациента со злокачественными новообразованиями (ЗНО) носоглотки в стационаре [49].</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 </w:t>
      </w:r>
      <w:r w:rsidRPr="00910F6D">
        <w:rPr>
          <w:rFonts w:ascii="Times New Roman" w:eastAsia="Times New Roman" w:hAnsi="Times New Roman" w:cs="Times New Roman"/>
          <w:i/>
          <w:iCs/>
          <w:color w:val="333333"/>
          <w:sz w:val="27"/>
          <w:szCs w:val="27"/>
          <w:lang w:eastAsia="ru-RU"/>
        </w:rPr>
        <w:t>Нутритивная поддержка при планировании хирургического лечения проводится при наличии хотя бы одного из указанных факторов: непреднамеренном снижении массы тела за последние 6 мес (потеря 10 % и более), индексе массы тела &lt;20</w:t>
      </w: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кг/м</w:t>
      </w:r>
      <w:r w:rsidRPr="00910F6D">
        <w:rPr>
          <w:rFonts w:ascii="Times New Roman" w:eastAsia="Times New Roman" w:hAnsi="Times New Roman" w:cs="Times New Roman"/>
          <w:i/>
          <w:iCs/>
          <w:color w:val="333333"/>
          <w:sz w:val="20"/>
          <w:szCs w:val="20"/>
          <w:vertAlign w:val="superscript"/>
          <w:lang w:eastAsia="ru-RU"/>
        </w:rPr>
        <w:t>2</w:t>
      </w:r>
      <w:r w:rsidRPr="00910F6D">
        <w:rPr>
          <w:rFonts w:ascii="Times New Roman" w:eastAsia="Times New Roman" w:hAnsi="Times New Roman" w:cs="Times New Roman"/>
          <w:i/>
          <w:iCs/>
          <w:color w:val="333333"/>
          <w:sz w:val="27"/>
          <w:szCs w:val="27"/>
          <w:lang w:eastAsia="ru-RU"/>
        </w:rPr>
        <w:t>, гипопротеинемия &lt;60 г / л или гипоальбуминемия &lt;30 г / л, ухудшении возможности приема пищи за последнюю неделю. В случае проведения химиотерапии показаниями являются: индекс массы тела &lt;20 кг / м2; потеря более 5 % массы тела за 6 мес.; гипопротеинемия &lt;60 г / л или гипоальбуминемия &lt;30 г / л.; невозможность адекватного питания через рот; энтеропатия средней и тяжёлой степени</w:t>
      </w:r>
    </w:p>
    <w:p w:rsidR="00910F6D" w:rsidRPr="00910F6D" w:rsidRDefault="00910F6D" w:rsidP="00910F6D">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Пациентам с ЗНО носоглотки, получающим химиотерапевтическое лечение </w:t>
      </w: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раннее начало физических нагрузок с целью профилактики возникновения и прогрессирования саркопении уменьшения слабости, улучшения качества жизни и психологического состояния пациентов, получающих адъювантную ХТ, увеличения толерантности к физической нагрузке [50].</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3 (уровень убедительности рекомендаций – B).</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 </w:t>
      </w:r>
      <w:r w:rsidRPr="00910F6D">
        <w:rPr>
          <w:rFonts w:ascii="Times New Roman" w:eastAsia="Times New Roman" w:hAnsi="Times New Roman" w:cs="Times New Roman"/>
          <w:i/>
          <w:iCs/>
          <w:color w:val="333333"/>
          <w:sz w:val="27"/>
          <w:szCs w:val="27"/>
          <w:lang w:eastAsia="ru-RU"/>
        </w:rPr>
        <w:t>Проведение комплекса ЛФК с включением аэробной нагрузки, элементов Тайчи в течение 4 мес на фоне ХТ приводит к увеличению жизненной емкости легких, насыщенности крови кислородом, силы мышц, объема движений в крупных суставах, снижения индекса массы тела [</w:t>
      </w:r>
      <w:r w:rsidRPr="00910F6D">
        <w:rPr>
          <w:rFonts w:ascii="Times New Roman" w:eastAsia="Times New Roman" w:hAnsi="Times New Roman" w:cs="Times New Roman"/>
          <w:color w:val="222222"/>
          <w:sz w:val="27"/>
          <w:szCs w:val="27"/>
          <w:lang w:eastAsia="ru-RU"/>
        </w:rPr>
        <w:t>51</w:t>
      </w:r>
      <w:r w:rsidRPr="00910F6D">
        <w:rPr>
          <w:rFonts w:ascii="Times New Roman" w:eastAsia="Times New Roman" w:hAnsi="Times New Roman" w:cs="Times New Roman"/>
          <w:i/>
          <w:iCs/>
          <w:color w:val="333333"/>
          <w:sz w:val="27"/>
          <w:szCs w:val="27"/>
          <w:lang w:eastAsia="ru-RU"/>
        </w:rPr>
        <w:t>].</w:t>
      </w:r>
    </w:p>
    <w:p w:rsidR="00910F6D" w:rsidRPr="00910F6D" w:rsidRDefault="00910F6D" w:rsidP="00910F6D">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Для уменьшения утомляемости и повышения выносливости у пациентов с ЗНО носоглотки на фоне проведения ХЛТ </w:t>
      </w: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проведение лечебной физкультуры (ЛФК) в виде аэробных упражнений средней интенсивности в сочетании с упражнениями на сопротивление [52].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2 (уровень убедительности рекомендаций – B).</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 </w:t>
      </w:r>
      <w:r w:rsidRPr="00910F6D">
        <w:rPr>
          <w:rFonts w:ascii="Times New Roman" w:eastAsia="Times New Roman" w:hAnsi="Times New Roman" w:cs="Times New Roman"/>
          <w:i/>
          <w:iCs/>
          <w:color w:val="333333"/>
          <w:sz w:val="27"/>
          <w:szCs w:val="27"/>
          <w:lang w:eastAsia="ru-RU"/>
        </w:rPr>
        <w:t>Сочетание ЛФК с психологической поддержкой используется в качестве комплексного лечения слабости на фоне ХТ [</w:t>
      </w:r>
      <w:r w:rsidRPr="00910F6D">
        <w:rPr>
          <w:rFonts w:ascii="Times New Roman" w:eastAsia="Times New Roman" w:hAnsi="Times New Roman" w:cs="Times New Roman"/>
          <w:color w:val="222222"/>
          <w:sz w:val="27"/>
          <w:szCs w:val="27"/>
          <w:lang w:eastAsia="ru-RU"/>
        </w:rPr>
        <w:t>53</w:t>
      </w:r>
      <w:r w:rsidRPr="00910F6D">
        <w:rPr>
          <w:rFonts w:ascii="Times New Roman" w:eastAsia="Times New Roman" w:hAnsi="Times New Roman" w:cs="Times New Roman"/>
          <w:i/>
          <w:iCs/>
          <w:color w:val="333333"/>
          <w:sz w:val="27"/>
          <w:szCs w:val="27"/>
          <w:lang w:eastAsia="ru-RU"/>
        </w:rPr>
        <w:t>]. Помимо этого, целесообразно проведение  курса общего массажа медицинского (A21.01.001) в течение 6 недель с целью уменьшения слабости на фоне комбинированного лечения [</w:t>
      </w:r>
      <w:r w:rsidRPr="00910F6D">
        <w:rPr>
          <w:rFonts w:ascii="Times New Roman" w:eastAsia="Times New Roman" w:hAnsi="Times New Roman" w:cs="Times New Roman"/>
          <w:color w:val="222222"/>
          <w:sz w:val="27"/>
          <w:szCs w:val="27"/>
          <w:lang w:eastAsia="ru-RU"/>
        </w:rPr>
        <w:t>54</w:t>
      </w:r>
      <w:r w:rsidRPr="00910F6D">
        <w:rPr>
          <w:rFonts w:ascii="Times New Roman" w:eastAsia="Times New Roman" w:hAnsi="Times New Roman" w:cs="Times New Roman"/>
          <w:i/>
          <w:iCs/>
          <w:color w:val="333333"/>
          <w:sz w:val="27"/>
          <w:szCs w:val="27"/>
          <w:lang w:eastAsia="ru-RU"/>
        </w:rPr>
        <w:t>].</w:t>
      </w:r>
    </w:p>
    <w:p w:rsidR="00910F6D" w:rsidRPr="00910F6D" w:rsidRDefault="00910F6D" w:rsidP="00910F6D">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Упражнения на тренировку баланса </w:t>
      </w:r>
      <w:r w:rsidRPr="00910F6D">
        <w:rPr>
          <w:rFonts w:ascii="Times New Roman" w:eastAsia="Times New Roman" w:hAnsi="Times New Roman" w:cs="Times New Roman"/>
          <w:b/>
          <w:bCs/>
          <w:color w:val="222222"/>
          <w:sz w:val="27"/>
          <w:szCs w:val="27"/>
          <w:lang w:eastAsia="ru-RU"/>
        </w:rPr>
        <w:t>рекомендованы</w:t>
      </w:r>
      <w:r w:rsidRPr="00910F6D">
        <w:rPr>
          <w:rFonts w:ascii="Times New Roman" w:eastAsia="Times New Roman" w:hAnsi="Times New Roman" w:cs="Times New Roman"/>
          <w:color w:val="222222"/>
          <w:sz w:val="27"/>
          <w:szCs w:val="27"/>
          <w:lang w:eastAsia="ru-RU"/>
        </w:rPr>
        <w:t> пациентам с ЗНО носоглотки, получающим химиотерапию, для коррекции полинейропатии [55].</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3 (уровень убедительности рекомендаций – B).</w:t>
      </w:r>
    </w:p>
    <w:p w:rsidR="00910F6D" w:rsidRPr="00910F6D" w:rsidRDefault="00910F6D" w:rsidP="00910F6D">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применение низкоинтенсивной лазеротерапии в лечении периферической полинейропатии на фоне ХТ [56].</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2 (уровень убедительности рекомендаций – А).</w:t>
      </w:r>
    </w:p>
    <w:p w:rsidR="00910F6D" w:rsidRPr="00910F6D" w:rsidRDefault="00910F6D" w:rsidP="00910F6D">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Рекомендовано</w:t>
      </w:r>
      <w:r w:rsidRPr="00910F6D">
        <w:rPr>
          <w:rFonts w:ascii="Times New Roman" w:eastAsia="Times New Roman" w:hAnsi="Times New Roman" w:cs="Times New Roman"/>
          <w:color w:val="222222"/>
          <w:sz w:val="27"/>
          <w:szCs w:val="27"/>
          <w:lang w:eastAsia="ru-RU"/>
        </w:rPr>
        <w:t> воздействие переменным магнитным полем (ПеМП) (A17.30.019) в лечении периферической полинейропатии на фоне ХТ [57].</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2 (уровень убедительности рекомендаций – В).</w:t>
      </w:r>
    </w:p>
    <w:p w:rsidR="00910F6D" w:rsidRPr="00910F6D" w:rsidRDefault="00910F6D" w:rsidP="00910F6D">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воздействие лазерным низкоинтенсивным излучением на область десен (A22.07.008) в профилактике и лечении мукозитов полости рта на фоне ХТ [58, 59].</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1 (уровень убедительности рекомендаций – 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w:t>
      </w:r>
      <w:r w:rsidRPr="00910F6D">
        <w:rPr>
          <w:rFonts w:ascii="Times New Roman" w:eastAsia="Times New Roman" w:hAnsi="Times New Roman" w:cs="Times New Roman"/>
          <w:i/>
          <w:iCs/>
          <w:color w:val="333333"/>
          <w:sz w:val="27"/>
          <w:szCs w:val="27"/>
          <w:lang w:eastAsia="ru-RU"/>
        </w:rPr>
        <w:t> Для профилактики мукозита полости рта рекомендована низкоинтенсивная лазеротерапия на слизистые оболочки полости рта.</w:t>
      </w:r>
    </w:p>
    <w:p w:rsidR="00910F6D" w:rsidRPr="00910F6D" w:rsidRDefault="00910F6D" w:rsidP="00910F6D">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Рекомендовано</w:t>
      </w:r>
      <w:r w:rsidRPr="00910F6D">
        <w:rPr>
          <w:rFonts w:ascii="Times New Roman" w:eastAsia="Times New Roman" w:hAnsi="Times New Roman" w:cs="Times New Roman"/>
          <w:color w:val="222222"/>
          <w:sz w:val="27"/>
          <w:szCs w:val="27"/>
          <w:lang w:eastAsia="ru-RU"/>
        </w:rPr>
        <w:t> на фоне ХТ применение аппаратов для профилактики алопеции при химиотерапии [60].</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3 (уровень убедительности рекомендаций – В).</w:t>
      </w:r>
    </w:p>
    <w:p w:rsidR="00910F6D" w:rsidRPr="00910F6D" w:rsidRDefault="00910F6D" w:rsidP="00910F6D">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начать низкоинтенсивное лазерное облучение кожи (A22.01.005) через 3 дня после начала ЛТ и проводить ее 3 дня в неделю для профилактики лучевого дерматита [62].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Комментарий: </w:t>
      </w:r>
      <w:r w:rsidRPr="00910F6D">
        <w:rPr>
          <w:rFonts w:ascii="Times New Roman" w:eastAsia="Times New Roman" w:hAnsi="Times New Roman" w:cs="Times New Roman"/>
          <w:i/>
          <w:iCs/>
          <w:color w:val="333333"/>
          <w:sz w:val="27"/>
          <w:szCs w:val="27"/>
          <w:lang w:eastAsia="ru-RU"/>
        </w:rPr>
        <w:t xml:space="preserve">С момента проявлений и до полного исчезновения лучевого мукозита показано применение дерматопротекторов (A01AD11 Прочие препараты ранозаживляющих местных средств (гели, раствор мочевины мази  и др.)и др.). При регулярном орошении полости рта изотоническим раствором удаляются остатки пищи и накопившиеся выделения. Для аппликаций в полости рта или для закапывания в нос рекомендуются масла (оливковое, персиковое, облепихи или шиповника). При наличии болевого синдрома применяют анестетики для местного применения (D04AB: Местные анестетики для наружного применения)  (D04AB: Местные анестетики для </w:t>
      </w:r>
      <w:r w:rsidRPr="00910F6D">
        <w:rPr>
          <w:rFonts w:ascii="Times New Roman" w:eastAsia="Times New Roman" w:hAnsi="Times New Roman" w:cs="Times New Roman"/>
          <w:i/>
          <w:iCs/>
          <w:color w:val="333333"/>
          <w:sz w:val="27"/>
          <w:szCs w:val="27"/>
          <w:lang w:eastAsia="ru-RU"/>
        </w:rPr>
        <w:lastRenderedPageBreak/>
        <w:t>наружного применения) и системные анальгетики [</w:t>
      </w:r>
      <w:r w:rsidRPr="00910F6D">
        <w:rPr>
          <w:rFonts w:ascii="Times New Roman" w:eastAsia="Times New Roman" w:hAnsi="Times New Roman" w:cs="Times New Roman"/>
          <w:color w:val="222222"/>
          <w:sz w:val="27"/>
          <w:szCs w:val="27"/>
          <w:lang w:eastAsia="ru-RU"/>
        </w:rPr>
        <w:t>63</w:t>
      </w:r>
      <w:r w:rsidRPr="00910F6D">
        <w:rPr>
          <w:rFonts w:ascii="Times New Roman" w:eastAsia="Times New Roman" w:hAnsi="Times New Roman" w:cs="Times New Roman"/>
          <w:i/>
          <w:iCs/>
          <w:color w:val="333333"/>
          <w:sz w:val="27"/>
          <w:szCs w:val="27"/>
          <w:lang w:eastAsia="ru-RU"/>
        </w:rPr>
        <w:t>]. Чаще всего требуется назначение опиоидов, причем следует обратить внимание на трансдермальные формы их применения [</w:t>
      </w:r>
      <w:r w:rsidRPr="00910F6D">
        <w:rPr>
          <w:rFonts w:ascii="Times New Roman" w:eastAsia="Times New Roman" w:hAnsi="Times New Roman" w:cs="Times New Roman"/>
          <w:color w:val="222222"/>
          <w:sz w:val="27"/>
          <w:szCs w:val="27"/>
          <w:lang w:eastAsia="ru-RU"/>
        </w:rPr>
        <w:t>64</w:t>
      </w:r>
      <w:r w:rsidRPr="00910F6D">
        <w:rPr>
          <w:rFonts w:ascii="Times New Roman" w:eastAsia="Times New Roman" w:hAnsi="Times New Roman" w:cs="Times New Roman"/>
          <w:i/>
          <w:iCs/>
          <w:color w:val="333333"/>
          <w:sz w:val="27"/>
          <w:szCs w:val="27"/>
          <w:lang w:eastAsia="ru-RU"/>
        </w:rPr>
        <w:t>].</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С момента проявлений лучевого дерматита и до полного стихания реакций показано применение D11AX Прочих препаратов, применяемых в дерматологии) (гели, диоксометилтетрагидропиримидин, рибофлавин), а также солнцезащитных средств. Кожу необходимо оберегать от трения и раздражения. Для борьбы с ксерозом используют крем с мочевиной, масляный раствор ретинола (A11CA01 Ретинол (витамин A)). При биолучевом дерматите целесообразно применение крема с витамином К.</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В постлучевом периоде нормальные ткани, подвергшиеся облучению, очень ранимы, поэтому к ним нужно относиться бережно. В ранние сроки не рекомендуется выполнение инвазивных диагностических процедур и биопсии без крайней необходимости. Показан подбор диеты, и нутритивуная поддержка[</w:t>
      </w:r>
      <w:r w:rsidRPr="00910F6D">
        <w:rPr>
          <w:rFonts w:ascii="Times New Roman" w:eastAsia="Times New Roman" w:hAnsi="Times New Roman" w:cs="Times New Roman"/>
          <w:color w:val="222222"/>
          <w:sz w:val="27"/>
          <w:szCs w:val="27"/>
          <w:lang w:eastAsia="ru-RU"/>
        </w:rPr>
        <w:t>65, 66</w:t>
      </w:r>
      <w:r w:rsidRPr="00910F6D">
        <w:rPr>
          <w:rFonts w:ascii="Times New Roman" w:eastAsia="Times New Roman" w:hAnsi="Times New Roman" w:cs="Times New Roman"/>
          <w:i/>
          <w:iCs/>
          <w:color w:val="333333"/>
          <w:sz w:val="27"/>
          <w:szCs w:val="27"/>
          <w:lang w:eastAsia="ru-RU"/>
        </w:rPr>
        <w:t>]. Травмы, алкоголь, курение, раздражающая пища легко вызывают изъязвление слизистой оболочки, что нередко сопровождается обнажением кости нижней челюсти с последующим развитием остеомиелита. Частой причиной лучевого остеомиелита является удаление зубов в зоне предшествующего облучения, с связи с чем следует по возможности ограничиваться консервативными методами и только в случае необходимости проводить удаление зубов на фоне антибиотикотерапии.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Реабилитация при лучевой терапии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Возможность успешного проведения противоопухолевого лечения и реабилитации зависит от исходного состояния пациента. Так, к факторам риска раннего возникновения и развития тяжелых побочных эффектов можно отнести истощение и тяжелое психологическое состояние больного, пожилой возраст, сопутствующие заболевания, травмы слизистых полости рта и глотки, наличие кариозных зубов, выраженный болевой синдром, курение и прием алкоголя. Подготовка к лечению и адекватное ведение пациентов является настолько важной задачей, что участие профильных смежных специалистов в составе мультидисциплинарной команды (альголога, специалиста по питанию, стоматолога и др.), а также объем сопроводительной терапии указываются в международных рекомендациях как обязательное условие успешного лечения больных опухолями головы и шеи. </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xml:space="preserve">Ведение больных раком носоглотки, получающих/получивших лучевое лечение, требует комплексного подхода, включающего, как минимум, три базовых </w:t>
      </w:r>
      <w:r w:rsidRPr="00910F6D">
        <w:rPr>
          <w:rFonts w:ascii="Times New Roman" w:eastAsia="Times New Roman" w:hAnsi="Times New Roman" w:cs="Times New Roman"/>
          <w:color w:val="222222"/>
          <w:sz w:val="27"/>
          <w:szCs w:val="27"/>
          <w:lang w:eastAsia="ru-RU"/>
        </w:rPr>
        <w:lastRenderedPageBreak/>
        <w:t>компонента терапии сопровождения: ранозаживление, обезболивание, нутритивная поддержка, в сочетании с обеспечением контакта с пациентом и его комплаентности к лечению на всех его этапах.  Оговоримся, что методики терапии сопровождения и реабилитации намного разнообразнее и подразумевают также проведение детоксикационной терапии, коррекции гематологической токсичности, противоязвенной, противорвотной, антибиотической терапии и др. Также обязательным является тщательный мониторинг пациентов после лечения и коррекция возможных отсроченных побочных эффектов лучевой терапии (ксеростомия, некроз кости и/или мягких тканей и др.).</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Адекватное питание и поддержание водного баланса являются жизненно важным. Борьба с «ятрогенной» нутритивной недостаточностью, возникшей вследствие ЛТ и ХЛТ, является важнейшей задачей в рамках успешного лечения больных с опухолями головы и шеи. Особую роль играет сбалансированность приема пищи, что отражает поддержание стабильной массы тела. Необходимо отметить, что нутритивная поддержка проводится с лечебной целью, поскольку период проведения ЛТ характеризуется повышенной потребностью организма в энергетическом и пластическом обеспечении. У пациентов без выраженной дисфагии, получающих ЛТ и ХЛТ, методом выбора является пероральное энтеральное питание. Нутритивная терапия должна начинаться сразу при выявлении нутритивной недостаточности или при отсутствии достаточного питания через рот в течение 7 дней.  </w:t>
      </w:r>
    </w:p>
    <w:p w:rsidR="00910F6D" w:rsidRPr="00910F6D" w:rsidRDefault="00910F6D" w:rsidP="00910F6D">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рассмотреть возможность проведения профилактической нутритивной поддержки пациентам, которым планируется проведение противоопухолевого лечение с высоким риском нарушения питания (при проведении ХЛТ больным местнораспространенным раком глотки и др.) [67].</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Комментарии:</w:t>
      </w:r>
      <w:r w:rsidRPr="00910F6D">
        <w:rPr>
          <w:rFonts w:ascii="Times New Roman" w:eastAsia="Times New Roman" w:hAnsi="Times New Roman" w:cs="Times New Roman"/>
          <w:i/>
          <w:iCs/>
          <w:color w:val="333333"/>
          <w:sz w:val="27"/>
          <w:szCs w:val="27"/>
          <w:lang w:eastAsia="ru-RU"/>
        </w:rPr>
        <w:t xml:space="preserve"> Энтеральное лечебное питание начинают при неадекватности диетического питания через рот (т. е. менее 60% от общих энергетических потребностей в течение 10 дней). Потеря более 10% от исходной массы тела является показанием для назначения энтерального питания. Оптимальным вариантом нутритивной поддержки является сиппинг с использованием высокобелковых смесей (с учетом сопутствующей патологии, в том числе почек). При невозможности адекватного перорального питания следует обеспечить его путем установки назогастрального зонда (при ориентировочных </w:t>
      </w:r>
      <w:r w:rsidRPr="00910F6D">
        <w:rPr>
          <w:rFonts w:ascii="Times New Roman" w:eastAsia="Times New Roman" w:hAnsi="Times New Roman" w:cs="Times New Roman"/>
          <w:i/>
          <w:iCs/>
          <w:color w:val="333333"/>
          <w:sz w:val="27"/>
          <w:szCs w:val="27"/>
          <w:lang w:eastAsia="ru-RU"/>
        </w:rPr>
        <w:lastRenderedPageBreak/>
        <w:t>сроках его стояния до 3-4 недель), либо путем гастростомии. Также в случае необходимости может быть подключено парентеральное питание. Расчет основных потребностей пациента ориентирован на общее количество потребляемой энергии и количественное соотношение различных субстратов. Необходимое количество калорий чаще всего рассчитывается с учетом его энергетических затрат с ориентиром на предупреждение нарастания дефицита энергии [68,69,70]. Основной целью нутритивной поддержки является восполнение потерь как минимум из расчета: белок/аминокислоты: не менее 1,2 г/кг/сут и до 2 г/кг/сут; энергия: 25-30 ккал/кг/су [67]. Пациентам, получающим ЛТ и ХЛТ оптимально применение смесей, обогащенных омега-3 жирными кислотами и пищевыми волокнами, а также совмещение нутритивной поддержки с физическими нагрузками.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 момента проявлений и до полного исчезновения лучевого мукозита показано применение A01AD11 Прочие препараты (гели, мази и др.). При регулярном орошении полости рта изотоническим раствором удаляются остатки пищи и накопившиеся выделения. Для аппликаций в полости рта или для закапывания в нос рекомендуются масла (оливковое, персиковое, облепихи или шиповника). При наличии болевого синдрома применяют (D04AB): Местные анестетики для наружного применения и N02B другие анальгетики и антипиретики [71]. Обезболивание должно назначаться в соответствии со шкалой ВОЗ. Чаще всего требуется назначение </w:t>
      </w:r>
      <w:r w:rsidRPr="00910F6D">
        <w:rPr>
          <w:rFonts w:ascii="Times New Roman" w:eastAsia="Times New Roman" w:hAnsi="Times New Roman" w:cs="Times New Roman"/>
          <w:i/>
          <w:iCs/>
          <w:color w:val="333333"/>
          <w:sz w:val="27"/>
          <w:szCs w:val="27"/>
          <w:lang w:eastAsia="ru-RU"/>
        </w:rPr>
        <w:t>N02A опиоидов</w:t>
      </w:r>
      <w:r w:rsidRPr="00910F6D">
        <w:rPr>
          <w:rFonts w:ascii="Times New Roman" w:eastAsia="Times New Roman" w:hAnsi="Times New Roman" w:cs="Times New Roman"/>
          <w:color w:val="222222"/>
          <w:sz w:val="27"/>
          <w:szCs w:val="27"/>
          <w:lang w:eastAsia="ru-RU"/>
        </w:rPr>
        <w:t>, причем следует обратить внимание на трансдермальные формы их применения [72].</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 момента проявлений лучевого дерматита и до полного стихания реакций показано применение ранозаживляющих местных средств (D11AX Прочих препаратов, применяемых в дерматологии, A11CA01 Ретинол (витамин A)) (гели,диоксометилтетрагидропиримидин, рибофлавин), а также солнцезащитных средств. Кожу необходимо оберегать от трения и раздражения. Для борьбы с ксерозом используют крем с мочевиной, масляный раствор витамина А. При биолучевом дерматите целесообразно применение крема с витамином К.</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xml:space="preserve">В постлучевом периоде нормальные ткани, подвергшиеся облучению, очень ранимы, поэтому к ним нужно относиться бережно. В ранние сроки необходимо воздержаться от выполнения инвазивных диагностических процедур и биопсии без крайней необходимости. Травмы, алкоголь, курение, раздражающая пища легко вызывают изъязвление слизистой оболочки, что нередко сопровождается обнажением кости нижней челюсти с последующим развитием остеомиелита. Частой причиной лучевого остеомиелита является удаление зубов в зоне </w:t>
      </w:r>
      <w:r w:rsidRPr="00910F6D">
        <w:rPr>
          <w:rFonts w:ascii="Times New Roman" w:eastAsia="Times New Roman" w:hAnsi="Times New Roman" w:cs="Times New Roman"/>
          <w:color w:val="222222"/>
          <w:sz w:val="27"/>
          <w:szCs w:val="27"/>
          <w:lang w:eastAsia="ru-RU"/>
        </w:rPr>
        <w:lastRenderedPageBreak/>
        <w:t>предшествующего облучения, с связи с чем следует по возможности ограничиваться консервативными методами и только в случае необходимости проводить удаление зубов на фоне антибиотикотерапии.</w:t>
      </w:r>
    </w:p>
    <w:p w:rsidR="00910F6D" w:rsidRPr="00910F6D" w:rsidRDefault="00910F6D" w:rsidP="00910F6D">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регулярный мониторинг (шкалы MUST, NRS 2002) и коррекция нутритивного статуса с применением специализированного питания у пациентов, которым проводится ЛТ/ХЛТ, с целью повышения выживаемости, улучшения качества жизни и переносимости проводимого лечения [67, 74].</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Всем пациентам, которым планируется проведение ЛТ/ХЛТ, </w:t>
      </w: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консультация стоматолога и обследование с последующим сопровождением на всех этапах лечения и реабилитации [75, 76].</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–5 (уровень убедительности рекомендаций –C).</w:t>
      </w:r>
    </w:p>
    <w:p w:rsidR="00910F6D" w:rsidRPr="00910F6D" w:rsidRDefault="00910F6D" w:rsidP="00910F6D">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Всем пациентам, получающим/получившим ЛТ/ХЛТ, при наличии болевого синдрома </w:t>
      </w: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консультация врача по паллиативной медицинской помощи </w:t>
      </w:r>
      <w:r w:rsidRPr="00910F6D">
        <w:rPr>
          <w:rFonts w:ascii="Times New Roman" w:eastAsia="Times New Roman" w:hAnsi="Times New Roman" w:cs="Times New Roman"/>
          <w:color w:val="222222"/>
          <w:sz w:val="27"/>
          <w:szCs w:val="27"/>
          <w:lang w:eastAsia="ru-RU"/>
        </w:rPr>
        <w:t>(5.1.66.Врач по паллиативной медицинской помощи) с целью обеспечения переносимости лечения, адекватной реабилитации и улучшения качества жизни [77, 78, 79]</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5 (уровень убедительности рекомендаций – С).</w:t>
      </w:r>
    </w:p>
    <w:p w:rsidR="00910F6D" w:rsidRPr="00910F6D" w:rsidRDefault="00910F6D" w:rsidP="00910F6D">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Пациентам с ЗНО носоглотки, получающим химиолучевое лечение </w:t>
      </w:r>
      <w:r w:rsidRPr="00910F6D">
        <w:rPr>
          <w:rFonts w:ascii="Times New Roman" w:eastAsia="Times New Roman" w:hAnsi="Times New Roman" w:cs="Times New Roman"/>
          <w:b/>
          <w:bCs/>
          <w:color w:val="222222"/>
          <w:sz w:val="27"/>
          <w:szCs w:val="27"/>
          <w:lang w:eastAsia="ru-RU"/>
        </w:rPr>
        <w:t>рекомендуется</w:t>
      </w:r>
      <w:r w:rsidRPr="00910F6D">
        <w:rPr>
          <w:rFonts w:ascii="Times New Roman" w:eastAsia="Times New Roman" w:hAnsi="Times New Roman" w:cs="Times New Roman"/>
          <w:color w:val="222222"/>
          <w:sz w:val="27"/>
          <w:szCs w:val="27"/>
          <w:lang w:eastAsia="ru-RU"/>
        </w:rPr>
        <w:t> раннее начало физических нагрузок с целью улучшения качества жизни и переносимости проводимого лечения [52].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3 (уровень убедительности рекомендаций – B).</w:t>
      </w:r>
    </w:p>
    <w:p w:rsidR="00910F6D" w:rsidRPr="00910F6D" w:rsidRDefault="00910F6D" w:rsidP="00910F6D">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Пациентам с ЗНО носоглотки, получающим химиолучевое лечение </w:t>
      </w:r>
      <w:r w:rsidRPr="00910F6D">
        <w:rPr>
          <w:rFonts w:ascii="Times New Roman" w:eastAsia="Times New Roman" w:hAnsi="Times New Roman" w:cs="Times New Roman"/>
          <w:b/>
          <w:bCs/>
          <w:color w:val="222222"/>
          <w:sz w:val="27"/>
          <w:szCs w:val="27"/>
          <w:lang w:eastAsia="ru-RU"/>
        </w:rPr>
        <w:t>рекомендуется </w:t>
      </w:r>
      <w:r w:rsidRPr="00910F6D">
        <w:rPr>
          <w:rFonts w:ascii="Times New Roman" w:eastAsia="Times New Roman" w:hAnsi="Times New Roman" w:cs="Times New Roman"/>
          <w:color w:val="222222"/>
          <w:sz w:val="27"/>
          <w:szCs w:val="27"/>
          <w:lang w:eastAsia="ru-RU"/>
        </w:rPr>
        <w:t>воздействие лазерным низкоинтенсивным излучением на область десен (A22.07.008) в профилактике и лечении мукозита полости рта/глотки на фоне ХЛТ [61; 62].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достоверности доказательств – 2 (уровень убедительности рекомендаций – B).</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С целью профилактики и раннего выявления опухолей носоглотки следует обращать внимание на следующие факторы:</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а) первичные симптомы</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На ранних стадиях заболевание протекает бессимптомно. Симптоматика зависит от локализации опухоли и направления ее роста. Пациентов может беспокоить прогрессирующие затруднение носового дыхания, гнусавость, пощелкивание или заложенность уха, ухудшение слуха, боли в ухе, головная боль, кровотечения, экзофтальм, тризм жевательной мускулатуры, птоз, косоглазие, расстройство глотания и фонации, провисание мягкого нёба, неподвижность половины гортани, отклонение языка в сторону, наличие новообразований на шее.</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б) канцерогенные факторы</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Курение (в том числе пассивное), контакт с асбестом, древесной пылью, продуктами нефтепереработки, воздействие ионизирующего облучения, вирус Эпштейна–Барр.</w:t>
      </w:r>
    </w:p>
    <w:p w:rsidR="00910F6D" w:rsidRPr="00910F6D" w:rsidRDefault="00910F6D" w:rsidP="00910F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10F6D">
        <w:rPr>
          <w:rFonts w:ascii="Times New Roman" w:eastAsia="Times New Roman" w:hAnsi="Times New Roman" w:cs="Times New Roman"/>
          <w:b/>
          <w:bCs/>
          <w:color w:val="222222"/>
          <w:sz w:val="27"/>
          <w:szCs w:val="27"/>
          <w:u w:val="single"/>
          <w:lang w:eastAsia="ru-RU"/>
        </w:rPr>
        <w:t>Диспансерное наблюдение</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Объем обследования</w:t>
      </w:r>
    </w:p>
    <w:p w:rsidR="00910F6D" w:rsidRPr="00910F6D" w:rsidRDefault="00910F6D" w:rsidP="00910F6D">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Рекомендуется </w:t>
      </w:r>
      <w:r w:rsidRPr="00910F6D">
        <w:rPr>
          <w:rFonts w:ascii="Times New Roman" w:eastAsia="Times New Roman" w:hAnsi="Times New Roman" w:cs="Times New Roman"/>
          <w:color w:val="222222"/>
          <w:sz w:val="27"/>
          <w:szCs w:val="27"/>
          <w:lang w:eastAsia="ru-RU"/>
        </w:rPr>
        <w:t>соблюдать следующую периодичность и методы наблюдения после завершения лечения по поводу рака носоглотки: в первый год физикальный осмотр и сбор жалоб рекомендуется проводить каждые 1-3 месяца, 2-ой год – 2-6 месяцев, на сроке 3-5 лет – 1 раз в 4-8 месяцев [2].</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Комментарии:</w:t>
      </w:r>
      <w:r w:rsidRPr="00910F6D">
        <w:rPr>
          <w:rFonts w:ascii="Times New Roman" w:eastAsia="Times New Roman" w:hAnsi="Times New Roman" w:cs="Times New Roman"/>
          <w:i/>
          <w:iCs/>
          <w:color w:val="333333"/>
          <w:sz w:val="27"/>
          <w:szCs w:val="27"/>
          <w:lang w:eastAsia="ru-RU"/>
        </w:rPr>
        <w:t> После 5 лет с момента операции визиты проводятся ежегодно или при появлении жалоб. У пациентов с высоким риском рецидива перерыв между обследованиями может быть сокращен.</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Объем обследования:</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1) анамнез и физикальное обследование;</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2) КТ мягких тканей головы и шеи с в/в болюсным контрастированием или МРТ мягких тканей головы и шеи с в/в болюсным контрастированием</w:t>
      </w: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i/>
          <w:iCs/>
          <w:color w:val="333333"/>
          <w:sz w:val="27"/>
          <w:szCs w:val="27"/>
          <w:lang w:eastAsia="ru-RU"/>
        </w:rPr>
        <w:t>;</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lastRenderedPageBreak/>
        <w:t>3) Эндоскопическая эндоназальная ревизия полости носа, носоглотки;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4) КТ органов грудной полости каждые 12 мес;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5) Позитронная эмиссионная томография всего тела с туморотропным РФП не ранее чем через 1 год после окончания ЛТ;</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6) исследование уровня тиреотропного гормона (ТТГ) в крови каждые 6–12 мес, если проводилось облучение шеи с целью оценки функции щитовидной железы.</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 на основе настоящих клинических рекомендаций;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xml:space="preserve">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w:t>
      </w:r>
      <w:r w:rsidRPr="00910F6D">
        <w:rPr>
          <w:rFonts w:ascii="Times New Roman" w:eastAsia="Times New Roman" w:hAnsi="Times New Roman" w:cs="Times New Roman"/>
          <w:color w:val="222222"/>
          <w:sz w:val="27"/>
          <w:szCs w:val="27"/>
          <w:lang w:eastAsia="ru-RU"/>
        </w:rPr>
        <w:lastRenderedPageBreak/>
        <w:t>порядке направляют пациента на консультацию в центр амбулаторной онкологической помощи либо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лечащим врачом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Диагноз онкологического заболевания устанавливается врачом-онкологом, а при злокачественных новообразованиях лимфоидной, кроветворной и родственных им тканей, входящих в рубрики МКБ-10 С81-С96, также врачом-гематологом.</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w:t>
      </w:r>
      <w:r w:rsidRPr="00910F6D">
        <w:rPr>
          <w:rFonts w:ascii="Times New Roman" w:eastAsia="Times New Roman" w:hAnsi="Times New Roman" w:cs="Times New Roman"/>
          <w:color w:val="222222"/>
          <w:sz w:val="20"/>
          <w:szCs w:val="20"/>
          <w:vertAlign w:val="superscript"/>
          <w:lang w:eastAsia="ru-RU"/>
        </w:rPr>
        <w:t>[1]</w:t>
      </w:r>
      <w:r w:rsidRPr="00910F6D">
        <w:rPr>
          <w:rFonts w:ascii="Times New Roman" w:eastAsia="Times New Roman" w:hAnsi="Times New Roman" w:cs="Times New Roman"/>
          <w:color w:val="222222"/>
          <w:sz w:val="27"/>
          <w:szCs w:val="27"/>
          <w:lang w:eastAsia="ru-RU"/>
        </w:rPr>
        <w:t xml:space="preserve"> путем информационного взаимодействия, в том числе с </w:t>
      </w:r>
      <w:r w:rsidRPr="00910F6D">
        <w:rPr>
          <w:rFonts w:ascii="Times New Roman" w:eastAsia="Times New Roman" w:hAnsi="Times New Roman" w:cs="Times New Roman"/>
          <w:color w:val="222222"/>
          <w:sz w:val="27"/>
          <w:szCs w:val="27"/>
          <w:lang w:eastAsia="ru-RU"/>
        </w:rPr>
        <w:lastRenderedPageBreak/>
        <w:t>применением телемедицинских технологий при дистанционном взаимодействии медицинских работников между собой;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xml:space="preserve">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w:t>
      </w:r>
      <w:r w:rsidRPr="00910F6D">
        <w:rPr>
          <w:rFonts w:ascii="Times New Roman" w:eastAsia="Times New Roman" w:hAnsi="Times New Roman" w:cs="Times New Roman"/>
          <w:color w:val="222222"/>
          <w:sz w:val="27"/>
          <w:szCs w:val="27"/>
          <w:lang w:eastAsia="ru-RU"/>
        </w:rPr>
        <w:lastRenderedPageBreak/>
        <w:t>показаниям, предусмотренным положением об организации оказания специализированной, в том числе высокотехнологичной, медицинской помощи.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xml:space="preserve">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w:t>
      </w:r>
      <w:r w:rsidRPr="00910F6D">
        <w:rPr>
          <w:rFonts w:ascii="Times New Roman" w:eastAsia="Times New Roman" w:hAnsi="Times New Roman" w:cs="Times New Roman"/>
          <w:color w:val="222222"/>
          <w:sz w:val="27"/>
          <w:szCs w:val="27"/>
          <w:lang w:eastAsia="ru-RU"/>
        </w:rPr>
        <w:lastRenderedPageBreak/>
        <w:t>необходимости применения дополнительно других методов специализированного противоопухолевого лечения.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экстренной или неотложной форме являются: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 наличие осложнений лечения (хирургическое вмешательство, ЛТ, лекарственная терапия и т.д.) онкологического заболевания.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плановой форме являются: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Показаниями к выписке пациента из медицинской организации являются: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Факторами, влияющими на прогноз заболевания, являются: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размеры и распространенность первичной опухоли;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степень дифференцировки опухоли;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статус регионарных ЛУ (рN) (метастазы в ЛУ шеи вдвое снижают выживаемость пациентов)</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экстранодальное распространение опухоли;</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722"/>
        <w:gridCol w:w="2478"/>
      </w:tblGrid>
      <w:tr w:rsidR="00910F6D" w:rsidRPr="00910F6D" w:rsidTr="00910F6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Оценка выполнения</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Выполнена эндоскопическая эндоназальная ревизия полости носа, носоглотки с взятием биоптатов и мазков отпечатков с поверхности эрозий, изъязвлений при подозрении на рак носоглотки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 </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 </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Да/Нет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Выполнена пункция измененных регионарных лимфоузлов с последующим цитологическим исследованием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Да/Нет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Выполнено МРТ и/или КТ лицевого отдела черепа и шеи с внутривенным контрастированием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Да/Нет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Выполнена КТ органов грудной полости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Да/Нет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Выполнена ПЭТ-КТ с 18F-ФДГ при подозрении на диссеминированный процесс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Да/Нет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Выполнена ПЭТ-КТ с 18F-ФДГ после ЛТ/ХЛТ для оценки степени резорбции регионарных метастазов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Да/Нет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Выполнено определение ДНК вируса Эпштейн- Барра (Epstein-Barr virus) методом ПЦР (количественное исследование) или определение антител классов M, G (IgG, IgM) к вирусу Эпштейн-Барра (Epstein-Barr virus) в крови методом ПЦР при раке носоглотки или подозрении</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на рак носоглотки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Да/Нет</w:t>
            </w:r>
          </w:p>
        </w:tc>
      </w:tr>
    </w:tbl>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Список литературы</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Давыдов М.И. Энциклопедия клинической онкологии. М.: ООО «РЛС2004»; 2004</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NCCN Clinical Practice Guidelines in Oncology (NCCN Guidelines®). Cancer of the Nasopharynx. Version 2.2023</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Гурцевич В.Э., Сенюта Н.Б., Кондратова В.Н., Гончарова Е.В., Игнатова А.В., Ломая М.В., Кропотов М.А., Мудунов А.М., Лихтенштейн А.В. Диагностическая значимость уровней ДНК и антител к капсидному антигену вируса Эпштейна–Барр в плазме крови больных раком носоглотки в неэндемическом регионе. Успехи молекулярной онкологии 2015;2(2):56–62</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Каприн А. Д. Злокачественные новообразования в России в 2021 году (заболеваемость и смертность) / А. Д. Каприн [и др]. — 2020: ФГБУ «МНИОИ им П.А. Герцена» Минздрава России, 2022.</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Lo Y.M., Chan L.Y., Lo K.W., Leung S.F., Zhang J., Chan A.T. et al. Quantitative analysis of cell-free Epstein Barr virus DNA in plasma of patients with nasopharyngeal carcinoma. Cancer Res 1999;59(6):1188–1191</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Dogan S., Hedberg M.L., Ferris R.L. et al. Human papillomavirus and Epstein–Barr virus in nasopharyngeal carcinoma in a low-incidence population. Head Neck 2014;36:511–516</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Zhang W., Chen Y., Chen L. et al. The clinical utility of plasma Epstein–Barr virus DNA assays in nasopharyngeal carcinoma: the dawn of a new era?: a systematic review and meta-analysis of 7836 cases. Medicine (Baltimore) 2015;94:e845</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Lin J.C., Wang W.Y., Chen K.Y. et al. Quantification of plasma Epstein–Barr virus DNA in patients with advanced nasopharyngeal carcinoma. N Engl J Med 2004;350:2461– 2470</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Lin J.C., Wang W.Y., Liang W.M. et al. Long-term prognostic effects of plasma Epstein– Barr virus DNA by minor groove binder-probe real-time quantitative; PCR on nasopharyngeal carcinoma patients receiving concurrent chemoradiotherapy. Int J Radiat Oncol Biol Phys 2007;68:1342–1348</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Prayongrat A., Chakkabat C., Kannarunimit D. et al. Prevalence and significance of plasma Epstein–Barr Virus DNA level in nasopharyngeal carcinoma. J Radiat Res 2017;58:509–516</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Leung S.F., Chan A.T., Zee B. et al. Pretherapy quantitative measurement of circulating Epstein–Barr virus DNA is predictive of posttherapy distant failure in patients with early-stage nasopharyngeal carcinoma of undifferentiated type. Cancer 2003;98:288– 291</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Leung S.F., Chan K.C., Ma B.B. et al. Plasma Epstein–Barr viral DNA load at midpoint of radiotherapy course predicts outcome in advanced-stage nasopharyngeal carcinoma. Ann Oncol 2014;25:1204–1208</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Gulley M.L. Molecular diagnosis of Epstein–Barr virus-related diseases. J Mol Diagn 2001;3:1–10</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Bossi P, Chan AT, Licitra L, Trama A, Orlandi E, Hui EP, Halámková J, Mattheis S, Baujat B, Hardillo J, Smeele L, van Herpen C, Castro A, Machiels JP; ESMO Guidelines Committee. Electronic address: clinicalguidelines@esmo.org; EURACAN. Nasopharyngeal carcinoma: ESMO-EURACAN Clinical Practice Guidelines for diagnosis, treatment and follow-up†. Ann Oncol. 2021 Apr;32(4):452-465. doi: 10.1016/j.annonc.2020.12.007.</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ESMO NPC: The best imaging for detecting distant metastases is FDG-PET in terms of sensitivity and specificity, and it is recommended at least in locally advanced disease</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Lee AW, Ng WT, Pan JJ, Poh SS, Ahn YC, AlHussain H, Corry J, Grau C, Grégoire V, Harrington KJ, Hu CS, Kwong DL, Langendijk JA, Le QT, Lee NY, Lin JC, Lu TX, Mendenhall WM, O"Sullivan B, Ozyar E, Peters LJ, Rosenthal DI, Soong YL, Tao Y, Yom SS, Wee JT. International guideline for the delineation of the clinical target volumes (CTV) for nasopharyngeal carcinoma. Radiother Oncol. 2018 Jan;126(1):25-36. doi: 10.1016/j.radonc.2017.10.032</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Hung GU, Wu IS, Lee HS, You WC, Chen HC, Chen MK. Primary tumor volume measured by FDG PET and CT in nasopharyngeal carcinoma. Clin Nucl Med 2011; 36:447–451</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J.-P. Machiels, C. René Leemans, W. Golusinski, C. Grau, L. Licitra &amp; V. Gregoire, on behalf of the EHNS Executive Board, ESMO Guidelines Committee and ESTRO Executive Board / Squamous cell carcinoma of the oral cavity, larynx, oropharynx and hypopharynx: EHNS-ESMO-ESTRO Clinical Practice Guidelines for diagnosis, treatment and follow-up. – Annals of oncology – Oct.2020</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ESMO NPC: PET imaging may be used in cases of equivocal imaging results. Sensitivity of MRI and PET are similar, whereas the specificity of PET is higher and so helps to differentiate between post-irradiation changes and recurrent tumours</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Mehanna H, Wong WL, McConkey CC, Rahman JK, Robinson M, Hartley AG, Nutting C, Powell N, Al-Booz H, Robinson M, Junor E, Rizwanullah M, von Zeidler SV, Wieshmann H, Hulme C, Smith AF, Hall P, Dunn J., PET-NECK Trial Management Group. PET-CT Surveillance versus Neck Dissection in Advanced Head and Neck Cancer. N Engl J Med. 2016 Apr 14;374(15):1444-54</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Blanchard P., Lee A., Marguet S. et al. Chemotherapy and radiotherapy in nasopharyngeal carcinoma: an update of the MAC-NPC meta-analysis. Lancet Oncol 2015;16:645–655</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Zhang Y., Li W.F., Liu X. et al. Nomogram to predict the benefit of additional induction chemotherapy to concurrent chemoradiotherapy in locoregionally advanced nasopharyngeal carcinoma: Analysis of a multicenter, phase III randomized trial. Radiother Oncol 2017</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Ribassin-Majed L., Marguet S., Lee A.W. et al. What is the best treatment of locally advanced nasopharyngeal carcinoma? An individual patient data network meta-analysis. J Clin Oncol 2016:Jco2016674119</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Jin Y., Cai X.Y., Shi Y.X. et al. Comparison of five cisplatin-based regimens frequently used as the first-line protocols in metastatic nasopharyngeal carcinoma. J Cancer Res Clin Oncol 2012 Oct;138(10):1717–25</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Zhang L., Huang Y., Hong S. et al. Gemcitabine plus cisplatin versus fluorouracil plus cisplatin in recurrent or metastatic nasopharyngeal carcinoma: a multicentre, randomised, open-label, phase 3 trial. Lancet 2016;388:1883–1892</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Ward MC, Riaz N, Caudell JJ, et al. Refining patient selection for reirradiation of head and neck squamous carcinoma in the IMRT era: A multi-institution cohort study by the MIRI Collaborative. Int J Radiat Oncol 2018;100:586-594</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Boero IJ, Paravati AJ, Xu B, Cohen EE, Mell LK, Le QT, Murphy JD. Importance of Radiation Oncologist Experience Among Patients With Head-and-Neck Cancer Treated With Intensity-Modulated Radiation Therapy. J Clin Oncol. 2016 Mar 1;34(7):684-90. doi: 10.1200/JCO.2015.63.9898. Epub 2016 Jan 4. PMID: 26729432; PMCID: PMC4872027</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Lee N., Xia P., Quivey J.M., Sultanem K. et al. Intensity-modulated radiotherapy in the treatment of nasopharyngeal carcinoma: an update of the UCSF experience. Int J Radiat Oncol Biol Phys 2002 May 1;53(1):12–22</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Laskar S., Bahl G., Muckaden M., Pai S.K., Gupta T., Banavali S. et al. Nasopharyngeal carcinoma in children: comparison of conventional and intensity-modulated radiotherapy. Int J Radiat Oncol Biol Phys 2008 Nov 1;72(3):728–36</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Терапевтическая радиология: национальное руководство. Под ред. А.Д. Каприна, Ю.С. Мардынского. М.: ГЭОТАР-Медиа, 2018</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Болотина Л. В., Владимирова Л. Ю., Деньгина Н. В., Новик А. В., Романов И. С. Практические рекомендации по лечению злокачественных опухолей головы и шеи // Злокачественные опухоли: Практические рекомендации RUSSCO #3s2, 2018 (том 8). С. 71–82</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Lacas B, Bourhis J, Overgaard J, et al. Role of radiotherapy fractionation in head and neck cancers (MARCH): an updated meta-analysis. Lancet Oncol 2017;18:1221-1237.</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Paris KJ, Spanos WJ Jr, Lindberg RD, et al. Phase I-II study of multiple daily fractions for palliation of advanced head and neck malignancies. Int J Radiat Oncol Biol Phys 1993;25:657-660</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Jae-Sook Ahn, Sang-Hee Cho, Ok-Ki Kim et al. The Efficacy of an Induction Chemotherapy Combination with Docetaxel, Cisplatin, and 5-FU Followed by Concurrent Chemoradiotherapy in Advanced Head and Neck Cancer. Cancer Res Treat. 2007 Sep; 39(3): 93–98</w:t>
      </w:r>
    </w:p>
    <w:p w:rsidR="00910F6D" w:rsidRPr="00910F6D" w:rsidRDefault="00910F6D" w:rsidP="00910F6D">
      <w:pPr>
        <w:numPr>
          <w:ilvl w:val="0"/>
          <w:numId w:val="58"/>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Daniel T.T. Chua, Jonathan S.T. Sham, Gordon K.H. Au, A phase II study of docetaxel and cisplatin as first-line chemotherapy in patients with metastatic nasopharyngeal carcinoma, Oral Oncology, Volume 41, Issue 6, 2005, Pages 589-595, ISSN 1368-8375, </w:t>
      </w:r>
      <w:hyperlink r:id="rId6" w:history="1">
        <w:r w:rsidRPr="00910F6D">
          <w:rPr>
            <w:rFonts w:ascii="Times New Roman" w:eastAsia="Times New Roman" w:hAnsi="Times New Roman" w:cs="Times New Roman"/>
            <w:color w:val="1976D2"/>
            <w:sz w:val="27"/>
            <w:szCs w:val="27"/>
            <w:u w:val="single"/>
            <w:lang w:eastAsia="ru-RU"/>
          </w:rPr>
          <w:t>https://doi.org/10.1016/j.oraloncology.2005.01.008</w:t>
        </w:r>
      </w:hyperlink>
      <w:r w:rsidRPr="00910F6D">
        <w:rPr>
          <w:rFonts w:ascii="Times New Roman" w:eastAsia="Times New Roman" w:hAnsi="Times New Roman" w:cs="Times New Roman"/>
          <w:i/>
          <w:iCs/>
          <w:color w:val="333333"/>
          <w:sz w:val="27"/>
          <w:szCs w:val="27"/>
          <w:lang w:eastAsia="ru-RU"/>
        </w:rPr>
        <w:t>.(</w:t>
      </w:r>
      <w:hyperlink r:id="rId7" w:history="1">
        <w:r w:rsidRPr="00910F6D">
          <w:rPr>
            <w:rFonts w:ascii="Times New Roman" w:eastAsia="Times New Roman" w:hAnsi="Times New Roman" w:cs="Times New Roman"/>
            <w:color w:val="1976D2"/>
            <w:sz w:val="27"/>
            <w:szCs w:val="27"/>
            <w:u w:val="single"/>
            <w:lang w:eastAsia="ru-RU"/>
          </w:rPr>
          <w:t>https://www.sciencedirect.com/science/article/pii/S1368837505000540</w:t>
        </w:r>
      </w:hyperlink>
      <w:r w:rsidRPr="00910F6D">
        <w:rPr>
          <w:rFonts w:ascii="Times New Roman" w:eastAsia="Times New Roman" w:hAnsi="Times New Roman" w:cs="Times New Roman"/>
          <w:i/>
          <w:iCs/>
          <w:color w:val="333333"/>
          <w:sz w:val="27"/>
          <w:szCs w:val="27"/>
          <w:lang w:eastAsia="ru-RU"/>
        </w:rPr>
        <w:t>)</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Gibson, M. K., Li, Y., Murphy, B., Hussain, M. H. A., DeConti, R. C., Ensley, J., &amp; Forastiere, A. A. (2005). Randomized Phase III Evaluation of Cisplatin Plus Fluorouracil Versus Cisplatin Plus Paclitaxel in Advanced Head and Neck Cancer (E1395): An Intergroup Trial of the Eastern Cooperative Oncology Group. Journal of Clinical Oncology, 23(15), 3562–3567</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Zhang Y, Chen L, Hu GQ, et al. Gemcitabine and cisplatin induction chemotherapy in nasopharyngeal carcinoma. N Engl J Med 2019;381:1124-1135.</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Jacobs, C., Lyman, G., Velez-García, E. et al (1992). A phase III randomized study comparing cisplatin and fluorouracil as single agents and in combination for advanced  squamous cell carcinoma of the head and neck. Journal of Clinical Oncology, 10(2), 257–263</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Grau, J. josé, Caballero, M., et al (2009). Weekly paclitaxel for platin-resistant stage IV head and neck cancer patients. Acta Oto-Laryngologica, 129(11), 1294–1299</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Catimel, G., Verweij, J., Mattijssen, V., et al (1994). Docetaxel (Taxotere®): An active drug for the treatment of patients with advanced squamous cell carcinoma of the head and neck. Annals of Oncology, 5(6), 533–537</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Guardiola, E., Peyrade, F., Chaigneau, L. et al (2004). Results of a randomised phase II study comparing docetaxel with methotrexate in patients with recurrent head and neck cancer. European Journal of Cancer, 40(14), 2071–2076</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Martinez-Trufero J., Isla D., Adansa J.C. et al. Phase II study of capecitabine as palliative treatment for patients with recurrent and metastatic squamous head and neck cancer after previous platinum-based treatment. Br J Cancer 2010;102:1687-91</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Zhang L, Zhang Y, Huang P-Y, et al. Phase II clinical study of gemcitabine in the treatment of patients with advanced nasopharyngeal carcinoma after the failure of platinum-based chemotherapy. Cancer Chemother Pharmacol 2008;61:33-38</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Seiwert T.Y., Burtness B., Mehra R. et al. Safety and clinical activity of pembrolizumab for treatment of recurrent or metastatic squamous cell carcinoma of the head and neck (KEYNOTE-012): an open-label, multicentre, phase 1b trial. Lancet Oncol 2016;17:956– 965</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Chow L.Q., Haddad R., Gupta S. et al. Antitumor activity of pembrolizumab in biomarker-unselected patients with recurrent and / or metastatic head and neck squamous cell carcinoma: results from the phase Ib KEYNOTE-012 expansion cohort. J Clin Oncol 2016;34:3838–3845</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Hsu C., Lee S.H., Ejadi S. et al. Safety and antitumor activity of pembrolizumab in patients with programmed death-ligand 1-positive nasopharyngeal carcinoma: results of the KEYNOTE-028 study. J Clin Oncol 2017;35:4050–4056</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Sittel C, Gossmann A, Jungehu¨lsing M, Za¨hringer M. Superselective embolization as palliative treatment of recurrent hemorrhage in advanced carcinoma of the head and neck. Ann Otol Rhinol Laryngol. 2001;110(12):1126-1128.</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Clarke P., Radford K., Coffey M., Stewart M. Speech and swallow rehabilitation in head and neck cancer: United Kingdom National Multidisciplinary Guidelines. J Laryngol Otol 2016;130(S2):S176–80</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Сытов А. В., Лейдерман И. Н., Ломидзе С. В., Нехаев И. В., Хотеев А. Ж. Практические рекомендации по нутритивной поддержке онкологических больных // Злокачественные опухоли: Практические рекомендации RUSSCO #3s2, 2018 (том 8). С. 575–583</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Zhao, S. G., Alexander, N. B., Djuric, Z., et al (2015). Maintaining physical activity during head and neck cancer treatment: Results of a pilot controlled trial. Head &amp; Neck, 38(S1), E1086–E1096</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Segal R., Zwaal C., Green E. et al. Exercise for people with cancer: a systematic review. Curr Oncol. 2017 Aug; 24(4): e290–e31</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Samuel S.R., Maiya G.A., Fernandes D.J. et al. Effectiveness of exercise-based rehabilitation on functional capacity and quality of life in head and neck cancer patients receiving chemo-radiotherapy. Support Care Cancer 2019</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Mustian K.M., Alfano C.M., Heckler C. et al: Comparison of pharmaceutical, psychological, and exercise treatments for cancer-related fatigue: a meta-analysis. JAMA Oncol 2017;3:961–8</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Kinkead B., Schettler P.J., Larson E.R. et al. Massage therapy decreases cancer-related fatigue: results from a randomized early phase trial. Cancer 2018;124(3):546–54</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Streckmann F., Zopf E.M., Lehmann H.C. et al: Exercise intervention studies in patients with peripheral neuropathy: a systematic review. Sports Med 2014;44:1289–304</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Lee J.M., Look R.M., Turner C. et al. Low-level laser therapy for chemotherapy-induced peripheral neuropathy. J Clin Oncol 2012;30(15):9019</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Rick O., von Hehn U., Mikus E. et al. Magnetic field therapy in patients with cytostatics- induced polyneuropathy: a prospective randomized placebo–controlled phase-III study. Bioelectromagnetics 2016:38(2):85–94</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Oberoi S., Zamperlini-Netto G., Beyene J. et al. Effect of prophylactic low level laser therapy on oral mucositis: a systematic review and meta-analysis. PLoS One 2014;9(9):e107418</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He M., Zhang B., Shen N., Wu N., Sun J. A systematic review and meta-analysis of the effect of low-level laser therapy (LLLT) on chemotherapy-induced oral mucositis in pediatric and young patients. Eur J Pediatr 2018;177(1):7–17</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Ross M., Fischer-Cartlidge E. Scalp cooling: a literature review of efficacy, safety, and tolerability for chemotherapy-induced alopecia. Clin J Oncol Nurs 2017;21(2):226–33</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Avci P., Gupta G.K., Clark J. et al. Low-level laser (light) therapy (LLLT) for treatment of hair loss. Lasers Surg Med 2013;46(2):144–51</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Bensadoun R.J., Nair R.G. Low-level laser therapy in the management of mucositis and dermatitis induced by cancer therapy. Photomed Laser Surg 2015;33(10):487–91</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Roopashri G. Radiotherapy and chemotherapy induced oral mucositis – prevention and current therapeutic modalities. IJDA 2010;2:174–9</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Сопроводительная терапия в онкологии. Практическое руководство. Под ред. С.Ю. Мооркрафта, Д.Л.Ю. Ли, Д. Каннингэма. Пер. с англ. Под ред. А.Д. Каприна. М.: Гэотар, 2016. 432 c</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Rosenthal D.I., Trotti A. Strategies for managing radiation-induced mucositis in head and neck cancer. Semin Radiat Oncol 2009;19:29–34</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Pauloski B.R. Rehabilitation of dysphagia following head and neck cancer. Phys Med Rehabil Clin N Am 2008;9:889‒928</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Arends J. et al. Cancer cachexia in adult patients: ESMO Clinical Practice Guidelines. 2021.</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Duguet A., Bachmann P., Lallemand Y. Summary report of the standards, options and recommendations for malnutrition and nutritional assessment in patients with cancer. Br J Cancer 2003;89(1):92–7.</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Снеговой А.В., Лейдерман И.Н., Салтанов А.И., Стрельчук В.Ю. Основные принципы и технологии клинического питания в онкологии: Методическое руководство для врачей. М., 2006.</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Bozzetti F., Bozzetti V. Efficacy of enteral and parenteral nutrition in cancer patients. Nestle Nutr Workshop Ser Clin Perform Programme 2005;10:127–39.</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Roopashri G. Radiotherapy and chemotherapy induced oral mucositis – prevention and current therapeutic modalities. IJDA 2010;2:174–9.</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Сопроводительная терапия в онкологии. Практическое руководство. Под ред. С.Ю. Мооркрафта, Д.Л.Ю. Ли, Д. Каннингэма. Пер. с англ. Под ред. А.Д. Каприна. М.: Гэотар, 2016. 432 с.].</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Rosenthal D.I., Trotti A. Strategies for managing radiation-induced mucositis in head and neck cancer. Semin Radiat Oncol 2009;19:29–34. Pauloski B.R. Rehabilitation of dysphagia following head and neck cancer. Phys Med Rehabil Clin N Am 2008;9:889‒928</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Muscaritoli M. et. al. ESPEN practical guideline: Clinical Nutrition in cancer. Clinical Nutrition 40 (2021) 2898-2913.</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Murdoch-Kinch CA, Zwetchkenbaum S. Dental management of the head and neck cancer patient treated with radiation therapy. J Mich Dent Assoc 2011;93:28-37;</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Epstein JB, Thariat J, Bensadoun RJ, et al. Oral complications of cancer and cancer therapy: from cancer treatment to survivorship. CA Cancer J Clin 2012;62:400-422.</w:t>
      </w:r>
    </w:p>
    <w:p w:rsidR="00910F6D" w:rsidRPr="00910F6D" w:rsidRDefault="00910F6D" w:rsidP="00910F6D">
      <w:pPr>
        <w:numPr>
          <w:ilvl w:val="0"/>
          <w:numId w:val="58"/>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Каприн А.Д., Абузарова Г.Р., с соавт. Новые клинические рекомендации Всемирной организации здравоохранения по терапии онкологической боли у взрослых и подростков. Исследования и практика в медицине. 2021;8(2):90-108. </w:t>
      </w:r>
      <w:hyperlink r:id="rId8" w:history="1">
        <w:r w:rsidRPr="00910F6D">
          <w:rPr>
            <w:rFonts w:ascii="Times New Roman" w:eastAsia="Times New Roman" w:hAnsi="Times New Roman" w:cs="Times New Roman"/>
            <w:color w:val="1976D2"/>
            <w:sz w:val="27"/>
            <w:szCs w:val="27"/>
            <w:u w:val="single"/>
            <w:lang w:eastAsia="ru-RU"/>
          </w:rPr>
          <w:t>https://doi.org/10.17709/2410-1893-2021-8-2-9</w:t>
        </w:r>
      </w:hyperlink>
      <w:r w:rsidRPr="00910F6D">
        <w:rPr>
          <w:rFonts w:ascii="Times New Roman" w:eastAsia="Times New Roman" w:hAnsi="Times New Roman" w:cs="Times New Roman"/>
          <w:color w:val="222222"/>
          <w:sz w:val="27"/>
          <w:szCs w:val="27"/>
          <w:lang w:eastAsia="ru-RU"/>
        </w:rPr>
        <w:t>.].</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Oberoi S., Zamperlini-Netto G., Beyene J. et al. Effect of prophylactic low level laser therapy on oral mucositis: a systematic review and meta-analysis. PLoS One 2014;9(9):e107418</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He M., Zhang B., Shen N., Wu N., Sun J. A systematic review and meta-analysis of the effect of low-level laser therapy (LLLT) on chemotherapy-induced oral mucositis in pediatric and young patients. Eur J Pediatr 2018;177(1):7–17</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Self EM, Bumpous J, Ziegler C, Wilson L, Potts K. Risk factors for hemorrhage after chemoradiation for oropharyngeal squamous cell carcinoma. JAMA Otolaryngol Head Neck Surg. 2013 Apr;139(4):356-61. doi: 10.1001/jamaoto.2013.103. PMID: 23599070.</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TaunkNK, HafftyBG, Kostis JB, Goyal S. Radiation-induced heart disease: pathologic abnormalities and putative mechanisms. Front Oncol. 2015 Feb 18;5:39. doi: 10.3389/fonc.2015.00039. PMID: 25741474; PMCID: PMC4332338.(Self EM, Bumpous J, Ziegler C, Wilson L, Potts K. Risk factors for hemorrhage after chemoradiation for oropharyngeal squamous cell carcinoma. JAMA Otolaryngol Head Neck Surg. 2013 Apr;139(4):356-61. doi: 10.1001/jamaoto.2013.103. PMID: 23599070.)</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Sittel C, Gossmann A, Jungehu¨lsing M, Za¨hringer M. Superselective embolization as palliative treatment of recurrent hemorrhage in advanced carcinoma of the head and neck. Ann Otol Rhinol Laryngol. 2001;110(12):1126-1128.</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Kumra V, Vastola AP, Keiserman S, Lucente FE. Spontaneous tonsillar hemorrhage. Otolaryngol Head Neck Surg. 2001;124(1):51-52.</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Smith TP. Embolization in the external carotid artery. J VascIntervRadiol. 2006 Dec;17(12):1897-912; quiz 1913. doi: 10.1097/01.RVI.0000247301.64269.27. PMID: 17185685.</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Kumar T, Yadav V, Ravi K, Ramaswamy K, Patel MH, Kothari K. External Carotid Artery Ligation in Squamous Cell Carcinomas of the Oral Cavity and Oropharynx: an Oncological Emergency. Indian J Surg. 2015 Dec;77(Suppl 3):850-2. doi: 10.1007/s12262-014-1035-4. Epub2014 Jan 23. PMID: 27011469; PMCID: PMC4775627</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Yan L. et al. Are PD-1 inhibitors effective for recurrent/metastatic nasopharyngeal carcinoma? Meta-analysis and sys-tematic review //Frontiers in Pharmacology. – 2023. – Т. 13. – С. 1095734.</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Safety and antitumor activity of pembrolizumab in patients with programmed death-ligand 1-positive nasopharyngeal carcinoma: results of the KEYNOTE-028 study. J Clin Oncol 2017;35:4050-4056</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Chitapanarux I, Lorvidhaya V, Kamnerdsupaphon P, et al. Systemic therapy/RT comparing cisplatin versus carboplatin in locally advanced nasopharyngeal cancer: randomised, non-inferiority, open trial. Eur J Cancer 2007;43:1399-1406.</w:t>
      </w:r>
    </w:p>
    <w:p w:rsidR="00910F6D" w:rsidRPr="00910F6D" w:rsidRDefault="00910F6D" w:rsidP="00910F6D">
      <w:pPr>
        <w:numPr>
          <w:ilvl w:val="0"/>
          <w:numId w:val="58"/>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Al-Sarraf M, LeBlanc M, Giri PG, et al. Chemoradiotherapy versus radiotherapy in patients with advanced nasopharyngeal cancer: phase III randomized Intergroup study 0099. J Clin Oncol 1998;16:1310-1317</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Поляков Андрей Павлович</w:t>
      </w:r>
      <w:r w:rsidRPr="00910F6D">
        <w:rPr>
          <w:rFonts w:ascii="Times New Roman" w:eastAsia="Times New Roman" w:hAnsi="Times New Roman" w:cs="Times New Roman"/>
          <w:color w:val="222222"/>
          <w:sz w:val="27"/>
          <w:szCs w:val="27"/>
          <w:lang w:eastAsia="ru-RU"/>
        </w:rPr>
        <w:t>, д.м.н., профессор, заведующий отделом опухолей головы, шеи и микрохирургии МНИОИ им. П.А. Герцена – филиал ФГБУ «НМИЦ радиологии» Минздрава России, член Общероссийской общественной организации «Российское общество специалистов по опухолям головы и шеи»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Агабабян Татев Артаковна</w:t>
      </w:r>
      <w:r w:rsidRPr="00910F6D">
        <w:rPr>
          <w:rFonts w:ascii="Times New Roman" w:eastAsia="Times New Roman" w:hAnsi="Times New Roman" w:cs="Times New Roman"/>
          <w:color w:val="222222"/>
          <w:sz w:val="27"/>
          <w:szCs w:val="27"/>
          <w:lang w:eastAsia="ru-RU"/>
        </w:rPr>
        <w:t>, заведующая отделением лучевой диагностики МРНЦ им. А.Ф. Цыба –​ филиала ФГБУ «НМИЦ радиологии» Минздрава России, к.м.н., Обнинск https://orcid.org/0000-0002-9971-3451</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Алиева Севил Багатуровна</w:t>
      </w:r>
      <w:r w:rsidRPr="00910F6D">
        <w:rPr>
          <w:rFonts w:ascii="Times New Roman" w:eastAsia="Times New Roman" w:hAnsi="Times New Roman" w:cs="Times New Roman"/>
          <w:color w:val="222222"/>
          <w:sz w:val="27"/>
          <w:szCs w:val="27"/>
          <w:lang w:eastAsia="ru-RU"/>
        </w:rPr>
        <w:t>, д.м.н., ведущий научный сотрудник отделения радиационной онкологии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Алымов Юрий Владимирович</w:t>
      </w:r>
      <w:r w:rsidRPr="00910F6D">
        <w:rPr>
          <w:rFonts w:ascii="Times New Roman" w:eastAsia="Times New Roman" w:hAnsi="Times New Roman" w:cs="Times New Roman"/>
          <w:color w:val="222222"/>
          <w:sz w:val="27"/>
          <w:szCs w:val="27"/>
          <w:lang w:eastAsia="ru-RU"/>
        </w:rPr>
        <w:t>, к.м.н., врач-онколог отделения хирургических методов лечения №5 (эндокринной онкологии) НИИ клинической онкологии им. Н.Н. Трапезникова ФГБУ «НМИЦ онкологии им. Н.Н. Блохина» Минздрава России, исполнительный директор Общероссийской общественной организации «Российское общество специалистов по опухолям головы и шеи»; ORCID: </w:t>
      </w:r>
      <w:hyperlink r:id="rId9" w:history="1">
        <w:r w:rsidRPr="00910F6D">
          <w:rPr>
            <w:rFonts w:ascii="Times New Roman" w:eastAsia="Times New Roman" w:hAnsi="Times New Roman" w:cs="Times New Roman"/>
            <w:color w:val="1976D2"/>
            <w:sz w:val="27"/>
            <w:szCs w:val="27"/>
            <w:u w:val="single"/>
            <w:lang w:eastAsia="ru-RU"/>
          </w:rPr>
          <w:t>https://orcid.org/0000-0002-6851-9867</w:t>
        </w:r>
      </w:hyperlink>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lastRenderedPageBreak/>
        <w:t>Артемьева Анна Сергеевна, к.м.н., </w:t>
      </w:r>
      <w:r w:rsidRPr="00910F6D">
        <w:rPr>
          <w:rFonts w:ascii="Times New Roman" w:eastAsia="Times New Roman" w:hAnsi="Times New Roman" w:cs="Times New Roman"/>
          <w:color w:val="222222"/>
          <w:sz w:val="27"/>
          <w:szCs w:val="27"/>
          <w:lang w:eastAsia="ru-RU"/>
        </w:rPr>
        <w:t>врач-патоморфолог, руководитель научной лаборатории морфологии опухолей ФГБУ «НМИЦ онкологии им. Н.Н. Петрова» Минздрава России, доцент отделения дополнительного профессионального образования НМИЦ онкологии им. Н.Н. Петрова</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Бойко Анна Владимировна</w:t>
      </w:r>
      <w:r w:rsidRPr="00910F6D">
        <w:rPr>
          <w:rFonts w:ascii="Times New Roman" w:eastAsia="Times New Roman" w:hAnsi="Times New Roman" w:cs="Times New Roman"/>
          <w:color w:val="222222"/>
          <w:sz w:val="27"/>
          <w:szCs w:val="27"/>
          <w:lang w:eastAsia="ru-RU"/>
        </w:rPr>
        <w:t>, д.м.н., профессор, заведующая отделением лучевой терапии с модификацией МНИОИ им. П.А. Герцена – филиала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Болотин Михаил Викторович</w:t>
      </w:r>
      <w:r w:rsidRPr="00910F6D">
        <w:rPr>
          <w:rFonts w:ascii="Times New Roman" w:eastAsia="Times New Roman" w:hAnsi="Times New Roman" w:cs="Times New Roman"/>
          <w:color w:val="222222"/>
          <w:sz w:val="27"/>
          <w:szCs w:val="27"/>
          <w:lang w:eastAsia="ru-RU"/>
        </w:rPr>
        <w:t>, к.м.н., научный сотрудник отделения хирургического № 11 опухолей верхних дыхательно-пищеварительных путей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Болотина Лариса Владимировна</w:t>
      </w:r>
      <w:r w:rsidRPr="00910F6D">
        <w:rPr>
          <w:rFonts w:ascii="Times New Roman" w:eastAsia="Times New Roman" w:hAnsi="Times New Roman" w:cs="Times New Roman"/>
          <w:color w:val="222222"/>
          <w:sz w:val="27"/>
          <w:szCs w:val="27"/>
          <w:lang w:eastAsia="ru-RU"/>
        </w:rPr>
        <w:t>, д.м.н., доцент РАН, заведующая отделением химиотерапии МНИОИ им. П.А. Герцена – филиала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Виноградов Вячеслав Вячеславович</w:t>
      </w:r>
      <w:r w:rsidRPr="00910F6D">
        <w:rPr>
          <w:rFonts w:ascii="Times New Roman" w:eastAsia="Times New Roman" w:hAnsi="Times New Roman" w:cs="Times New Roman"/>
          <w:color w:val="222222"/>
          <w:sz w:val="27"/>
          <w:szCs w:val="27"/>
          <w:lang w:eastAsia="ru-RU"/>
        </w:rPr>
        <w:t>, д.м.н., профессор, руководитель научно-клинического отдела лор-онкологии ФГБУ «Научно-клинический центр оториноларингологии» ФМБА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Владимирова Любовь Юрьевна, </w:t>
      </w:r>
      <w:r w:rsidRPr="00910F6D">
        <w:rPr>
          <w:rFonts w:ascii="Times New Roman" w:eastAsia="Times New Roman" w:hAnsi="Times New Roman" w:cs="Times New Roman"/>
          <w:color w:val="222222"/>
          <w:sz w:val="27"/>
          <w:szCs w:val="27"/>
          <w:lang w:eastAsia="ru-RU"/>
        </w:rPr>
        <w:t>д.м.н., профессор, руководитель отдела лекарственного лечения опухолей, ФГБУ «НМИЦ онкологии» МЗ РФ</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Геворков Артем Рубенович</w:t>
      </w:r>
      <w:r w:rsidRPr="00910F6D">
        <w:rPr>
          <w:rFonts w:ascii="Times New Roman" w:eastAsia="Times New Roman" w:hAnsi="Times New Roman" w:cs="Times New Roman"/>
          <w:color w:val="222222"/>
          <w:sz w:val="27"/>
          <w:szCs w:val="27"/>
          <w:lang w:eastAsia="ru-RU"/>
        </w:rPr>
        <w:t>, к.м.н., с.н.с., врач-радиотерапевт отделения лучевой терапии с модификацией МНИОИ им. П.А. Герцена – филиала ФГБУ «НМИЦ радиологии» Минздрава России, член Общероссийской общественной организации «Российское общество специалистов по опухолям головы и шеи»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Гиршович Михаил Маркович</w:t>
      </w:r>
      <w:r w:rsidRPr="00910F6D">
        <w:rPr>
          <w:rFonts w:ascii="Times New Roman" w:eastAsia="Times New Roman" w:hAnsi="Times New Roman" w:cs="Times New Roman"/>
          <w:color w:val="222222"/>
          <w:sz w:val="27"/>
          <w:szCs w:val="27"/>
          <w:lang w:eastAsia="ru-RU"/>
        </w:rPr>
        <w:t>, к.м.н., врач-радиотерапевт ФГБУ «НМИЦ онкологии им. Н.Н. Петрова» Минздрава России; </w:t>
      </w:r>
      <w:hyperlink r:id="rId10" w:history="1">
        <w:r w:rsidRPr="00910F6D">
          <w:rPr>
            <w:rFonts w:ascii="Times New Roman" w:eastAsia="Times New Roman" w:hAnsi="Times New Roman" w:cs="Times New Roman"/>
            <w:color w:val="1976D2"/>
            <w:sz w:val="27"/>
            <w:szCs w:val="27"/>
            <w:u w:val="single"/>
            <w:lang w:eastAsia="ru-RU"/>
          </w:rPr>
          <w:t>https://orcid.org/0000-0002-7925-9570</w:t>
        </w:r>
      </w:hyperlink>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Гулидов Игорь Александрович</w:t>
      </w:r>
      <w:r w:rsidRPr="00910F6D">
        <w:rPr>
          <w:rFonts w:ascii="Times New Roman" w:eastAsia="Times New Roman" w:hAnsi="Times New Roman" w:cs="Times New Roman"/>
          <w:color w:val="222222"/>
          <w:sz w:val="27"/>
          <w:szCs w:val="27"/>
          <w:lang w:eastAsia="ru-RU"/>
        </w:rPr>
        <w:t>, заведующий отделом лучевой терапии МРНЦ им. А.Ф. Цыба </w:t>
      </w:r>
      <w:r w:rsidRPr="00910F6D">
        <w:rPr>
          <w:rFonts w:ascii="Times New Roman" w:eastAsia="Times New Roman" w:hAnsi="Times New Roman" w:cs="Times New Roman"/>
          <w:b/>
          <w:bCs/>
          <w:color w:val="222222"/>
          <w:sz w:val="27"/>
          <w:szCs w:val="27"/>
          <w:lang w:eastAsia="ru-RU"/>
        </w:rPr>
        <w:t>–</w:t>
      </w:r>
      <w:r w:rsidRPr="00910F6D">
        <w:rPr>
          <w:rFonts w:ascii="Times New Roman" w:eastAsia="Times New Roman" w:hAnsi="Times New Roman" w:cs="Times New Roman"/>
          <w:color w:val="222222"/>
          <w:sz w:val="27"/>
          <w:szCs w:val="27"/>
          <w:lang w:eastAsia="ru-RU"/>
        </w:rPr>
        <w:t> филиал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Гузь Александр Олегович</w:t>
      </w:r>
      <w:r w:rsidRPr="00910F6D">
        <w:rPr>
          <w:rFonts w:ascii="Times New Roman" w:eastAsia="Times New Roman" w:hAnsi="Times New Roman" w:cs="Times New Roman"/>
          <w:color w:val="222222"/>
          <w:sz w:val="27"/>
          <w:szCs w:val="27"/>
          <w:lang w:eastAsia="ru-RU"/>
        </w:rPr>
        <w:t>, к.м.н., врач-онколог, заведующий отделением опухолей головы и шеи ГБУЗ «Челябинский областной клинический центр онкологии и ядерной медицины»</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Дайхес Николай Аркадьевич</w:t>
      </w:r>
      <w:r w:rsidRPr="00910F6D">
        <w:rPr>
          <w:rFonts w:ascii="Times New Roman" w:eastAsia="Times New Roman" w:hAnsi="Times New Roman" w:cs="Times New Roman"/>
          <w:color w:val="222222"/>
          <w:sz w:val="27"/>
          <w:szCs w:val="27"/>
          <w:lang w:eastAsia="ru-RU"/>
        </w:rPr>
        <w:t>, член-корр. РАН, д.м.н., профессор, директор ФГБУ «Научно-клинический центр оториноларингологии» ФМБА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lastRenderedPageBreak/>
        <w:t>Дронова Екатерина Леонидовна</w:t>
      </w:r>
      <w:r w:rsidRPr="00910F6D">
        <w:rPr>
          <w:rFonts w:ascii="Times New Roman" w:eastAsia="Times New Roman" w:hAnsi="Times New Roman" w:cs="Times New Roman"/>
          <w:color w:val="222222"/>
          <w:sz w:val="27"/>
          <w:szCs w:val="27"/>
          <w:lang w:eastAsia="ru-RU"/>
        </w:rPr>
        <w:t>, врач-радиолог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Енгибарян Марина Александровна</w:t>
      </w:r>
      <w:r w:rsidRPr="00910F6D">
        <w:rPr>
          <w:rFonts w:ascii="Times New Roman" w:eastAsia="Times New Roman" w:hAnsi="Times New Roman" w:cs="Times New Roman"/>
          <w:color w:val="222222"/>
          <w:sz w:val="27"/>
          <w:szCs w:val="27"/>
          <w:lang w:eastAsia="ru-RU"/>
        </w:rPr>
        <w:t>, д.м.н., заведующая отделением опухолей головы и шеи ФГБУ «НМИЦ онкологии» МЗ РФ, член Общероссийской общественной организации «Российское общество специалистов по опухолям головы и шеи».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Игнатова Анастасия Валерьевна</w:t>
      </w:r>
      <w:r w:rsidRPr="00910F6D">
        <w:rPr>
          <w:rFonts w:ascii="Times New Roman" w:eastAsia="Times New Roman" w:hAnsi="Times New Roman" w:cs="Times New Roman"/>
          <w:color w:val="222222"/>
          <w:sz w:val="27"/>
          <w:szCs w:val="27"/>
          <w:lang w:eastAsia="ru-RU"/>
        </w:rPr>
        <w:t>, к.м.н., врач-онколог отделения хирургических методов лечения №5 НИИ клинической онкологии им. Н.Н. Трапезникова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 ассистент кафедры общей и клинической стоматологии ФГАОУ ВО РУДН. ORCID: </w:t>
      </w:r>
      <w:hyperlink r:id="rId11" w:history="1">
        <w:r w:rsidRPr="00910F6D">
          <w:rPr>
            <w:rFonts w:ascii="Times New Roman" w:eastAsia="Times New Roman" w:hAnsi="Times New Roman" w:cs="Times New Roman"/>
            <w:color w:val="1976D2"/>
            <w:sz w:val="27"/>
            <w:szCs w:val="27"/>
            <w:u w:val="single"/>
            <w:lang w:eastAsia="ru-RU"/>
          </w:rPr>
          <w:t>https://orcid.org/0000-0002-6796-0968</w:t>
        </w:r>
      </w:hyperlink>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Клименко Вероника Викторовна, </w:t>
      </w:r>
      <w:r w:rsidRPr="00910F6D">
        <w:rPr>
          <w:rFonts w:ascii="Times New Roman" w:eastAsia="Times New Roman" w:hAnsi="Times New Roman" w:cs="Times New Roman"/>
          <w:color w:val="222222"/>
          <w:sz w:val="27"/>
          <w:szCs w:val="27"/>
          <w:lang w:eastAsia="ru-RU"/>
        </w:rPr>
        <w:t>к.м.н., врач клинико-диагностического отделения ФГБУ «НМИЦ онкологии им. Н.Н. Петрова» Минздрава России; https://orcid.org/0000-0003-1079-4492</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Корниецкая Анна Леонидовна</w:t>
      </w:r>
      <w:r w:rsidRPr="00910F6D">
        <w:rPr>
          <w:rFonts w:ascii="Times New Roman" w:eastAsia="Times New Roman" w:hAnsi="Times New Roman" w:cs="Times New Roman"/>
          <w:color w:val="222222"/>
          <w:sz w:val="27"/>
          <w:szCs w:val="27"/>
          <w:lang w:eastAsia="ru-RU"/>
        </w:rPr>
        <w:t>, к.м.н., старший научный сотрудник отделения химиотерапии отдела лекарственного лечения опухолей МНИОИ им. П.А. Герцена – филиала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Костромина Екатерина Викторовна, </w:t>
      </w:r>
      <w:r w:rsidRPr="00910F6D">
        <w:rPr>
          <w:rFonts w:ascii="Times New Roman" w:eastAsia="Times New Roman" w:hAnsi="Times New Roman" w:cs="Times New Roman"/>
          <w:color w:val="222222"/>
          <w:sz w:val="27"/>
          <w:szCs w:val="27"/>
          <w:lang w:eastAsia="ru-RU"/>
        </w:rPr>
        <w:t>к.м.н., врач ультразвуковой диагностики, врач-рентгенолог отделения лучевой диагностики, научный сотрудник научного отделения диагностической и интервенционной радиологии ФГБУ «НМИЦ онкологии им. Н.Н. Петрова» МЗ РФ, доцент кафедры лучевой диагностики и медицинской визуализации ФП и ДПО ФГБОУ ВО СПбГМУ; https://orcid.org/0000-0002-4245-687X</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Красильникова Лариса Анваровна, </w:t>
      </w:r>
      <w:r w:rsidRPr="00910F6D">
        <w:rPr>
          <w:rFonts w:ascii="Times New Roman" w:eastAsia="Times New Roman" w:hAnsi="Times New Roman" w:cs="Times New Roman"/>
          <w:color w:val="222222"/>
          <w:sz w:val="27"/>
          <w:szCs w:val="27"/>
          <w:lang w:eastAsia="ru-RU"/>
        </w:rPr>
        <w:t>к.м.н., врач-цитолог</w:t>
      </w:r>
      <w:r w:rsidRPr="00910F6D">
        <w:rPr>
          <w:rFonts w:ascii="Times New Roman" w:eastAsia="Times New Roman" w:hAnsi="Times New Roman" w:cs="Times New Roman"/>
          <w:b/>
          <w:bCs/>
          <w:i/>
          <w:iCs/>
          <w:color w:val="333333"/>
          <w:sz w:val="27"/>
          <w:szCs w:val="27"/>
          <w:lang w:eastAsia="ru-RU"/>
        </w:rPr>
        <w:t> </w:t>
      </w:r>
      <w:r w:rsidRPr="00910F6D">
        <w:rPr>
          <w:rFonts w:ascii="Times New Roman" w:eastAsia="Times New Roman" w:hAnsi="Times New Roman" w:cs="Times New Roman"/>
          <w:color w:val="222222"/>
          <w:sz w:val="27"/>
          <w:szCs w:val="27"/>
          <w:lang w:eastAsia="ru-RU"/>
        </w:rPr>
        <w:t>ФГБУ «НМИЦ онкологии им. Н.Н. Петрова»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Кропотов Михаил Алексеевич, </w:t>
      </w:r>
      <w:r w:rsidRPr="00910F6D">
        <w:rPr>
          <w:rFonts w:ascii="Times New Roman" w:eastAsia="Times New Roman" w:hAnsi="Times New Roman" w:cs="Times New Roman"/>
          <w:color w:val="222222"/>
          <w:sz w:val="27"/>
          <w:szCs w:val="27"/>
          <w:lang w:eastAsia="ru-RU"/>
        </w:rPr>
        <w:t>д.м.н., заведующий отделением хирургическим отделением №10 опухолей головы и шеи ФГБУ «НМИЦ онкологии им. Н.Н. Блохина»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Кутукова Светлана Игоревна</w:t>
      </w:r>
      <w:r w:rsidRPr="00910F6D">
        <w:rPr>
          <w:rFonts w:ascii="Times New Roman" w:eastAsia="Times New Roman" w:hAnsi="Times New Roman" w:cs="Times New Roman"/>
          <w:color w:val="222222"/>
          <w:sz w:val="27"/>
          <w:szCs w:val="27"/>
          <w:lang w:eastAsia="ru-RU"/>
        </w:rPr>
        <w:t>, д.м.н., доцент,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 СПб ГБУЗ «Городской клинический онкологический диспансер»</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lastRenderedPageBreak/>
        <w:t>Кульбакин Денис Евгеньевич, </w:t>
      </w:r>
      <w:r w:rsidRPr="00910F6D">
        <w:rPr>
          <w:rFonts w:ascii="Times New Roman" w:eastAsia="Times New Roman" w:hAnsi="Times New Roman" w:cs="Times New Roman"/>
          <w:color w:val="222222"/>
          <w:sz w:val="27"/>
          <w:szCs w:val="27"/>
          <w:lang w:eastAsia="ru-RU"/>
        </w:rPr>
        <w:t>д.м.н., старший научный сотрудник, врач-онколог отделения опухолей головы и шеи НИИ онкологии Томского НИМЦ</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Мордовский Александр Валентинович</w:t>
      </w:r>
      <w:r w:rsidRPr="00910F6D">
        <w:rPr>
          <w:rFonts w:ascii="Times New Roman" w:eastAsia="Times New Roman" w:hAnsi="Times New Roman" w:cs="Times New Roman"/>
          <w:color w:val="222222"/>
          <w:sz w:val="27"/>
          <w:szCs w:val="27"/>
          <w:lang w:eastAsia="ru-RU"/>
        </w:rPr>
        <w:t> – к.м.н., научный сотрудник отдела опухолей головы, шеи и микрохирургии МНИОИ им. П.А. Герцена – филиала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Мудунов Али Мурадович</w:t>
      </w:r>
      <w:r w:rsidRPr="00910F6D">
        <w:rPr>
          <w:rFonts w:ascii="Times New Roman" w:eastAsia="Times New Roman" w:hAnsi="Times New Roman" w:cs="Times New Roman"/>
          <w:b/>
          <w:bCs/>
          <w:i/>
          <w:iCs/>
          <w:color w:val="333333"/>
          <w:sz w:val="27"/>
          <w:szCs w:val="27"/>
          <w:lang w:eastAsia="ru-RU"/>
        </w:rPr>
        <w:t>, </w:t>
      </w:r>
      <w:r w:rsidRPr="00910F6D">
        <w:rPr>
          <w:rFonts w:ascii="Times New Roman" w:eastAsia="Times New Roman" w:hAnsi="Times New Roman" w:cs="Times New Roman"/>
          <w:color w:val="222222"/>
          <w:sz w:val="27"/>
          <w:szCs w:val="27"/>
          <w:lang w:eastAsia="ru-RU"/>
        </w:rPr>
        <w:t>д.м.н., профессор РАН, заведующий отделением хирургических методов лечения № 10 опухолей головы и шеи ФГБУ «НМИЦ онкологии им. Н.Н. Блохина» Минздрава России, президент Общероссийской общественной организации «Российское общество специалистов по опухолям головы и шеи»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Мусин Шамиль Исмагилович, </w:t>
      </w:r>
      <w:r w:rsidRPr="00910F6D">
        <w:rPr>
          <w:rFonts w:ascii="Times New Roman" w:eastAsia="Times New Roman" w:hAnsi="Times New Roman" w:cs="Times New Roman"/>
          <w:color w:val="222222"/>
          <w:sz w:val="27"/>
          <w:szCs w:val="27"/>
          <w:lang w:eastAsia="ru-RU"/>
        </w:rPr>
        <w:t>к.м.н., заведующий хирургическим отделением N6 ГАУЗ РКОД Минздрава РБ</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Новикова Ирина Валерьевна</w:t>
      </w:r>
      <w:r w:rsidRPr="00910F6D">
        <w:rPr>
          <w:rFonts w:ascii="Times New Roman" w:eastAsia="Times New Roman" w:hAnsi="Times New Roman" w:cs="Times New Roman"/>
          <w:b/>
          <w:bCs/>
          <w:color w:val="222222"/>
          <w:sz w:val="27"/>
          <w:szCs w:val="27"/>
          <w:lang w:eastAsia="ru-RU"/>
        </w:rPr>
        <w:t>, </w:t>
      </w:r>
      <w:r w:rsidRPr="00910F6D">
        <w:rPr>
          <w:rFonts w:ascii="Times New Roman" w:eastAsia="Times New Roman" w:hAnsi="Times New Roman" w:cs="Times New Roman"/>
          <w:color w:val="222222"/>
          <w:sz w:val="27"/>
          <w:szCs w:val="27"/>
          <w:lang w:eastAsia="ru-RU"/>
        </w:rPr>
        <w:t>к.м.н., старший</w:t>
      </w:r>
      <w:r w:rsidRPr="00910F6D">
        <w:rPr>
          <w:rFonts w:ascii="Times New Roman" w:eastAsia="Times New Roman" w:hAnsi="Times New Roman" w:cs="Times New Roman"/>
          <w:i/>
          <w:iCs/>
          <w:color w:val="333333"/>
          <w:sz w:val="27"/>
          <w:szCs w:val="27"/>
          <w:lang w:eastAsia="ru-RU"/>
        </w:rPr>
        <w:t> </w:t>
      </w:r>
      <w:r w:rsidRPr="00910F6D">
        <w:rPr>
          <w:rFonts w:ascii="Times New Roman" w:eastAsia="Times New Roman" w:hAnsi="Times New Roman" w:cs="Times New Roman"/>
          <w:color w:val="222222"/>
          <w:sz w:val="27"/>
          <w:szCs w:val="27"/>
          <w:lang w:eastAsia="ru-RU"/>
        </w:rPr>
        <w:t>научный сотрудник отдела опухолей головы, шеи и микрохирургии МНИОИ им. П.А. Герцена – филиала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Подвязников   Сергей    Олегович</w:t>
      </w:r>
      <w:r w:rsidRPr="00910F6D">
        <w:rPr>
          <w:rFonts w:ascii="Times New Roman" w:eastAsia="Times New Roman" w:hAnsi="Times New Roman" w:cs="Times New Roman"/>
          <w:color w:val="222222"/>
          <w:sz w:val="27"/>
          <w:szCs w:val="27"/>
          <w:lang w:eastAsia="ru-RU"/>
        </w:rPr>
        <w:t>,   д.м.н.,    профессор,    ФГБОУ    ДПО «Российская медицинская академия непрерывного профессионального образования» Минздрава России, вице-президент Общероссийской общественной организации «Российское общество специалистов по опухолям головы и шеи».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Полькин Вячеслав Викторович</w:t>
      </w:r>
      <w:r w:rsidRPr="00910F6D">
        <w:rPr>
          <w:rFonts w:ascii="Times New Roman" w:eastAsia="Times New Roman" w:hAnsi="Times New Roman" w:cs="Times New Roman"/>
          <w:color w:val="222222"/>
          <w:sz w:val="27"/>
          <w:szCs w:val="27"/>
          <w:lang w:eastAsia="ru-RU"/>
        </w:rPr>
        <w:t>, к.м.н. заведующий отделения лучевого и хирургического лечения заболеваний головы, шеи МРНЦ им. А.Ф. Цыба – филиала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Пономарева Ольга Игоревна, </w:t>
      </w:r>
      <w:r w:rsidRPr="00910F6D">
        <w:rPr>
          <w:rFonts w:ascii="Times New Roman" w:eastAsia="Times New Roman" w:hAnsi="Times New Roman" w:cs="Times New Roman"/>
          <w:color w:val="222222"/>
          <w:sz w:val="27"/>
          <w:szCs w:val="27"/>
          <w:lang w:eastAsia="ru-RU"/>
        </w:rPr>
        <w:t>врач-рентгенолог отделения радиотерапии НМИЦ онкологии им. Н.Н. Петрова; </w:t>
      </w:r>
      <w:hyperlink r:id="rId12" w:history="1">
        <w:r w:rsidRPr="00910F6D">
          <w:rPr>
            <w:rFonts w:ascii="Times New Roman" w:eastAsia="Times New Roman" w:hAnsi="Times New Roman" w:cs="Times New Roman"/>
            <w:color w:val="1976D2"/>
            <w:sz w:val="27"/>
            <w:szCs w:val="27"/>
            <w:u w:val="single"/>
            <w:lang w:eastAsia="ru-RU"/>
          </w:rPr>
          <w:t>https://orcid.org/0000-0002-7004-9630</w:t>
        </w:r>
      </w:hyperlink>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Раджабова Замира Ахмед-Гаджиевна</w:t>
      </w:r>
      <w:r w:rsidRPr="00910F6D">
        <w:rPr>
          <w:rFonts w:ascii="Times New Roman" w:eastAsia="Times New Roman" w:hAnsi="Times New Roman" w:cs="Times New Roman"/>
          <w:color w:val="222222"/>
          <w:sz w:val="27"/>
          <w:szCs w:val="27"/>
          <w:lang w:eastAsia="ru-RU"/>
        </w:rPr>
        <w:t>, д.м.н., доцент РАН, заведующий отделением опухолей головы и шеи ФГБУ «НМИЦ онкологии им. Н.Н. Петрова» Минздрава России, доцент отделения дополнительного профессионального образования НМИЦ онкологии им. Н.Н. Петрова </w:t>
      </w:r>
      <w:hyperlink r:id="rId13" w:history="1">
        <w:r w:rsidRPr="00910F6D">
          <w:rPr>
            <w:rFonts w:ascii="Times New Roman" w:eastAsia="Times New Roman" w:hAnsi="Times New Roman" w:cs="Times New Roman"/>
            <w:color w:val="1976D2"/>
            <w:sz w:val="27"/>
            <w:szCs w:val="27"/>
            <w:u w:val="single"/>
            <w:lang w:eastAsia="ru-RU"/>
          </w:rPr>
          <w:t>https://orcid.org/0000-0002-6895-0497</w:t>
        </w:r>
      </w:hyperlink>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Решетов Игорь Владимирович, </w:t>
      </w:r>
      <w:r w:rsidRPr="00910F6D">
        <w:rPr>
          <w:rFonts w:ascii="Times New Roman" w:eastAsia="Times New Roman" w:hAnsi="Times New Roman" w:cs="Times New Roman"/>
          <w:color w:val="222222"/>
          <w:sz w:val="27"/>
          <w:szCs w:val="27"/>
          <w:lang w:eastAsia="ru-RU"/>
        </w:rPr>
        <w:t>д.м.н., академик РАН, заведующий кафедрой онкологии, радиотерапии и реконструктивной хирургии Первого Московского медицинского университета им. И.М. Сеченова, президент Общероссийской общественной организации «Федерация специалистов по лечению заболеваний головы и шеи»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lastRenderedPageBreak/>
        <w:t>Романов Илья Станиславович</w:t>
      </w:r>
      <w:r w:rsidRPr="00910F6D">
        <w:rPr>
          <w:rFonts w:ascii="Times New Roman" w:eastAsia="Times New Roman" w:hAnsi="Times New Roman" w:cs="Times New Roman"/>
          <w:color w:val="222222"/>
          <w:sz w:val="27"/>
          <w:szCs w:val="27"/>
          <w:lang w:eastAsia="ru-RU"/>
        </w:rPr>
        <w:t>, д.м.н, старший научный сотрудник отделения онкоэндокринологии ФГБУ «НМИЦ Онкологии им. Н.Н. Блохина», доцент кафедры онкологии ФДПО, РНИМУ им Н.И. Пирогова</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Рубцова Наталья Алефтиновна</w:t>
      </w:r>
      <w:r w:rsidRPr="00910F6D">
        <w:rPr>
          <w:rFonts w:ascii="Times New Roman" w:eastAsia="Times New Roman" w:hAnsi="Times New Roman" w:cs="Times New Roman"/>
          <w:color w:val="222222"/>
          <w:sz w:val="27"/>
          <w:szCs w:val="27"/>
          <w:lang w:eastAsia="ru-RU"/>
        </w:rPr>
        <w:t>, д.м.н., заведующая отделом лучевой диагностики МНИОИ им. П.А. Герцена – филиал «НМИЦ радиологии» Минздрава России. Главный внештатный специалист по лучевой и инструментальной диагностике Минздрава России по Центральному федеральному округу Российской Федерации.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Рудык Андрей Николаевич, </w:t>
      </w:r>
      <w:r w:rsidRPr="00910F6D">
        <w:rPr>
          <w:rFonts w:ascii="Times New Roman" w:eastAsia="Times New Roman" w:hAnsi="Times New Roman" w:cs="Times New Roman"/>
          <w:color w:val="222222"/>
          <w:sz w:val="27"/>
          <w:szCs w:val="27"/>
          <w:lang w:eastAsia="ru-RU"/>
        </w:rPr>
        <w:t>к.м.н., врач-онколог онкологического отделения №5 (опухолей головы и шеи) ГАУЗ «Республиканский клинический онкологический диспансер Министерства здравоохранения Республики Татарстан имени профессора М.З.Сигала», и.о. заведующего кафедрой челюстно-лицевой хирургии и хирургической стоматологии, доцент кафедры онкологии, радиологии и паллиативной медицины КГМА – филиал ФГБОУ ДПО РМАНПО Минздрава России, доцент кафедры хирургических болезней постдипломного образования ИФМиБ ФГАОУ ВО "Казанский (Приволжский) федеральный университет", г. Казань.</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Семиглазова Татьяна Юрьевна, </w:t>
      </w:r>
      <w:r w:rsidRPr="00910F6D">
        <w:rPr>
          <w:rFonts w:ascii="Times New Roman" w:eastAsia="Times New Roman" w:hAnsi="Times New Roman" w:cs="Times New Roman"/>
          <w:color w:val="222222"/>
          <w:sz w:val="27"/>
          <w:szCs w:val="27"/>
          <w:lang w:eastAsia="ru-RU"/>
        </w:rPr>
        <w:t>д.м.н., профессор, заведующий научным отделом инновационных методов терапевтической онкологии и реабилитации ФГБУ «НМИЦ онкологии им. Н.Н. Петрова»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Степанова Александра Михайловна</w:t>
      </w:r>
      <w:r w:rsidRPr="00910F6D">
        <w:rPr>
          <w:rFonts w:ascii="Times New Roman" w:eastAsia="Times New Roman" w:hAnsi="Times New Roman" w:cs="Times New Roman"/>
          <w:color w:val="222222"/>
          <w:sz w:val="27"/>
          <w:szCs w:val="27"/>
          <w:lang w:eastAsia="ru-RU"/>
        </w:rPr>
        <w:t>, к.м.н., заместитель генерального директора по науке ФГБУ « Федеральный научный клинический центр медицинской реабилитации и курортологии» ФМБА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Сукорцева Наталья Сергеевна</w:t>
      </w:r>
      <w:r w:rsidRPr="00910F6D">
        <w:rPr>
          <w:rFonts w:ascii="Times New Roman" w:eastAsia="Times New Roman" w:hAnsi="Times New Roman" w:cs="Times New Roman"/>
          <w:color w:val="222222"/>
          <w:sz w:val="27"/>
          <w:szCs w:val="27"/>
          <w:lang w:eastAsia="ru-RU"/>
        </w:rPr>
        <w:t>, ассистент кафедры онкологии, реконструктивной хирургии и радиотерапии, врач онколог Университетской клинической больницы №1 Сеченовского университета</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Ткаченко Елена Викторовна</w:t>
      </w:r>
      <w:r w:rsidRPr="00910F6D">
        <w:rPr>
          <w:rFonts w:ascii="Times New Roman" w:eastAsia="Times New Roman" w:hAnsi="Times New Roman" w:cs="Times New Roman"/>
          <w:b/>
          <w:bCs/>
          <w:color w:val="222222"/>
          <w:sz w:val="27"/>
          <w:szCs w:val="27"/>
          <w:lang w:eastAsia="ru-RU"/>
        </w:rPr>
        <w:t>, </w:t>
      </w:r>
      <w:r w:rsidRPr="00910F6D">
        <w:rPr>
          <w:rFonts w:ascii="Times New Roman" w:eastAsia="Times New Roman" w:hAnsi="Times New Roman" w:cs="Times New Roman"/>
          <w:color w:val="222222"/>
          <w:sz w:val="27"/>
          <w:szCs w:val="27"/>
          <w:lang w:eastAsia="ru-RU"/>
        </w:rPr>
        <w:t>к.м.н., заведующий отделением краткосрочной противоопухолевой лекарственной терапии, научный сотрудник научного отдела инновационных методов терапевтической онкологии и реабилитации ФГБУ «НМИЦ онкологии им. Н.Н. Петрова» Минздрава России, </w:t>
      </w:r>
      <w:hyperlink r:id="rId14" w:history="1">
        <w:r w:rsidRPr="00910F6D">
          <w:rPr>
            <w:rFonts w:ascii="Times New Roman" w:eastAsia="Times New Roman" w:hAnsi="Times New Roman" w:cs="Times New Roman"/>
            <w:color w:val="1976D2"/>
            <w:sz w:val="27"/>
            <w:szCs w:val="27"/>
            <w:u w:val="single"/>
            <w:lang w:eastAsia="ru-RU"/>
          </w:rPr>
          <w:t>https://orcid.org/0000-0001-6375-8335</w:t>
        </w:r>
      </w:hyperlink>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Фалалеева Наталья Александровна</w:t>
      </w:r>
      <w:r w:rsidRPr="00910F6D">
        <w:rPr>
          <w:rFonts w:ascii="Times New Roman" w:eastAsia="Times New Roman" w:hAnsi="Times New Roman" w:cs="Times New Roman"/>
          <w:color w:val="222222"/>
          <w:sz w:val="27"/>
          <w:szCs w:val="27"/>
          <w:lang w:eastAsia="ru-RU"/>
        </w:rPr>
        <w:t>, заведующий отделом лекарственного лечения злокачественных новообразований МРНЦ им. А.Ф. Цыба – филиал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lastRenderedPageBreak/>
        <w:t>Феденко Александр Александрович, </w:t>
      </w:r>
      <w:r w:rsidRPr="00910F6D">
        <w:rPr>
          <w:rFonts w:ascii="Times New Roman" w:eastAsia="Times New Roman" w:hAnsi="Times New Roman" w:cs="Times New Roman"/>
          <w:color w:val="222222"/>
          <w:sz w:val="27"/>
          <w:szCs w:val="27"/>
          <w:lang w:eastAsia="ru-RU"/>
        </w:rPr>
        <w:t>д.м.н., профессор РАН, заведующий Отделом лекарственного лечения опухолей МНИОИ им. П.А. Герцена – филиал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Хмелевский Евгений Витальевич,</w:t>
      </w:r>
      <w:r w:rsidRPr="00910F6D">
        <w:rPr>
          <w:rFonts w:ascii="Times New Roman" w:eastAsia="Times New Roman" w:hAnsi="Times New Roman" w:cs="Times New Roman"/>
          <w:color w:val="222222"/>
          <w:sz w:val="27"/>
          <w:szCs w:val="27"/>
          <w:lang w:eastAsia="ru-RU"/>
        </w:rPr>
        <w:t> д.м.н., профессор, заведующий отделом лучевой терапии МНИОИ им. П.А. Герцена – филиал ФГБУ «НМИЦ радиологии» Минздрава России, врач-радиотерапевт МНИОИ им. П.А. Герцена – филиал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Ходжибекова Малика Маратовна, </w:t>
      </w:r>
      <w:r w:rsidRPr="00910F6D">
        <w:rPr>
          <w:rFonts w:ascii="Times New Roman" w:eastAsia="Times New Roman" w:hAnsi="Times New Roman" w:cs="Times New Roman"/>
          <w:color w:val="222222"/>
          <w:sz w:val="27"/>
          <w:szCs w:val="27"/>
          <w:lang w:eastAsia="ru-RU"/>
        </w:rPr>
        <w:t>д.м.н., врач-радиолог отделения радионуклидной диагностики МНИОИ им. П.А. Герцена – филиал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Цырлина Евгения Владимировна</w:t>
      </w:r>
      <w:r w:rsidRPr="00910F6D">
        <w:rPr>
          <w:rFonts w:ascii="Times New Roman" w:eastAsia="Times New Roman" w:hAnsi="Times New Roman" w:cs="Times New Roman"/>
          <w:color w:val="222222"/>
          <w:sz w:val="27"/>
          <w:szCs w:val="27"/>
          <w:lang w:eastAsia="ru-RU"/>
        </w:rPr>
        <w:t>, к.м.н., врач-эндокринолог отделения функциональной диагностики ФГБУ «НМИЦ онкологии им. Н.Н. Петрова»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Чойнзонов Евгений Лхамацыренович, </w:t>
      </w:r>
      <w:r w:rsidRPr="00910F6D">
        <w:rPr>
          <w:rFonts w:ascii="Times New Roman" w:eastAsia="Times New Roman" w:hAnsi="Times New Roman" w:cs="Times New Roman"/>
          <w:color w:val="222222"/>
          <w:sz w:val="27"/>
          <w:szCs w:val="27"/>
          <w:lang w:eastAsia="ru-RU"/>
        </w:rPr>
        <w:t>д.м.н., академик РАН, директор НИИ онкологии Томского НИМЦ, заведующий отделением опухолей головы и шеи НИИ онкологии Томского НИМЦ, заведующий кафедрой онкологии ФГБОУ ВО СибГМУ Минздрава России, член Общероссийской общественной организации «Российское общество специалистов по опухолям головы и шеи»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Яковлева Лилия Павловна, </w:t>
      </w:r>
      <w:r w:rsidRPr="00910F6D">
        <w:rPr>
          <w:rFonts w:ascii="Times New Roman" w:eastAsia="Times New Roman" w:hAnsi="Times New Roman" w:cs="Times New Roman"/>
          <w:color w:val="222222"/>
          <w:sz w:val="27"/>
          <w:szCs w:val="27"/>
          <w:lang w:eastAsia="ru-RU"/>
        </w:rPr>
        <w:t>к.м.н., врач-онколог, заведующая центром диагностики и лечения опухолей головы и шеи ГБУЗ МКНЦ имени А.С. Логинова МЗ РФ</w:t>
      </w:r>
    </w:p>
    <w:p w:rsidR="00910F6D" w:rsidRPr="00910F6D" w:rsidRDefault="00910F6D" w:rsidP="00910F6D">
      <w:p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Блок Организация оказания медицинской помощи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Геворкян Тигран Гагикович, </w:t>
      </w:r>
      <w:r w:rsidRPr="00910F6D">
        <w:rPr>
          <w:rFonts w:ascii="Times New Roman" w:eastAsia="Times New Roman" w:hAnsi="Times New Roman" w:cs="Times New Roman"/>
          <w:i/>
          <w:iCs/>
          <w:color w:val="333333"/>
          <w:sz w:val="27"/>
          <w:szCs w:val="27"/>
          <w:lang w:eastAsia="ru-RU"/>
        </w:rPr>
        <w:t>заместитель директора ФГБУ «НМИЦ онкологии им. Н.Н. Блохина»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Иванов Сергей Анатольевич</w:t>
      </w:r>
      <w:r w:rsidRPr="00910F6D">
        <w:rPr>
          <w:rFonts w:ascii="Times New Roman" w:eastAsia="Times New Roman" w:hAnsi="Times New Roman" w:cs="Times New Roman"/>
          <w:color w:val="222222"/>
          <w:sz w:val="27"/>
          <w:szCs w:val="27"/>
          <w:lang w:eastAsia="ru-RU"/>
        </w:rPr>
        <w:t>, д.м.н., профессор РАН, директор МРНЦ им. А.Ф. Цыба – филиала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Невольских Алексей Алексеевич</w:t>
      </w:r>
      <w:r w:rsidRPr="00910F6D">
        <w:rPr>
          <w:rFonts w:ascii="Times New Roman" w:eastAsia="Times New Roman" w:hAnsi="Times New Roman" w:cs="Times New Roman"/>
          <w:color w:val="222222"/>
          <w:sz w:val="27"/>
          <w:szCs w:val="27"/>
          <w:lang w:eastAsia="ru-RU"/>
        </w:rPr>
        <w:t>, д.м.н., заместитель директора по лечебной работе МРНЦ им. А.Ф. Цыба – филиала ФГБУ «НМИЦ радиологии» Минздрава России.</w:t>
      </w:r>
    </w:p>
    <w:p w:rsidR="00910F6D" w:rsidRPr="00910F6D" w:rsidRDefault="00910F6D" w:rsidP="00910F6D">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i/>
          <w:iCs/>
          <w:color w:val="333333"/>
          <w:sz w:val="27"/>
          <w:szCs w:val="27"/>
          <w:lang w:eastAsia="ru-RU"/>
        </w:rPr>
        <w:t>Хайлова Жанна Владимировна, </w:t>
      </w:r>
      <w:r w:rsidRPr="00910F6D">
        <w:rPr>
          <w:rFonts w:ascii="Times New Roman" w:eastAsia="Times New Roman" w:hAnsi="Times New Roman" w:cs="Times New Roman"/>
          <w:i/>
          <w:iCs/>
          <w:color w:val="333333"/>
          <w:sz w:val="27"/>
          <w:szCs w:val="27"/>
          <w:lang w:eastAsia="ru-RU"/>
        </w:rPr>
        <w:t>к.м.н., заместитель директора по организационно-методической работе МРНЦ им. А.Ф. Цыба – филиал ФГБУ "НМИЦ радиологии" Минздрава России.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Конфликт интересов отсутствует.</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910F6D" w:rsidRPr="00910F6D" w:rsidRDefault="00910F6D" w:rsidP="00910F6D">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Врачи-онкологи.</w:t>
      </w:r>
    </w:p>
    <w:p w:rsidR="00910F6D" w:rsidRPr="00910F6D" w:rsidRDefault="00910F6D" w:rsidP="00910F6D">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Врачи-хирурги.</w:t>
      </w:r>
    </w:p>
    <w:p w:rsidR="00910F6D" w:rsidRPr="00910F6D" w:rsidRDefault="00910F6D" w:rsidP="00910F6D">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Врачи-радиологи.</w:t>
      </w:r>
    </w:p>
    <w:p w:rsidR="00910F6D" w:rsidRPr="00910F6D" w:rsidRDefault="00910F6D" w:rsidP="00910F6D">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Врачи-генетики.</w:t>
      </w:r>
    </w:p>
    <w:p w:rsidR="00910F6D" w:rsidRPr="00910F6D" w:rsidRDefault="00910F6D" w:rsidP="00910F6D">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Студенты медицинских ВУЗов, ординаторы и аспиранты.</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 </w:t>
      </w:r>
      <w:r w:rsidRPr="00910F6D">
        <w:rPr>
          <w:rFonts w:ascii="Times New Roman" w:eastAsia="Times New Roman" w:hAnsi="Times New Roman" w:cs="Times New Roman"/>
          <w:color w:val="222222"/>
          <w:sz w:val="27"/>
          <w:szCs w:val="27"/>
          <w:lang w:eastAsia="ru-RU"/>
        </w:rPr>
        <w:t>поиск в электронных базах данных, анализ современных научных разработок по проблеме РБ в РФ и за рубежом, обобщение практического опыта российских и зарубежных специалистов.</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Таблица П1. </w:t>
      </w:r>
      <w:r w:rsidRPr="00910F6D">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10F6D" w:rsidRPr="00910F6D" w:rsidTr="00910F6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Расшифровка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Несравнительные исследования, описание клинического случая</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lastRenderedPageBreak/>
        <w:t>Таблица П2. </w:t>
      </w:r>
      <w:r w:rsidRPr="00910F6D">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10F6D" w:rsidRPr="00910F6D" w:rsidTr="00910F6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Расшифровка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Систематический обзор РКИ с применением мета-анализа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исследования«случай-контроль»</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Таблица П3. </w:t>
      </w:r>
      <w:r w:rsidRPr="00910F6D">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910F6D" w:rsidRPr="00910F6D" w:rsidTr="00910F6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Расшифровка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Дополнительная информация отсутствует</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53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7EA161" id="Прямоугольник 1" o:spid="_x0000_s1026" alt="https://cr.minzdrav.gov.ru/schema/53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FVi9w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N5R73XX9LcGRwhzWV1I0yFVnYvkjUJcjHPCF/RUVTClNv5WJaWoc0pS&#10;KNQ3EO4BhrkoQEPz+plIIWOy1MJ2/yqTpYkBfUVXdsjXuyHTK40SUB55wdADKiRg2sgmAom2P1dS&#10;6SdUlMgIMZaQnQUnq3OlW9eti4nFxYwVBehJVPADBWC2GggNvxqbScLS4l3ohdPhdBg4Qbc/dQJv&#10;MnFOZ+PA6c/8QW9yNBmPJ/57E9cPopylKeUmzJaifvBnFNg8lpZcO5IqUbDUwJmUlFzMx4VEKwJP&#10;ZGY/23Kw3Lm5h2nYfkEt90ryu4F31g2dWX84cIJZ0HPCgTd0PD88C/teEAaT2WFJ54zTfy8J1TEO&#10;e92endJe0vdq8+z3sDYSlUzDEipYGWOgBnzGiUSGgVOeWlkTVrTyXitM+netgHFvB235aijasn8u&#10;0mugqxRAJ2AerEsQciFvMKph9cRYvV0SSTEqnnKgfOgHgdlV9hL0Bl24yH3LfN9CeAJQMdYYteJY&#10;t/ttWUm2yCGSbxvDxSk8k4xZCpsn1Ga1eVywXmwlm1Vo9tf+3XrdLezR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PAFVi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Рекомендации по наблюдению после завершенного лечения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Наблюдение после завершенного лечения имеет важное значение для поддержания здоровья пациента. При появлении жалоб, а также возобновлении симптомов, отмечавшихся до лечения, необходимо незамедлительно обратиться к врачу, не дожидаясь очередного срока запланированного визита.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Целью визитов является контроль не только онкологического заболевания, но и побочных эффектов, в том числе отсроченных (например, гипотиреоз после проведенной ЛТ на область шеи, снижение нутритивного статуса, оценка речевой и глотательной функции и т.д.).</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Рекомендации относительно образа жизни и питания должны быть индивидуализированы с учетом объема проведенного лечения, рисков и выраженности осложнений, особенностей пациента.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Преимущества отказа от табакокурения и потребления алкоголя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Более высокие показатели выживаемости.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Большая эффективность лечения.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Меньшее количество и выраженность побочных эффектов противоопухолевого лечения (сердечно-легочные осложнения, утомляемость, снижение массы тела, мукозиты, потеря вкуса).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Ускоренное восстановление общего состояния после лечения.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Ниже риск рецидива.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Меньший риск вторых опухолей.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Меньший риск инфекций.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Выше качество жизни.</w:t>
      </w:r>
    </w:p>
    <w:p w:rsidR="00910F6D" w:rsidRPr="00910F6D" w:rsidRDefault="00910F6D" w:rsidP="00910F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10F6D">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10F6D" w:rsidRPr="00910F6D" w:rsidRDefault="00910F6D" w:rsidP="00910F6D">
      <w:pPr>
        <w:spacing w:before="750" w:after="450" w:line="240" w:lineRule="auto"/>
        <w:outlineLvl w:val="1"/>
        <w:rPr>
          <w:rFonts w:ascii="Times New Roman" w:eastAsia="Times New Roman" w:hAnsi="Times New Roman" w:cs="Times New Roman"/>
          <w:b/>
          <w:bCs/>
          <w:color w:val="222222"/>
          <w:sz w:val="33"/>
          <w:szCs w:val="33"/>
          <w:lang w:eastAsia="ru-RU"/>
        </w:rPr>
      </w:pPr>
      <w:r w:rsidRPr="00910F6D">
        <w:rPr>
          <w:rFonts w:ascii="Times New Roman" w:eastAsia="Times New Roman" w:hAnsi="Times New Roman" w:cs="Times New Roman"/>
          <w:b/>
          <w:bCs/>
          <w:color w:val="222222"/>
          <w:sz w:val="33"/>
          <w:szCs w:val="33"/>
          <w:lang w:eastAsia="ru-RU"/>
        </w:rPr>
        <w:t>Приложение Г1. Шкала оценки тяжести состояния пациента по версии ВОЗ/ECOG</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Название на русском языке: Шкала оценки тяжести состояния пациента по версии ВОЗ/ECOG</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Оригинальное название: The Eastern Cooperative Oncology Group/World Health Organization Performance Status (ECOG/WHO PS)</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w:t>
      </w:r>
      <w:hyperlink r:id="rId15" w:history="1">
        <w:r w:rsidRPr="00910F6D">
          <w:rPr>
            <w:rFonts w:ascii="Times New Roman" w:eastAsia="Times New Roman" w:hAnsi="Times New Roman" w:cs="Times New Roman"/>
            <w:b/>
            <w:bCs/>
            <w:i/>
            <w:iCs/>
            <w:color w:val="1976D2"/>
            <w:sz w:val="27"/>
            <w:szCs w:val="27"/>
            <w:u w:val="single"/>
            <w:lang w:eastAsia="ru-RU"/>
          </w:rPr>
          <w:t>https://ecog-</w:t>
        </w:r>
      </w:hyperlink>
      <w:r w:rsidRPr="00910F6D">
        <w:rPr>
          <w:rFonts w:ascii="Times New Roman" w:eastAsia="Times New Roman" w:hAnsi="Times New Roman" w:cs="Times New Roman"/>
          <w:b/>
          <w:bCs/>
          <w:i/>
          <w:iCs/>
          <w:color w:val="333333"/>
          <w:sz w:val="27"/>
          <w:szCs w:val="27"/>
          <w:lang w:eastAsia="ru-RU"/>
        </w:rPr>
        <w:t> </w:t>
      </w:r>
      <w:hyperlink r:id="rId16" w:history="1">
        <w:r w:rsidRPr="00910F6D">
          <w:rPr>
            <w:rFonts w:ascii="Times New Roman" w:eastAsia="Times New Roman" w:hAnsi="Times New Roman" w:cs="Times New Roman"/>
            <w:b/>
            <w:bCs/>
            <w:i/>
            <w:iCs/>
            <w:color w:val="1976D2"/>
            <w:sz w:val="27"/>
            <w:szCs w:val="27"/>
            <w:u w:val="single"/>
            <w:lang w:eastAsia="ru-RU"/>
          </w:rPr>
          <w:t>acrin.org/resources/ecog-performance-status</w:t>
        </w:r>
      </w:hyperlink>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i/>
          <w:iCs/>
          <w:color w:val="333333"/>
          <w:sz w:val="27"/>
          <w:szCs w:val="27"/>
          <w:lang w:eastAsia="ru-RU"/>
        </w:rPr>
        <w:t>Oken MM, Creech RH, Tormey DC, Horton J, Davis TE, McFadden ET, Carbone PP: </w:t>
      </w:r>
      <w:r w:rsidRPr="00910F6D">
        <w:rPr>
          <w:rFonts w:ascii="Times New Roman" w:eastAsia="Times New Roman" w:hAnsi="Times New Roman" w:cs="Times New Roman"/>
          <w:b/>
          <w:bCs/>
          <w:i/>
          <w:iCs/>
          <w:color w:val="333333"/>
          <w:sz w:val="27"/>
          <w:szCs w:val="27"/>
          <w:lang w:eastAsia="ru-RU"/>
        </w:rPr>
        <w:t>Toxicity and response criteria of the Eastern Cooperative Oncology Group</w:t>
      </w:r>
      <w:r w:rsidRPr="00910F6D">
        <w:rPr>
          <w:rFonts w:ascii="Times New Roman" w:eastAsia="Times New Roman" w:hAnsi="Times New Roman" w:cs="Times New Roman"/>
          <w:i/>
          <w:iCs/>
          <w:color w:val="333333"/>
          <w:sz w:val="27"/>
          <w:szCs w:val="27"/>
          <w:lang w:eastAsia="ru-RU"/>
        </w:rPr>
        <w:t>. </w:t>
      </w:r>
      <w:r w:rsidRPr="00910F6D">
        <w:rPr>
          <w:rFonts w:ascii="Times New Roman" w:eastAsia="Times New Roman" w:hAnsi="Times New Roman" w:cs="Times New Roman"/>
          <w:color w:val="222222"/>
          <w:sz w:val="27"/>
          <w:szCs w:val="27"/>
          <w:lang w:eastAsia="ru-RU"/>
        </w:rPr>
        <w:t>Am J Clin Oncol </w:t>
      </w:r>
      <w:r w:rsidRPr="00910F6D">
        <w:rPr>
          <w:rFonts w:ascii="Times New Roman" w:eastAsia="Times New Roman" w:hAnsi="Times New Roman" w:cs="Times New Roman"/>
          <w:i/>
          <w:iCs/>
          <w:color w:val="333333"/>
          <w:sz w:val="27"/>
          <w:szCs w:val="27"/>
          <w:lang w:eastAsia="ru-RU"/>
        </w:rPr>
        <w:t>1982, </w:t>
      </w:r>
      <w:r w:rsidRPr="00910F6D">
        <w:rPr>
          <w:rFonts w:ascii="Times New Roman" w:eastAsia="Times New Roman" w:hAnsi="Times New Roman" w:cs="Times New Roman"/>
          <w:b/>
          <w:bCs/>
          <w:i/>
          <w:iCs/>
          <w:color w:val="333333"/>
          <w:sz w:val="27"/>
          <w:szCs w:val="27"/>
          <w:lang w:eastAsia="ru-RU"/>
        </w:rPr>
        <w:t>5</w:t>
      </w:r>
      <w:r w:rsidRPr="00910F6D">
        <w:rPr>
          <w:rFonts w:ascii="Times New Roman" w:eastAsia="Times New Roman" w:hAnsi="Times New Roman" w:cs="Times New Roman"/>
          <w:i/>
          <w:iCs/>
          <w:color w:val="333333"/>
          <w:sz w:val="27"/>
          <w:szCs w:val="27"/>
          <w:lang w:eastAsia="ru-RU"/>
        </w:rPr>
        <w:t>(6):649-655</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Тип: шкала оценки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Содержание:</w:t>
      </w:r>
    </w:p>
    <w:tbl>
      <w:tblPr>
        <w:tblW w:w="11850" w:type="dxa"/>
        <w:tblCellMar>
          <w:left w:w="0" w:type="dxa"/>
          <w:right w:w="0" w:type="dxa"/>
        </w:tblCellMar>
        <w:tblLook w:val="04A0" w:firstRow="1" w:lastRow="0" w:firstColumn="1" w:lastColumn="0" w:noHBand="0" w:noVBand="1"/>
      </w:tblPr>
      <w:tblGrid>
        <w:gridCol w:w="1069"/>
        <w:gridCol w:w="10781"/>
      </w:tblGrid>
      <w:tr w:rsidR="00910F6D" w:rsidRPr="00910F6D" w:rsidTr="00910F6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 </w:t>
            </w:r>
          </w:p>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 </w:t>
            </w:r>
          </w:p>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Описание</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Пациент полностью активен, способен выполнять все, как и до заболевания (90-100% по шкале Карновского)</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 70-80% по шкале Карновского)</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 (50-60% по шкале Карновского)</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 (30-40% по шкале Карновского)</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по шкале Карновского)</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Смерть</w:t>
            </w:r>
          </w:p>
        </w:tc>
      </w:tr>
    </w:tbl>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Ключ (интерпретация): приведен в самой шкале</w:t>
      </w:r>
    </w:p>
    <w:p w:rsidR="00910F6D" w:rsidRPr="00910F6D" w:rsidRDefault="00910F6D" w:rsidP="00910F6D">
      <w:pPr>
        <w:spacing w:before="750" w:after="450" w:line="240" w:lineRule="auto"/>
        <w:outlineLvl w:val="1"/>
        <w:rPr>
          <w:rFonts w:ascii="Times New Roman" w:eastAsia="Times New Roman" w:hAnsi="Times New Roman" w:cs="Times New Roman"/>
          <w:b/>
          <w:bCs/>
          <w:color w:val="222222"/>
          <w:sz w:val="33"/>
          <w:szCs w:val="33"/>
          <w:lang w:eastAsia="ru-RU"/>
        </w:rPr>
      </w:pPr>
      <w:r w:rsidRPr="00910F6D">
        <w:rPr>
          <w:rFonts w:ascii="Times New Roman" w:eastAsia="Times New Roman" w:hAnsi="Times New Roman" w:cs="Times New Roman"/>
          <w:b/>
          <w:bCs/>
          <w:color w:val="222222"/>
          <w:sz w:val="33"/>
          <w:szCs w:val="33"/>
          <w:lang w:eastAsia="ru-RU"/>
        </w:rPr>
        <w:lastRenderedPageBreak/>
        <w:t>Приложение Г2. Вопросник при первичном обращении пациента к врачу первичной лечебной сети в рамках онконастороженности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Название на русском языке: Вопросник при первичном обращении пациента к врачу первичной лечебной сети в рамках онконастороженности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Оригинальное название (если есть): нет</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w:t>
      </w:r>
      <w:hyperlink r:id="rId17" w:history="1">
        <w:r w:rsidRPr="00910F6D">
          <w:rPr>
            <w:rFonts w:ascii="Times New Roman" w:eastAsia="Times New Roman" w:hAnsi="Times New Roman" w:cs="Times New Roman"/>
            <w:color w:val="1976D2"/>
            <w:sz w:val="27"/>
            <w:szCs w:val="27"/>
            <w:u w:val="single"/>
            <w:lang w:eastAsia="ru-RU"/>
          </w:rPr>
          <w:t>https://oncology-association.ru/</w:t>
        </w:r>
      </w:hyperlink>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Тип (подчеркнуть): вопросник</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Назначение: оценка вероятности наличия злокачественных новообразований у пациента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Оценочный инструмент, содержание:</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Вопросник при первичном обращении пациента к врачу первичной лечебной сети в рамках онконастороженности (выбрать правильные ответы, нужное подчеркнуть, при необходимости вписать)</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Дата заполнения:</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Ф.И.О.:</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1. У Вас есть профессиональная вредность на работе?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2.Есть</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2. Сколько лет Вы работаете/работали с профессиональной вредностью?</w:t>
      </w:r>
    </w:p>
    <w:tbl>
      <w:tblPr>
        <w:tblW w:w="11850" w:type="dxa"/>
        <w:tblCellMar>
          <w:left w:w="0" w:type="dxa"/>
          <w:right w:w="0" w:type="dxa"/>
        </w:tblCellMar>
        <w:tblLook w:val="04A0" w:firstRow="1" w:lastRow="0" w:firstColumn="1" w:lastColumn="0" w:noHBand="0" w:noVBand="1"/>
      </w:tblPr>
      <w:tblGrid>
        <w:gridCol w:w="2969"/>
        <w:gridCol w:w="2536"/>
        <w:gridCol w:w="6345"/>
      </w:tblGrid>
      <w:tr w:rsidR="00910F6D" w:rsidRPr="00910F6D" w:rsidTr="00910F6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1. До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4. 6–10 лет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 До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5. Более 10 лет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 От 3 до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6. Более 15 лет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3. Ваши близкие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родственники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b/>
                <w:bCs/>
                <w:sz w:val="27"/>
                <w:szCs w:val="27"/>
                <w:lang w:eastAsia="ru-RU"/>
              </w:rPr>
              <w:t>болели или болеют онкологическими</w:t>
            </w:r>
          </w:p>
        </w:tc>
      </w:tr>
    </w:tbl>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заболеваниями лор-органов?</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2.Болел или болеет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3.Не знаю</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4. Вы курите (или курили)?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  4. Стаж курения менее 10 лет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2.Да 5. Стаж курения 10–15 лет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3.Более 20 сигарет в день  6. Стаж курения более 20 лет</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5.</w:t>
      </w:r>
      <w:r w:rsidRPr="00910F6D">
        <w:rPr>
          <w:rFonts w:ascii="Times New Roman" w:eastAsia="Times New Roman" w:hAnsi="Times New Roman" w:cs="Times New Roman"/>
          <w:color w:val="222222"/>
          <w:sz w:val="27"/>
          <w:szCs w:val="27"/>
          <w:lang w:eastAsia="ru-RU"/>
        </w:rPr>
        <w:t> </w:t>
      </w:r>
      <w:r w:rsidRPr="00910F6D">
        <w:rPr>
          <w:rFonts w:ascii="Times New Roman" w:eastAsia="Times New Roman" w:hAnsi="Times New Roman" w:cs="Times New Roman"/>
          <w:b/>
          <w:bCs/>
          <w:color w:val="222222"/>
          <w:sz w:val="27"/>
          <w:szCs w:val="27"/>
          <w:lang w:eastAsia="ru-RU"/>
        </w:rPr>
        <w:t>Вы заметили снижение своей массы тела за последний период времени?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 3. Да, более чем на 5 кг</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2.Не знаю 4. Да, я соблюдал диету</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6. Вас беспокоят повышенная слабость и утомляемость, неадекватная нагрузкам?</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2.Более 1 мес</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3.Более 6 мес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7. Вас беспокоит повышенная общая потливость, возможно усиливающаяся в ночное время?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2.Да, появилась в течение последних 6–12 мес</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3.Беспокоила всегда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8. У Вас отмечается бледность или изменение цвета кожных покровов?</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2.Да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3.Не знаю</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9. Вы отмечали в последнее время появление увеличенных лимфатических узлов или других припухлостей на шее?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2.Да, безболезненные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3.Да, болезненные</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10. У Вас есть на коже лица, головы и шеи новообразования или длительно незаживающие язвы?</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2.Да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3.Если да, что именно? (впишите свои варианты)</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11. Вы заметили в последняя время деформацию лица за счет появившихся образований или припухлостей (изменение формы носа, глаз и т.д.)?</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2.Да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3.Если да, что именно? (впишите свои варианты)</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12. Вас беспокоит длительный кашель или покашливания?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 3. С мокротой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2.Да 4. С примесью крови</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13. Вас беспокоит охриплость?</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 3. В течение последнего месяца постоянно</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2.Периодически 4. Да, не обследовался и не лечился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5. Да, проведенное лечение без эффекта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14. Вас беспокоит затруднение дыхания через естественные дыхательные пути?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  4. Затруднение дыхание отмечается в покое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2.Иногда 5. При незначительной физической нагрузке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3.Часто 6. При значительной физической нагрузке</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15. Вас беспокоит «ощущение кома или инородного тела» в горле?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2.Иногда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3.Часто или постоянно</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16. Вас беспокоят неприятный привкус во рту и/или запах изо рта?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2.Иногда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3.Часто или постоянно</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17. Вас беспокоят нарушения глотания пищи?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 4. Акт глотания болезненный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2.Да, только жидкой пищи  5. Во время приема пищи появляется поперхивание и кашель</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3.Да, только твердой пищи 6. В течение последнего месяца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7. Более 3 мес</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18. Вас беспокоит затруднение носового дыхания?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  4. Затруднение носового дыхание с обеих сторон</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2.Редко 5. Затруднение носового дыхание справа/слева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3.Часто (постоянно) 6. Носовое дыхание отсутствует с обеих сторон</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7. Носовое дыхание отсутствует справа/слева</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19. Оцените свое обоняние?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1.В норме 4. С обеих сторон</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2.Снижено 5. Справа/слева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3.Отсутствует</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20. Вас беспокоят выделения из носа и/или стекание слизи по задней стенке глотки?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 4. Слизистые или прозрачные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2.Редко 5. Гнойные с неприятным запахом</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3.Часто (постоянно) 6. Кровянистые</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lastRenderedPageBreak/>
        <w:t>21. Ощущаете ли Вы дискомфорт или болезненность лица в проекции придаточных пазух носа?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2.Редко</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3.Часто (постоянно)</w:t>
      </w:r>
    </w:p>
    <w:p w:rsidR="00910F6D" w:rsidRPr="00910F6D" w:rsidRDefault="00910F6D" w:rsidP="00910F6D">
      <w:pPr>
        <w:spacing w:after="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b/>
          <w:bCs/>
          <w:color w:val="222222"/>
          <w:sz w:val="27"/>
          <w:szCs w:val="27"/>
          <w:lang w:eastAsia="ru-RU"/>
        </w:rPr>
        <w:t>22. Появилось ли в последнее время в полости носа или в горле какое-либо новообразование?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1.Нет  3. Безболезненное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2.Да 4. Болезненное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5. Кровоточащее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Ключ (интерпретация): Утвердительные ответы на вопросы с 1-ого по 8-ой, при наличии симптоматики, описанной в вопросах с 9 по 23, позволяют заподозрить опухолевое заболевание; при этом требуется детальное обследование пациента профильными специалистами.</w:t>
      </w:r>
    </w:p>
    <w:p w:rsidR="00910F6D" w:rsidRPr="00910F6D" w:rsidRDefault="00910F6D" w:rsidP="00910F6D">
      <w:pPr>
        <w:spacing w:before="750" w:after="450" w:line="240" w:lineRule="auto"/>
        <w:outlineLvl w:val="1"/>
        <w:rPr>
          <w:rFonts w:ascii="Times New Roman" w:eastAsia="Times New Roman" w:hAnsi="Times New Roman" w:cs="Times New Roman"/>
          <w:b/>
          <w:bCs/>
          <w:color w:val="222222"/>
          <w:sz w:val="33"/>
          <w:szCs w:val="33"/>
          <w:lang w:eastAsia="ru-RU"/>
        </w:rPr>
      </w:pPr>
      <w:r w:rsidRPr="00910F6D">
        <w:rPr>
          <w:rFonts w:ascii="Times New Roman" w:eastAsia="Times New Roman" w:hAnsi="Times New Roman" w:cs="Times New Roman"/>
          <w:b/>
          <w:bCs/>
          <w:color w:val="222222"/>
          <w:sz w:val="33"/>
          <w:szCs w:val="33"/>
          <w:lang w:eastAsia="ru-RU"/>
        </w:rPr>
        <w:t>Приложение Г3. Шкала NRS 2002</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Название на русском языке: Шкала нутриционного риска</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Оригинальное название: Nutritional Risk Screening -2002</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Kondrup J, Allison SP, Elia M, Vellas B, Plauth M. ESPEN guidelines for nutrition screening 2002. Clin Nutr. 2003; 22(4): 415-421. doi: 10.1016/s0261-5614(03)00098-0).</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Тип: шкала оценки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Назначение: рекомендована для оценки нутритивного статуса пациентов, находящихся в стационаре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Оценочный инструмент, содержание:</w:t>
      </w:r>
    </w:p>
    <w:tbl>
      <w:tblPr>
        <w:tblW w:w="11850" w:type="dxa"/>
        <w:tblCellMar>
          <w:left w:w="0" w:type="dxa"/>
          <w:right w:w="0" w:type="dxa"/>
        </w:tblCellMar>
        <w:tblLook w:val="04A0" w:firstRow="1" w:lastRow="0" w:firstColumn="1" w:lastColumn="0" w:noHBand="0" w:noVBand="1"/>
      </w:tblPr>
      <w:tblGrid>
        <w:gridCol w:w="492"/>
        <w:gridCol w:w="9800"/>
        <w:gridCol w:w="708"/>
        <w:gridCol w:w="850"/>
      </w:tblGrid>
      <w:tr w:rsidR="00910F6D" w:rsidRPr="00910F6D" w:rsidTr="00910F6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Индекс массы тела менее 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Нет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Наблюдалась ли у пациента потеря веса на протяжении предыдущих 3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Было ли снижено питание на предыдущей неделе?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Нет</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Страдает ли пациент серьезным заболеванием (например, проходит интенсивную терапию или противоопухолевое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Нет</w:t>
            </w:r>
          </w:p>
        </w:tc>
      </w:tr>
    </w:tbl>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Ключ (интерпретация):</w:t>
      </w:r>
    </w:p>
    <w:tbl>
      <w:tblPr>
        <w:tblW w:w="11850" w:type="dxa"/>
        <w:tblCellMar>
          <w:left w:w="0" w:type="dxa"/>
          <w:right w:w="0" w:type="dxa"/>
        </w:tblCellMar>
        <w:tblLook w:val="04A0" w:firstRow="1" w:lastRow="0" w:firstColumn="1" w:lastColumn="0" w:noHBand="0" w:noVBand="1"/>
      </w:tblPr>
      <w:tblGrid>
        <w:gridCol w:w="5436"/>
        <w:gridCol w:w="6414"/>
      </w:tblGrid>
      <w:tr w:rsidR="00910F6D" w:rsidRPr="00910F6D" w:rsidTr="00910F6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Ответ "Нет" на все вопросы - повторный скрининг проводится через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При наличии ответа "Да" на любой вопрос продолжается скрининг по следующему блоку</w:t>
            </w:r>
          </w:p>
        </w:tc>
      </w:tr>
      <w:tr w:rsidR="00910F6D" w:rsidRPr="00910F6D" w:rsidTr="00910F6D">
        <w:tc>
          <w:tcPr>
            <w:tcW w:w="0" w:type="auto"/>
            <w:vAlign w:val="center"/>
            <w:hideMark/>
          </w:tcPr>
          <w:p w:rsidR="00910F6D" w:rsidRPr="00910F6D" w:rsidRDefault="00910F6D" w:rsidP="00910F6D">
            <w:pPr>
              <w:spacing w:after="0" w:line="240" w:lineRule="auto"/>
              <w:rPr>
                <w:rFonts w:ascii="Verdana" w:eastAsia="Times New Roman" w:hAnsi="Verdana" w:cs="Times New Roman"/>
                <w:b/>
                <w:bCs/>
                <w:sz w:val="27"/>
                <w:szCs w:val="27"/>
                <w:lang w:eastAsia="ru-RU"/>
              </w:rPr>
            </w:pPr>
          </w:p>
        </w:tc>
        <w:tc>
          <w:tcPr>
            <w:tcW w:w="0" w:type="auto"/>
            <w:vAlign w:val="center"/>
            <w:hideMark/>
          </w:tcPr>
          <w:p w:rsidR="00910F6D" w:rsidRPr="00910F6D" w:rsidRDefault="00910F6D" w:rsidP="00910F6D">
            <w:pPr>
              <w:spacing w:after="0" w:line="240" w:lineRule="auto"/>
              <w:rPr>
                <w:rFonts w:ascii="Times New Roman" w:eastAsia="Times New Roman" w:hAnsi="Times New Roman" w:cs="Times New Roman"/>
                <w:sz w:val="20"/>
                <w:szCs w:val="20"/>
                <w:lang w:eastAsia="ru-RU"/>
              </w:rPr>
            </w:pPr>
          </w:p>
        </w:tc>
      </w:tr>
    </w:tbl>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Финальный скрининг</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Ключ (интерпретация):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1. Возраст пациента 70 и более лет – прибавить 1 балл к общей сумме.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2. Более 3 балов – высокий риск питательной недостаточности, требующий разработки программы нутритивной поддержки.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3. Менее 3 баллов – повторный скрининг каждую неделю. Если планируется оперативное лечение, то необходима программа предоперационной подготовки.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Пояснения отсутствуют</w:t>
      </w:r>
    </w:p>
    <w:p w:rsidR="00910F6D" w:rsidRPr="00910F6D" w:rsidRDefault="00910F6D" w:rsidP="00910F6D">
      <w:pPr>
        <w:spacing w:before="750" w:after="450" w:line="240" w:lineRule="auto"/>
        <w:outlineLvl w:val="1"/>
        <w:rPr>
          <w:rFonts w:ascii="Times New Roman" w:eastAsia="Times New Roman" w:hAnsi="Times New Roman" w:cs="Times New Roman"/>
          <w:b/>
          <w:bCs/>
          <w:color w:val="222222"/>
          <w:sz w:val="33"/>
          <w:szCs w:val="33"/>
          <w:lang w:eastAsia="ru-RU"/>
        </w:rPr>
      </w:pPr>
      <w:r w:rsidRPr="00910F6D">
        <w:rPr>
          <w:rFonts w:ascii="Times New Roman" w:eastAsia="Times New Roman" w:hAnsi="Times New Roman" w:cs="Times New Roman"/>
          <w:b/>
          <w:bCs/>
          <w:color w:val="222222"/>
          <w:sz w:val="33"/>
          <w:szCs w:val="33"/>
          <w:lang w:eastAsia="ru-RU"/>
        </w:rPr>
        <w:t>Приложение Г4. Универсальный инструмент скрининга недостаточности питания MUST (Malnutrition Universal Screening Tool)</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Название на русском языке: Универсальный инструмент скрининга недостаточности питания</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Оригинальное название: Malnutrition Universal Screening Tool</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 xml:space="preserve">Источник (официальный сайт разработчиков, публикация с валидацией): Stratton R.J., Hackston A., Longmore D., et al. (2004) Malnutrition in hospital outpatients and </w:t>
      </w:r>
      <w:r w:rsidRPr="00910F6D">
        <w:rPr>
          <w:rFonts w:ascii="Times New Roman" w:eastAsia="Times New Roman" w:hAnsi="Times New Roman" w:cs="Times New Roman"/>
          <w:color w:val="222222"/>
          <w:sz w:val="27"/>
          <w:szCs w:val="27"/>
          <w:lang w:eastAsia="ru-RU"/>
        </w:rPr>
        <w:lastRenderedPageBreak/>
        <w:t>inpatients: prevalence, concurrent validity and ease of use of the "malnutrition universal screening tool" ("MUST") for adults. Br J Nutr 92, 799 – 808).</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Тип: шкала оценки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Назначение: рекомендован для оценки нутритивного статуса пациентов на амбулаторном этапе</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Оценочный инструмент, содержание:</w:t>
      </w:r>
    </w:p>
    <w:tbl>
      <w:tblPr>
        <w:tblW w:w="11850" w:type="dxa"/>
        <w:tblCellMar>
          <w:left w:w="0" w:type="dxa"/>
          <w:right w:w="0" w:type="dxa"/>
        </w:tblCellMar>
        <w:tblLook w:val="04A0" w:firstRow="1" w:lastRow="0" w:firstColumn="1" w:lastColumn="0" w:noHBand="0" w:noVBand="1"/>
      </w:tblPr>
      <w:tblGrid>
        <w:gridCol w:w="563"/>
        <w:gridCol w:w="6787"/>
        <w:gridCol w:w="4500"/>
      </w:tblGrid>
      <w:tr w:rsidR="00910F6D" w:rsidRPr="00910F6D" w:rsidTr="00910F6D">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10F6D" w:rsidRPr="00910F6D" w:rsidRDefault="00910F6D" w:rsidP="00910F6D">
            <w:pPr>
              <w:spacing w:after="0" w:line="240" w:lineRule="atLeast"/>
              <w:jc w:val="both"/>
              <w:rPr>
                <w:rFonts w:ascii="Verdana" w:eastAsia="Times New Roman" w:hAnsi="Verdana" w:cs="Times New Roman"/>
                <w:b/>
                <w:bCs/>
                <w:sz w:val="27"/>
                <w:szCs w:val="27"/>
                <w:lang w:eastAsia="ru-RU"/>
              </w:rPr>
            </w:pPr>
            <w:r w:rsidRPr="00910F6D">
              <w:rPr>
                <w:rFonts w:ascii="Verdana" w:eastAsia="Times New Roman" w:hAnsi="Verdana" w:cs="Times New Roman"/>
                <w:b/>
                <w:bCs/>
                <w:sz w:val="27"/>
                <w:szCs w:val="27"/>
                <w:lang w:eastAsia="ru-RU"/>
              </w:rPr>
              <w:t>Скрининговая часть (А-Е)</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Снизилось за последние 3 месяца количество пищи, которое вы съедаете, из-за потери аппетита, проблем с пищеварением, из-за сложностей при пережевывании и глотании?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-Серьезное уменьшение количества съедаемой пищи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-умеренное уменьшение </w:t>
            </w:r>
            <w:r w:rsidRPr="00910F6D">
              <w:rPr>
                <w:rFonts w:ascii="Verdana" w:eastAsia="Times New Roman" w:hAnsi="Verdana" w:cs="Times New Roman"/>
                <w:b/>
                <w:bCs/>
                <w:sz w:val="27"/>
                <w:szCs w:val="27"/>
                <w:lang w:eastAsia="ru-RU"/>
              </w:rPr>
              <w:t>–</w:t>
            </w:r>
            <w:r w:rsidRPr="00910F6D">
              <w:rPr>
                <w:rFonts w:ascii="Verdana" w:eastAsia="Times New Roman" w:hAnsi="Verdana" w:cs="Times New Roman"/>
                <w:sz w:val="27"/>
                <w:szCs w:val="27"/>
                <w:lang w:eastAsia="ru-RU"/>
              </w:rPr>
              <w:t> 1 балл</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-нет уменьшения количества съедаемой пищи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2 балла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Потеря массы тела за последние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Потеря массы тела более, чем на 3 кг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 знаю-1 балл</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Потеря массы тела от 1 до 3 кг </w:t>
            </w:r>
            <w:r w:rsidRPr="00910F6D">
              <w:rPr>
                <w:rFonts w:ascii="Verdana" w:eastAsia="Times New Roman" w:hAnsi="Verdana" w:cs="Times New Roman"/>
                <w:b/>
                <w:bCs/>
                <w:sz w:val="27"/>
                <w:szCs w:val="27"/>
                <w:lang w:eastAsia="ru-RU"/>
              </w:rPr>
              <w:t>–</w:t>
            </w:r>
            <w:r w:rsidRPr="00910F6D">
              <w:rPr>
                <w:rFonts w:ascii="Verdana" w:eastAsia="Times New Roman" w:hAnsi="Verdana" w:cs="Times New Roman"/>
                <w:sz w:val="27"/>
                <w:szCs w:val="27"/>
                <w:lang w:eastAsia="ru-RU"/>
              </w:rPr>
              <w:t> 2 балла</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Нет потеря массы тела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3 балла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Подвижность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Прикован к кровати/стулу </w:t>
            </w:r>
            <w:r w:rsidRPr="00910F6D">
              <w:rPr>
                <w:rFonts w:ascii="Verdana" w:eastAsia="Times New Roman" w:hAnsi="Verdana" w:cs="Times New Roman"/>
                <w:b/>
                <w:bCs/>
                <w:sz w:val="27"/>
                <w:szCs w:val="27"/>
                <w:lang w:eastAsia="ru-RU"/>
              </w:rPr>
              <w:t>–</w:t>
            </w:r>
            <w:r w:rsidRPr="00910F6D">
              <w:rPr>
                <w:rFonts w:ascii="Verdana" w:eastAsia="Times New Roman" w:hAnsi="Verdana" w:cs="Times New Roman"/>
                <w:sz w:val="27"/>
                <w:szCs w:val="27"/>
                <w:lang w:eastAsia="ru-RU"/>
              </w:rPr>
              <w:t> 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Способен вставать с кровати/стула, но не выходит из дома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Выходит из дома </w:t>
            </w:r>
            <w:r w:rsidRPr="00910F6D">
              <w:rPr>
                <w:rFonts w:ascii="Verdana" w:eastAsia="Times New Roman" w:hAnsi="Verdana" w:cs="Times New Roman"/>
                <w:b/>
                <w:bCs/>
                <w:sz w:val="27"/>
                <w:szCs w:val="27"/>
                <w:lang w:eastAsia="ru-RU"/>
              </w:rPr>
              <w:t>–</w:t>
            </w:r>
            <w:r w:rsidRPr="00910F6D">
              <w:rPr>
                <w:rFonts w:ascii="Verdana" w:eastAsia="Times New Roman" w:hAnsi="Verdana" w:cs="Times New Roman"/>
                <w:sz w:val="27"/>
                <w:szCs w:val="27"/>
                <w:lang w:eastAsia="ru-RU"/>
              </w:rPr>
              <w:t> 2 балла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Острое заболевание (психологический стресс) за последние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Нет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2 балла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Психоневрологические проблемы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Серьезное нарушение памяти или депрессия </w:t>
            </w:r>
            <w:r w:rsidRPr="00910F6D">
              <w:rPr>
                <w:rFonts w:ascii="Verdana" w:eastAsia="Times New Roman" w:hAnsi="Verdana" w:cs="Times New Roman"/>
                <w:b/>
                <w:bCs/>
                <w:sz w:val="27"/>
                <w:szCs w:val="27"/>
                <w:lang w:eastAsia="ru-RU"/>
              </w:rPr>
              <w:t>–</w:t>
            </w:r>
            <w:r w:rsidRPr="00910F6D">
              <w:rPr>
                <w:rFonts w:ascii="Verdana" w:eastAsia="Times New Roman" w:hAnsi="Verdana" w:cs="Times New Roman"/>
                <w:sz w:val="27"/>
                <w:szCs w:val="27"/>
                <w:lang w:eastAsia="ru-RU"/>
              </w:rPr>
              <w:t> 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Умеренное нарушение памяти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lastRenderedPageBreak/>
              <w:t>Нет нейропсихологических проблем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2 балла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lastRenderedPageBreak/>
              <w:t>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Индекс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Меньше 19 кг/м</w:t>
            </w:r>
            <w:r w:rsidRPr="00910F6D">
              <w:rPr>
                <w:rFonts w:ascii="Verdana" w:eastAsia="Times New Roman" w:hAnsi="Verdana" w:cs="Times New Roman"/>
                <w:sz w:val="12"/>
                <w:szCs w:val="12"/>
                <w:vertAlign w:val="superscript"/>
                <w:lang w:eastAsia="ru-RU"/>
              </w:rPr>
              <w:t>3 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19-20 кг/м</w:t>
            </w:r>
            <w:r w:rsidRPr="00910F6D">
              <w:rPr>
                <w:rFonts w:ascii="Verdana" w:eastAsia="Times New Roman" w:hAnsi="Verdana" w:cs="Times New Roman"/>
                <w:sz w:val="12"/>
                <w:szCs w:val="12"/>
                <w:vertAlign w:val="superscript"/>
                <w:lang w:eastAsia="ru-RU"/>
              </w:rPr>
              <w:t>3 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21-22 кг/м</w:t>
            </w:r>
            <w:r w:rsidRPr="00910F6D">
              <w:rPr>
                <w:rFonts w:ascii="Verdana" w:eastAsia="Times New Roman" w:hAnsi="Verdana" w:cs="Times New Roman"/>
                <w:sz w:val="12"/>
                <w:szCs w:val="12"/>
                <w:vertAlign w:val="superscript"/>
                <w:lang w:eastAsia="ru-RU"/>
              </w:rPr>
              <w:t>3 </w:t>
            </w:r>
            <w:r w:rsidRPr="00910F6D">
              <w:rPr>
                <w:rFonts w:ascii="Verdana" w:eastAsia="Times New Roman" w:hAnsi="Verdana" w:cs="Times New Roman"/>
                <w:sz w:val="27"/>
                <w:szCs w:val="27"/>
                <w:lang w:eastAsia="ru-RU"/>
              </w:rPr>
              <w:t>– 2 балла</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23 кг/м</w:t>
            </w:r>
            <w:r w:rsidRPr="00910F6D">
              <w:rPr>
                <w:rFonts w:ascii="Verdana" w:eastAsia="Times New Roman" w:hAnsi="Verdana" w:cs="Times New Roman"/>
                <w:sz w:val="12"/>
                <w:szCs w:val="12"/>
                <w:vertAlign w:val="superscript"/>
                <w:lang w:eastAsia="ru-RU"/>
              </w:rPr>
              <w:t>3 </w:t>
            </w:r>
            <w:r w:rsidRPr="00910F6D">
              <w:rPr>
                <w:rFonts w:ascii="Verdana" w:eastAsia="Times New Roman" w:hAnsi="Verdana" w:cs="Times New Roman"/>
                <w:sz w:val="27"/>
                <w:szCs w:val="27"/>
                <w:lang w:eastAsia="ru-RU"/>
              </w:rPr>
              <w:t>и выше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3 балла</w:t>
            </w:r>
          </w:p>
        </w:tc>
      </w:tr>
      <w:tr w:rsidR="00910F6D" w:rsidRPr="00910F6D" w:rsidTr="00910F6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Сумма баллов за скрининговую часть:_______/14</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Интерпретация:</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Если сумма баллов за скрининговую часть составила 12-14 баллов- нормальный пищевой статус.</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Если сумма баллов по скрининговой части составила менее 12 баллов- продолжить опрос далее</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Живет независимо (не в доме престарелых или в больнице)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Нет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Принимает более трех лекарств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 </w:t>
            </w:r>
            <w:r w:rsidRPr="00910F6D">
              <w:rPr>
                <w:rFonts w:ascii="Verdana" w:eastAsia="Times New Roman" w:hAnsi="Verdana" w:cs="Times New Roman"/>
                <w:b/>
                <w:bCs/>
                <w:sz w:val="27"/>
                <w:szCs w:val="27"/>
                <w:lang w:eastAsia="ru-RU"/>
              </w:rPr>
              <w:t>–</w:t>
            </w:r>
            <w:r w:rsidRPr="00910F6D">
              <w:rPr>
                <w:rFonts w:ascii="Verdana" w:eastAsia="Times New Roman" w:hAnsi="Verdana" w:cs="Times New Roman"/>
                <w:sz w:val="27"/>
                <w:szCs w:val="27"/>
                <w:lang w:eastAsia="ru-RU"/>
              </w:rPr>
              <w:t> 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Нет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Пролежни и язвы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Нет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Сколько раз в день пациент полноценно питается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1 раз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 раза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 раза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2 балла</w:t>
            </w:r>
          </w:p>
        </w:tc>
      </w:tr>
      <w:tr w:rsidR="00910F6D" w:rsidRPr="00910F6D" w:rsidTr="00910F6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Маркеры потребления белковой пищи:</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Одна порция молочных продуктов (1 порция= 1 стакан молока, 60 г творога, 30 г сыра, ¾ стакана йогурта) в день (да/нет)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если 0-1 ответ «да»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если 2 ответа «да» </w:t>
            </w:r>
            <w:r w:rsidRPr="00910F6D">
              <w:rPr>
                <w:rFonts w:ascii="Verdana" w:eastAsia="Times New Roman" w:hAnsi="Verdana" w:cs="Times New Roman"/>
                <w:b/>
                <w:bCs/>
                <w:sz w:val="27"/>
                <w:szCs w:val="27"/>
                <w:lang w:eastAsia="ru-RU"/>
              </w:rPr>
              <w:t>–</w:t>
            </w:r>
            <w:r w:rsidRPr="00910F6D">
              <w:rPr>
                <w:rFonts w:ascii="Verdana" w:eastAsia="Times New Roman" w:hAnsi="Verdana" w:cs="Times New Roman"/>
                <w:sz w:val="27"/>
                <w:szCs w:val="27"/>
                <w:lang w:eastAsia="ru-RU"/>
              </w:rPr>
              <w:t> 0,5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 </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если 3  ответа «да»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tc>
      </w:tr>
      <w:tr w:rsidR="00910F6D" w:rsidRPr="00910F6D" w:rsidTr="00910F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10F6D" w:rsidRPr="00910F6D" w:rsidRDefault="00910F6D" w:rsidP="00910F6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Две или более порции бобовых и яиц в неделю (1 порция=200г бобовых, 1 яйцо)</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(да/нет)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10F6D" w:rsidRPr="00910F6D" w:rsidRDefault="00910F6D" w:rsidP="00910F6D">
            <w:pPr>
              <w:spacing w:after="0" w:line="240" w:lineRule="auto"/>
              <w:rPr>
                <w:rFonts w:ascii="Verdana" w:eastAsia="Times New Roman" w:hAnsi="Verdana" w:cs="Times New Roman"/>
                <w:sz w:val="27"/>
                <w:szCs w:val="27"/>
                <w:lang w:eastAsia="ru-RU"/>
              </w:rPr>
            </w:pPr>
          </w:p>
        </w:tc>
      </w:tr>
      <w:tr w:rsidR="00910F6D" w:rsidRPr="00910F6D" w:rsidTr="00910F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10F6D" w:rsidRPr="00910F6D" w:rsidRDefault="00910F6D" w:rsidP="00910F6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Мясо, рыба или птица каждый день (да/нет)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10F6D" w:rsidRPr="00910F6D" w:rsidRDefault="00910F6D" w:rsidP="00910F6D">
            <w:pPr>
              <w:spacing w:after="0" w:line="240" w:lineRule="auto"/>
              <w:rPr>
                <w:rFonts w:ascii="Verdana" w:eastAsia="Times New Roman" w:hAnsi="Verdana" w:cs="Times New Roman"/>
                <w:sz w:val="27"/>
                <w:szCs w:val="27"/>
                <w:lang w:eastAsia="ru-RU"/>
              </w:rPr>
            </w:pP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lastRenderedPageBreak/>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Съедает две или более порций фруктов или овощей в день (1 порция =200 г овощей, 1 любой фрукт среднего размера)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Нет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Да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Сколько жидкости выпивает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Меньше 3 стаканов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3-5 стаканов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0,5  балла</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Больше 5 стаканов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Способ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 способен есть без помощи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Ест самостоятельно с небольшими трудностями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Ест самостоятельно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2 балла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Самооценка состояния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Оценивает себя как плохо питающегося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Оценивает свое состояние питания неопределенно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Оценивает себя, как не имеющего проблем с питанием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2 балла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Состояние здоровья в сравнении с другими людьми своего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 такое хорошее – 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Не знает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0,5 балла</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Такое же хорошее </w:t>
            </w:r>
            <w:r w:rsidRPr="00910F6D">
              <w:rPr>
                <w:rFonts w:ascii="Verdana" w:eastAsia="Times New Roman" w:hAnsi="Verdana" w:cs="Times New Roman"/>
                <w:b/>
                <w:bCs/>
                <w:sz w:val="27"/>
                <w:szCs w:val="27"/>
                <w:lang w:eastAsia="ru-RU"/>
              </w:rPr>
              <w:t>–</w:t>
            </w:r>
            <w:r w:rsidRPr="00910F6D">
              <w:rPr>
                <w:rFonts w:ascii="Verdana" w:eastAsia="Times New Roman" w:hAnsi="Verdana" w:cs="Times New Roman"/>
                <w:sz w:val="27"/>
                <w:szCs w:val="27"/>
                <w:lang w:eastAsia="ru-RU"/>
              </w:rPr>
              <w:t> 1 балл</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Лучше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2 балла</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Окружность по середине плеча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20 см и меньше </w:t>
            </w:r>
            <w:r w:rsidRPr="00910F6D">
              <w:rPr>
                <w:rFonts w:ascii="Verdana" w:eastAsia="Times New Roman" w:hAnsi="Verdana" w:cs="Times New Roman"/>
                <w:b/>
                <w:bCs/>
                <w:sz w:val="27"/>
                <w:szCs w:val="27"/>
                <w:lang w:eastAsia="ru-RU"/>
              </w:rPr>
              <w:t>–</w:t>
            </w:r>
            <w:r w:rsidRPr="00910F6D">
              <w:rPr>
                <w:rFonts w:ascii="Verdana" w:eastAsia="Times New Roman" w:hAnsi="Verdana" w:cs="Times New Roman"/>
                <w:sz w:val="27"/>
                <w:szCs w:val="27"/>
                <w:lang w:eastAsia="ru-RU"/>
              </w:rPr>
              <w:t> 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21-22 см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0,5 балла</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23 и больше- 1 балл</w:t>
            </w:r>
          </w:p>
        </w:tc>
      </w:tr>
      <w:tr w:rsidR="00910F6D" w:rsidRPr="00910F6D" w:rsidTr="00910F6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Окружность голени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Меньше 31 см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0 баллов</w:t>
            </w:r>
          </w:p>
          <w:p w:rsidR="00910F6D" w:rsidRPr="00910F6D" w:rsidRDefault="00910F6D" w:rsidP="00910F6D">
            <w:pPr>
              <w:spacing w:after="0" w:line="240" w:lineRule="atLeast"/>
              <w:jc w:val="both"/>
              <w:rPr>
                <w:rFonts w:ascii="Verdana" w:eastAsia="Times New Roman" w:hAnsi="Verdana" w:cs="Times New Roman"/>
                <w:sz w:val="27"/>
                <w:szCs w:val="27"/>
                <w:lang w:eastAsia="ru-RU"/>
              </w:rPr>
            </w:pPr>
            <w:r w:rsidRPr="00910F6D">
              <w:rPr>
                <w:rFonts w:ascii="Verdana" w:eastAsia="Times New Roman" w:hAnsi="Verdana" w:cs="Times New Roman"/>
                <w:sz w:val="27"/>
                <w:szCs w:val="27"/>
                <w:lang w:eastAsia="ru-RU"/>
              </w:rPr>
              <w:t>31 см и больше </w:t>
            </w:r>
            <w:r w:rsidRPr="00910F6D">
              <w:rPr>
                <w:rFonts w:ascii="Verdana" w:eastAsia="Times New Roman" w:hAnsi="Verdana" w:cs="Times New Roman"/>
                <w:b/>
                <w:bCs/>
                <w:sz w:val="27"/>
                <w:szCs w:val="27"/>
                <w:lang w:eastAsia="ru-RU"/>
              </w:rPr>
              <w:t>– </w:t>
            </w:r>
            <w:r w:rsidRPr="00910F6D">
              <w:rPr>
                <w:rFonts w:ascii="Verdana" w:eastAsia="Times New Roman" w:hAnsi="Verdana" w:cs="Times New Roman"/>
                <w:sz w:val="27"/>
                <w:szCs w:val="27"/>
                <w:lang w:eastAsia="ru-RU"/>
              </w:rPr>
              <w:t>1 балл </w:t>
            </w:r>
          </w:p>
        </w:tc>
      </w:tr>
    </w:tbl>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Общий балл:__________/30</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Ключ интерпретация результатов (полная шкала от А до Т):</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&gt;23,5 баллов – нормальный пищевой статус</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lastRenderedPageBreak/>
        <w:t>17-23,5 баллов – риск недостаточности питания (мальнутриции)</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&lt;17 баллов – недостаточность питания (мальнутриция).    </w:t>
      </w:r>
    </w:p>
    <w:p w:rsidR="00910F6D" w:rsidRPr="00910F6D" w:rsidRDefault="00910F6D" w:rsidP="00910F6D">
      <w:pPr>
        <w:spacing w:after="240" w:line="390" w:lineRule="atLeast"/>
        <w:jc w:val="both"/>
        <w:rPr>
          <w:rFonts w:ascii="Times New Roman" w:eastAsia="Times New Roman" w:hAnsi="Times New Roman" w:cs="Times New Roman"/>
          <w:color w:val="222222"/>
          <w:sz w:val="27"/>
          <w:szCs w:val="27"/>
          <w:lang w:eastAsia="ru-RU"/>
        </w:rPr>
      </w:pPr>
      <w:r w:rsidRPr="00910F6D">
        <w:rPr>
          <w:rFonts w:ascii="Times New Roman" w:eastAsia="Times New Roman" w:hAnsi="Times New Roman" w:cs="Times New Roman"/>
          <w:color w:val="222222"/>
          <w:sz w:val="27"/>
          <w:szCs w:val="27"/>
          <w:lang w:eastAsia="ru-RU"/>
        </w:rPr>
        <w:t>Пояснения отсутствуют</w:t>
      </w:r>
    </w:p>
    <w:p w:rsidR="006B0F6F" w:rsidRDefault="006B0F6F">
      <w:bookmarkStart w:id="0" w:name="_GoBack"/>
      <w:bookmarkEnd w:id="0"/>
    </w:p>
    <w:sectPr w:rsidR="006B0F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2A5A"/>
    <w:multiLevelType w:val="multilevel"/>
    <w:tmpl w:val="DEF4B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41A8E"/>
    <w:multiLevelType w:val="multilevel"/>
    <w:tmpl w:val="ED183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C13D7"/>
    <w:multiLevelType w:val="multilevel"/>
    <w:tmpl w:val="8ECE1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7F4B7A"/>
    <w:multiLevelType w:val="multilevel"/>
    <w:tmpl w:val="A0A42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DD7A61"/>
    <w:multiLevelType w:val="multilevel"/>
    <w:tmpl w:val="490CD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0B1BC3"/>
    <w:multiLevelType w:val="multilevel"/>
    <w:tmpl w:val="86085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76318"/>
    <w:multiLevelType w:val="multilevel"/>
    <w:tmpl w:val="AEFC6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BB2E51"/>
    <w:multiLevelType w:val="multilevel"/>
    <w:tmpl w:val="0652E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F72E5D"/>
    <w:multiLevelType w:val="multilevel"/>
    <w:tmpl w:val="CC5ED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1D0EA5"/>
    <w:multiLevelType w:val="multilevel"/>
    <w:tmpl w:val="F3BE7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1009EC"/>
    <w:multiLevelType w:val="multilevel"/>
    <w:tmpl w:val="AE826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9F1807"/>
    <w:multiLevelType w:val="multilevel"/>
    <w:tmpl w:val="0B1A4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415C17"/>
    <w:multiLevelType w:val="multilevel"/>
    <w:tmpl w:val="5AB2E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7931D5"/>
    <w:multiLevelType w:val="multilevel"/>
    <w:tmpl w:val="FB04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1B5357"/>
    <w:multiLevelType w:val="multilevel"/>
    <w:tmpl w:val="0A50E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B81B76"/>
    <w:multiLevelType w:val="multilevel"/>
    <w:tmpl w:val="7AB4B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606E22"/>
    <w:multiLevelType w:val="multilevel"/>
    <w:tmpl w:val="CA28D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B10C7F"/>
    <w:multiLevelType w:val="multilevel"/>
    <w:tmpl w:val="0738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D179A3"/>
    <w:multiLevelType w:val="multilevel"/>
    <w:tmpl w:val="6394A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A946AF"/>
    <w:multiLevelType w:val="multilevel"/>
    <w:tmpl w:val="EFB24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921E4A"/>
    <w:multiLevelType w:val="multilevel"/>
    <w:tmpl w:val="6F00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9B44C0"/>
    <w:multiLevelType w:val="multilevel"/>
    <w:tmpl w:val="603C7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935CAF"/>
    <w:multiLevelType w:val="multilevel"/>
    <w:tmpl w:val="F1C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FE6BCE"/>
    <w:multiLevelType w:val="multilevel"/>
    <w:tmpl w:val="12AEF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405971"/>
    <w:multiLevelType w:val="multilevel"/>
    <w:tmpl w:val="F78A2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5A222D"/>
    <w:multiLevelType w:val="multilevel"/>
    <w:tmpl w:val="A34AE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080A79"/>
    <w:multiLevelType w:val="multilevel"/>
    <w:tmpl w:val="CFD8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B331B4"/>
    <w:multiLevelType w:val="multilevel"/>
    <w:tmpl w:val="27AC7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780DA0"/>
    <w:multiLevelType w:val="multilevel"/>
    <w:tmpl w:val="CBEC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902A67"/>
    <w:multiLevelType w:val="multilevel"/>
    <w:tmpl w:val="B2DC5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0D5FEF"/>
    <w:multiLevelType w:val="multilevel"/>
    <w:tmpl w:val="562A1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4687DC3"/>
    <w:multiLevelType w:val="multilevel"/>
    <w:tmpl w:val="11983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60E4D61"/>
    <w:multiLevelType w:val="multilevel"/>
    <w:tmpl w:val="9E46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65A1FC4"/>
    <w:multiLevelType w:val="multilevel"/>
    <w:tmpl w:val="D2CA4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71F468C"/>
    <w:multiLevelType w:val="multilevel"/>
    <w:tmpl w:val="7D048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92376A4"/>
    <w:multiLevelType w:val="multilevel"/>
    <w:tmpl w:val="9A68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AC58D1"/>
    <w:multiLevelType w:val="multilevel"/>
    <w:tmpl w:val="07300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BB778A7"/>
    <w:multiLevelType w:val="multilevel"/>
    <w:tmpl w:val="04E66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D2A7DEF"/>
    <w:multiLevelType w:val="multilevel"/>
    <w:tmpl w:val="FF2A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D661287"/>
    <w:multiLevelType w:val="multilevel"/>
    <w:tmpl w:val="0AFE2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1450E28"/>
    <w:multiLevelType w:val="multilevel"/>
    <w:tmpl w:val="8C76F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15739AC"/>
    <w:multiLevelType w:val="multilevel"/>
    <w:tmpl w:val="667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19D2E0E"/>
    <w:multiLevelType w:val="multilevel"/>
    <w:tmpl w:val="F14EC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6B229CB"/>
    <w:multiLevelType w:val="multilevel"/>
    <w:tmpl w:val="1A769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9A31CAD"/>
    <w:multiLevelType w:val="multilevel"/>
    <w:tmpl w:val="92987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AC62428"/>
    <w:multiLevelType w:val="multilevel"/>
    <w:tmpl w:val="A51C9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800DB4"/>
    <w:multiLevelType w:val="multilevel"/>
    <w:tmpl w:val="D598A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C50309E"/>
    <w:multiLevelType w:val="multilevel"/>
    <w:tmpl w:val="C69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C817EF8"/>
    <w:multiLevelType w:val="multilevel"/>
    <w:tmpl w:val="78DE8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47642BC"/>
    <w:multiLevelType w:val="multilevel"/>
    <w:tmpl w:val="DE4C9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5F414A2"/>
    <w:multiLevelType w:val="multilevel"/>
    <w:tmpl w:val="651C5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61F0A9B"/>
    <w:multiLevelType w:val="multilevel"/>
    <w:tmpl w:val="395E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65061F1"/>
    <w:multiLevelType w:val="multilevel"/>
    <w:tmpl w:val="4C468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C25BCE"/>
    <w:multiLevelType w:val="multilevel"/>
    <w:tmpl w:val="669CC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8D636F4"/>
    <w:multiLevelType w:val="multilevel"/>
    <w:tmpl w:val="C776A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C5C5800"/>
    <w:multiLevelType w:val="multilevel"/>
    <w:tmpl w:val="715E8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D9251C6"/>
    <w:multiLevelType w:val="multilevel"/>
    <w:tmpl w:val="A78E8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1E823A2"/>
    <w:multiLevelType w:val="multilevel"/>
    <w:tmpl w:val="8DC64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71413B6"/>
    <w:multiLevelType w:val="multilevel"/>
    <w:tmpl w:val="ABAA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A236938"/>
    <w:multiLevelType w:val="multilevel"/>
    <w:tmpl w:val="BDACD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4"/>
  </w:num>
  <w:num w:numId="2">
    <w:abstractNumId w:val="32"/>
  </w:num>
  <w:num w:numId="3">
    <w:abstractNumId w:val="12"/>
  </w:num>
  <w:num w:numId="4">
    <w:abstractNumId w:val="37"/>
  </w:num>
  <w:num w:numId="5">
    <w:abstractNumId w:val="59"/>
  </w:num>
  <w:num w:numId="6">
    <w:abstractNumId w:val="21"/>
  </w:num>
  <w:num w:numId="7">
    <w:abstractNumId w:val="19"/>
  </w:num>
  <w:num w:numId="8">
    <w:abstractNumId w:val="41"/>
  </w:num>
  <w:num w:numId="9">
    <w:abstractNumId w:val="56"/>
  </w:num>
  <w:num w:numId="10">
    <w:abstractNumId w:val="31"/>
  </w:num>
  <w:num w:numId="11">
    <w:abstractNumId w:val="22"/>
  </w:num>
  <w:num w:numId="12">
    <w:abstractNumId w:val="40"/>
  </w:num>
  <w:num w:numId="13">
    <w:abstractNumId w:val="34"/>
  </w:num>
  <w:num w:numId="14">
    <w:abstractNumId w:val="23"/>
  </w:num>
  <w:num w:numId="15">
    <w:abstractNumId w:val="7"/>
  </w:num>
  <w:num w:numId="16">
    <w:abstractNumId w:val="17"/>
  </w:num>
  <w:num w:numId="17">
    <w:abstractNumId w:val="57"/>
  </w:num>
  <w:num w:numId="18">
    <w:abstractNumId w:val="11"/>
  </w:num>
  <w:num w:numId="19">
    <w:abstractNumId w:val="46"/>
  </w:num>
  <w:num w:numId="20">
    <w:abstractNumId w:val="29"/>
  </w:num>
  <w:num w:numId="21">
    <w:abstractNumId w:val="2"/>
  </w:num>
  <w:num w:numId="22">
    <w:abstractNumId w:val="9"/>
  </w:num>
  <w:num w:numId="23">
    <w:abstractNumId w:val="55"/>
  </w:num>
  <w:num w:numId="24">
    <w:abstractNumId w:val="8"/>
  </w:num>
  <w:num w:numId="25">
    <w:abstractNumId w:val="6"/>
  </w:num>
  <w:num w:numId="26">
    <w:abstractNumId w:val="35"/>
  </w:num>
  <w:num w:numId="27">
    <w:abstractNumId w:val="36"/>
  </w:num>
  <w:num w:numId="28">
    <w:abstractNumId w:val="50"/>
  </w:num>
  <w:num w:numId="29">
    <w:abstractNumId w:val="27"/>
  </w:num>
  <w:num w:numId="30">
    <w:abstractNumId w:val="10"/>
  </w:num>
  <w:num w:numId="31">
    <w:abstractNumId w:val="45"/>
  </w:num>
  <w:num w:numId="32">
    <w:abstractNumId w:val="42"/>
  </w:num>
  <w:num w:numId="33">
    <w:abstractNumId w:val="30"/>
  </w:num>
  <w:num w:numId="34">
    <w:abstractNumId w:val="24"/>
  </w:num>
  <w:num w:numId="35">
    <w:abstractNumId w:val="3"/>
  </w:num>
  <w:num w:numId="36">
    <w:abstractNumId w:val="48"/>
  </w:num>
  <w:num w:numId="37">
    <w:abstractNumId w:val="38"/>
  </w:num>
  <w:num w:numId="38">
    <w:abstractNumId w:val="26"/>
  </w:num>
  <w:num w:numId="39">
    <w:abstractNumId w:val="0"/>
  </w:num>
  <w:num w:numId="40">
    <w:abstractNumId w:val="53"/>
  </w:num>
  <w:num w:numId="41">
    <w:abstractNumId w:val="28"/>
  </w:num>
  <w:num w:numId="42">
    <w:abstractNumId w:val="39"/>
  </w:num>
  <w:num w:numId="43">
    <w:abstractNumId w:val="16"/>
  </w:num>
  <w:num w:numId="44">
    <w:abstractNumId w:val="20"/>
  </w:num>
  <w:num w:numId="45">
    <w:abstractNumId w:val="43"/>
  </w:num>
  <w:num w:numId="46">
    <w:abstractNumId w:val="58"/>
  </w:num>
  <w:num w:numId="47">
    <w:abstractNumId w:val="47"/>
  </w:num>
  <w:num w:numId="48">
    <w:abstractNumId w:val="4"/>
  </w:num>
  <w:num w:numId="49">
    <w:abstractNumId w:val="33"/>
  </w:num>
  <w:num w:numId="50">
    <w:abstractNumId w:val="51"/>
  </w:num>
  <w:num w:numId="51">
    <w:abstractNumId w:val="13"/>
  </w:num>
  <w:num w:numId="52">
    <w:abstractNumId w:val="44"/>
  </w:num>
  <w:num w:numId="53">
    <w:abstractNumId w:val="14"/>
  </w:num>
  <w:num w:numId="54">
    <w:abstractNumId w:val="1"/>
  </w:num>
  <w:num w:numId="55">
    <w:abstractNumId w:val="52"/>
  </w:num>
  <w:num w:numId="56">
    <w:abstractNumId w:val="49"/>
  </w:num>
  <w:num w:numId="57">
    <w:abstractNumId w:val="5"/>
  </w:num>
  <w:num w:numId="58">
    <w:abstractNumId w:val="15"/>
  </w:num>
  <w:num w:numId="59">
    <w:abstractNumId w:val="18"/>
  </w:num>
  <w:num w:numId="60">
    <w:abstractNumId w:val="2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4E7"/>
    <w:rsid w:val="004424E7"/>
    <w:rsid w:val="006B0F6F"/>
    <w:rsid w:val="00910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23D375-A0CC-4114-9846-E3E0776C2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10F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10F6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10F6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0F6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10F6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10F6D"/>
    <w:rPr>
      <w:rFonts w:ascii="Times New Roman" w:eastAsia="Times New Roman" w:hAnsi="Times New Roman" w:cs="Times New Roman"/>
      <w:b/>
      <w:bCs/>
      <w:sz w:val="27"/>
      <w:szCs w:val="27"/>
      <w:lang w:eastAsia="ru-RU"/>
    </w:rPr>
  </w:style>
  <w:style w:type="paragraph" w:customStyle="1" w:styleId="msonormal0">
    <w:name w:val="msonormal"/>
    <w:basedOn w:val="a"/>
    <w:rsid w:val="00910F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910F6D"/>
  </w:style>
  <w:style w:type="paragraph" w:styleId="a3">
    <w:name w:val="Normal (Web)"/>
    <w:basedOn w:val="a"/>
    <w:uiPriority w:val="99"/>
    <w:semiHidden/>
    <w:unhideWhenUsed/>
    <w:rsid w:val="00910F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10F6D"/>
    <w:rPr>
      <w:b/>
      <w:bCs/>
    </w:rPr>
  </w:style>
  <w:style w:type="paragraph" w:customStyle="1" w:styleId="marginl">
    <w:name w:val="marginl"/>
    <w:basedOn w:val="a"/>
    <w:rsid w:val="00910F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10F6D"/>
    <w:rPr>
      <w:i/>
      <w:iCs/>
    </w:rPr>
  </w:style>
  <w:style w:type="character" w:styleId="a6">
    <w:name w:val="Hyperlink"/>
    <w:basedOn w:val="a0"/>
    <w:uiPriority w:val="99"/>
    <w:semiHidden/>
    <w:unhideWhenUsed/>
    <w:rsid w:val="00910F6D"/>
    <w:rPr>
      <w:color w:val="0000FF"/>
      <w:u w:val="single"/>
    </w:rPr>
  </w:style>
  <w:style w:type="character" w:styleId="a7">
    <w:name w:val="FollowedHyperlink"/>
    <w:basedOn w:val="a0"/>
    <w:uiPriority w:val="99"/>
    <w:semiHidden/>
    <w:unhideWhenUsed/>
    <w:rsid w:val="00910F6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735614">
      <w:bodyDiv w:val="1"/>
      <w:marLeft w:val="0"/>
      <w:marRight w:val="0"/>
      <w:marTop w:val="0"/>
      <w:marBottom w:val="0"/>
      <w:divBdr>
        <w:top w:val="none" w:sz="0" w:space="0" w:color="auto"/>
        <w:left w:val="none" w:sz="0" w:space="0" w:color="auto"/>
        <w:bottom w:val="none" w:sz="0" w:space="0" w:color="auto"/>
        <w:right w:val="none" w:sz="0" w:space="0" w:color="auto"/>
      </w:divBdr>
      <w:divsChild>
        <w:div w:id="488252964">
          <w:marLeft w:val="0"/>
          <w:marRight w:val="0"/>
          <w:marTop w:val="0"/>
          <w:marBottom w:val="0"/>
          <w:divBdr>
            <w:top w:val="none" w:sz="0" w:space="0" w:color="auto"/>
            <w:left w:val="none" w:sz="0" w:space="0" w:color="auto"/>
            <w:bottom w:val="single" w:sz="36" w:space="0" w:color="D3D3E8"/>
            <w:right w:val="none" w:sz="0" w:space="0" w:color="auto"/>
          </w:divBdr>
          <w:divsChild>
            <w:div w:id="1250308547">
              <w:marLeft w:val="0"/>
              <w:marRight w:val="0"/>
              <w:marTop w:val="0"/>
              <w:marBottom w:val="0"/>
              <w:divBdr>
                <w:top w:val="none" w:sz="0" w:space="0" w:color="auto"/>
                <w:left w:val="none" w:sz="0" w:space="0" w:color="auto"/>
                <w:bottom w:val="none" w:sz="0" w:space="0" w:color="auto"/>
                <w:right w:val="none" w:sz="0" w:space="0" w:color="auto"/>
              </w:divBdr>
              <w:divsChild>
                <w:div w:id="403837329">
                  <w:marLeft w:val="0"/>
                  <w:marRight w:val="0"/>
                  <w:marTop w:val="0"/>
                  <w:marBottom w:val="0"/>
                  <w:divBdr>
                    <w:top w:val="none" w:sz="0" w:space="0" w:color="auto"/>
                    <w:left w:val="none" w:sz="0" w:space="0" w:color="auto"/>
                    <w:bottom w:val="none" w:sz="0" w:space="0" w:color="auto"/>
                    <w:right w:val="none" w:sz="0" w:space="0" w:color="auto"/>
                  </w:divBdr>
                </w:div>
                <w:div w:id="1739934443">
                  <w:marLeft w:val="600"/>
                  <w:marRight w:val="450"/>
                  <w:marTop w:val="0"/>
                  <w:marBottom w:val="0"/>
                  <w:divBdr>
                    <w:top w:val="none" w:sz="0" w:space="0" w:color="auto"/>
                    <w:left w:val="none" w:sz="0" w:space="0" w:color="auto"/>
                    <w:bottom w:val="none" w:sz="0" w:space="0" w:color="auto"/>
                    <w:right w:val="none" w:sz="0" w:space="0" w:color="auto"/>
                  </w:divBdr>
                  <w:divsChild>
                    <w:div w:id="2003046300">
                      <w:marLeft w:val="0"/>
                      <w:marRight w:val="0"/>
                      <w:marTop w:val="0"/>
                      <w:marBottom w:val="150"/>
                      <w:divBdr>
                        <w:top w:val="none" w:sz="0" w:space="0" w:color="auto"/>
                        <w:left w:val="none" w:sz="0" w:space="0" w:color="auto"/>
                        <w:bottom w:val="none" w:sz="0" w:space="0" w:color="auto"/>
                        <w:right w:val="none" w:sz="0" w:space="0" w:color="auto"/>
                      </w:divBdr>
                    </w:div>
                    <w:div w:id="1340502442">
                      <w:marLeft w:val="0"/>
                      <w:marRight w:val="0"/>
                      <w:marTop w:val="0"/>
                      <w:marBottom w:val="150"/>
                      <w:divBdr>
                        <w:top w:val="none" w:sz="0" w:space="0" w:color="auto"/>
                        <w:left w:val="none" w:sz="0" w:space="0" w:color="auto"/>
                        <w:bottom w:val="none" w:sz="0" w:space="0" w:color="auto"/>
                        <w:right w:val="none" w:sz="0" w:space="0" w:color="auto"/>
                      </w:divBdr>
                    </w:div>
                    <w:div w:id="862981871">
                      <w:marLeft w:val="0"/>
                      <w:marRight w:val="0"/>
                      <w:marTop w:val="0"/>
                      <w:marBottom w:val="150"/>
                      <w:divBdr>
                        <w:top w:val="none" w:sz="0" w:space="0" w:color="auto"/>
                        <w:left w:val="none" w:sz="0" w:space="0" w:color="auto"/>
                        <w:bottom w:val="none" w:sz="0" w:space="0" w:color="auto"/>
                        <w:right w:val="none" w:sz="0" w:space="0" w:color="auto"/>
                      </w:divBdr>
                    </w:div>
                  </w:divsChild>
                </w:div>
                <w:div w:id="1924340363">
                  <w:marLeft w:val="600"/>
                  <w:marRight w:val="450"/>
                  <w:marTop w:val="0"/>
                  <w:marBottom w:val="0"/>
                  <w:divBdr>
                    <w:top w:val="none" w:sz="0" w:space="0" w:color="auto"/>
                    <w:left w:val="none" w:sz="0" w:space="0" w:color="auto"/>
                    <w:bottom w:val="none" w:sz="0" w:space="0" w:color="auto"/>
                    <w:right w:val="none" w:sz="0" w:space="0" w:color="auto"/>
                  </w:divBdr>
                  <w:divsChild>
                    <w:div w:id="1047225025">
                      <w:marLeft w:val="0"/>
                      <w:marRight w:val="0"/>
                      <w:marTop w:val="0"/>
                      <w:marBottom w:val="150"/>
                      <w:divBdr>
                        <w:top w:val="none" w:sz="0" w:space="0" w:color="auto"/>
                        <w:left w:val="none" w:sz="0" w:space="0" w:color="auto"/>
                        <w:bottom w:val="none" w:sz="0" w:space="0" w:color="auto"/>
                        <w:right w:val="none" w:sz="0" w:space="0" w:color="auto"/>
                      </w:divBdr>
                    </w:div>
                    <w:div w:id="465590788">
                      <w:marLeft w:val="0"/>
                      <w:marRight w:val="0"/>
                      <w:marTop w:val="0"/>
                      <w:marBottom w:val="150"/>
                      <w:divBdr>
                        <w:top w:val="none" w:sz="0" w:space="0" w:color="auto"/>
                        <w:left w:val="none" w:sz="0" w:space="0" w:color="auto"/>
                        <w:bottom w:val="none" w:sz="0" w:space="0" w:color="auto"/>
                        <w:right w:val="none" w:sz="0" w:space="0" w:color="auto"/>
                      </w:divBdr>
                    </w:div>
                  </w:divsChild>
                </w:div>
                <w:div w:id="1884243541">
                  <w:marLeft w:val="0"/>
                  <w:marRight w:val="450"/>
                  <w:marTop w:val="0"/>
                  <w:marBottom w:val="0"/>
                  <w:divBdr>
                    <w:top w:val="none" w:sz="0" w:space="0" w:color="auto"/>
                    <w:left w:val="none" w:sz="0" w:space="0" w:color="auto"/>
                    <w:bottom w:val="none" w:sz="0" w:space="0" w:color="auto"/>
                    <w:right w:val="none" w:sz="0" w:space="0" w:color="auto"/>
                  </w:divBdr>
                  <w:divsChild>
                    <w:div w:id="839196119">
                      <w:marLeft w:val="0"/>
                      <w:marRight w:val="0"/>
                      <w:marTop w:val="0"/>
                      <w:marBottom w:val="150"/>
                      <w:divBdr>
                        <w:top w:val="none" w:sz="0" w:space="0" w:color="auto"/>
                        <w:left w:val="none" w:sz="0" w:space="0" w:color="auto"/>
                        <w:bottom w:val="none" w:sz="0" w:space="0" w:color="auto"/>
                        <w:right w:val="none" w:sz="0" w:space="0" w:color="auto"/>
                      </w:divBdr>
                    </w:div>
                    <w:div w:id="16481214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30738681">
          <w:marLeft w:val="0"/>
          <w:marRight w:val="0"/>
          <w:marTop w:val="0"/>
          <w:marBottom w:val="0"/>
          <w:divBdr>
            <w:top w:val="none" w:sz="0" w:space="0" w:color="auto"/>
            <w:left w:val="none" w:sz="0" w:space="0" w:color="auto"/>
            <w:bottom w:val="none" w:sz="0" w:space="0" w:color="auto"/>
            <w:right w:val="none" w:sz="0" w:space="0" w:color="auto"/>
          </w:divBdr>
          <w:divsChild>
            <w:div w:id="575553055">
              <w:marLeft w:val="0"/>
              <w:marRight w:val="0"/>
              <w:marTop w:val="0"/>
              <w:marBottom w:val="0"/>
              <w:divBdr>
                <w:top w:val="none" w:sz="0" w:space="0" w:color="auto"/>
                <w:left w:val="none" w:sz="0" w:space="0" w:color="auto"/>
                <w:bottom w:val="none" w:sz="0" w:space="0" w:color="auto"/>
                <w:right w:val="none" w:sz="0" w:space="0" w:color="auto"/>
              </w:divBdr>
              <w:divsChild>
                <w:div w:id="1117599177">
                  <w:marLeft w:val="0"/>
                  <w:marRight w:val="0"/>
                  <w:marTop w:val="0"/>
                  <w:marBottom w:val="0"/>
                  <w:divBdr>
                    <w:top w:val="none" w:sz="0" w:space="0" w:color="auto"/>
                    <w:left w:val="none" w:sz="0" w:space="0" w:color="auto"/>
                    <w:bottom w:val="none" w:sz="0" w:space="0" w:color="auto"/>
                    <w:right w:val="none" w:sz="0" w:space="0" w:color="auto"/>
                  </w:divBdr>
                  <w:divsChild>
                    <w:div w:id="104158632">
                      <w:marLeft w:val="0"/>
                      <w:marRight w:val="0"/>
                      <w:marTop w:val="0"/>
                      <w:marBottom w:val="0"/>
                      <w:divBdr>
                        <w:top w:val="none" w:sz="0" w:space="0" w:color="auto"/>
                        <w:left w:val="none" w:sz="0" w:space="0" w:color="auto"/>
                        <w:bottom w:val="none" w:sz="0" w:space="0" w:color="auto"/>
                        <w:right w:val="none" w:sz="0" w:space="0" w:color="auto"/>
                      </w:divBdr>
                      <w:divsChild>
                        <w:div w:id="1853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87672">
                  <w:marLeft w:val="0"/>
                  <w:marRight w:val="0"/>
                  <w:marTop w:val="0"/>
                  <w:marBottom w:val="0"/>
                  <w:divBdr>
                    <w:top w:val="none" w:sz="0" w:space="0" w:color="auto"/>
                    <w:left w:val="none" w:sz="0" w:space="0" w:color="auto"/>
                    <w:bottom w:val="none" w:sz="0" w:space="0" w:color="auto"/>
                    <w:right w:val="none" w:sz="0" w:space="0" w:color="auto"/>
                  </w:divBdr>
                  <w:divsChild>
                    <w:div w:id="1009718353">
                      <w:marLeft w:val="0"/>
                      <w:marRight w:val="0"/>
                      <w:marTop w:val="0"/>
                      <w:marBottom w:val="0"/>
                      <w:divBdr>
                        <w:top w:val="none" w:sz="0" w:space="0" w:color="auto"/>
                        <w:left w:val="none" w:sz="0" w:space="0" w:color="auto"/>
                        <w:bottom w:val="none" w:sz="0" w:space="0" w:color="auto"/>
                        <w:right w:val="none" w:sz="0" w:space="0" w:color="auto"/>
                      </w:divBdr>
                      <w:divsChild>
                        <w:div w:id="212985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0437">
                  <w:marLeft w:val="0"/>
                  <w:marRight w:val="0"/>
                  <w:marTop w:val="0"/>
                  <w:marBottom w:val="0"/>
                  <w:divBdr>
                    <w:top w:val="none" w:sz="0" w:space="0" w:color="auto"/>
                    <w:left w:val="none" w:sz="0" w:space="0" w:color="auto"/>
                    <w:bottom w:val="none" w:sz="0" w:space="0" w:color="auto"/>
                    <w:right w:val="none" w:sz="0" w:space="0" w:color="auto"/>
                  </w:divBdr>
                </w:div>
                <w:div w:id="1075977182">
                  <w:marLeft w:val="0"/>
                  <w:marRight w:val="0"/>
                  <w:marTop w:val="0"/>
                  <w:marBottom w:val="0"/>
                  <w:divBdr>
                    <w:top w:val="none" w:sz="0" w:space="0" w:color="auto"/>
                    <w:left w:val="none" w:sz="0" w:space="0" w:color="auto"/>
                    <w:bottom w:val="none" w:sz="0" w:space="0" w:color="auto"/>
                    <w:right w:val="none" w:sz="0" w:space="0" w:color="auto"/>
                  </w:divBdr>
                  <w:divsChild>
                    <w:div w:id="1790971997">
                      <w:marLeft w:val="0"/>
                      <w:marRight w:val="0"/>
                      <w:marTop w:val="0"/>
                      <w:marBottom w:val="0"/>
                      <w:divBdr>
                        <w:top w:val="none" w:sz="0" w:space="0" w:color="auto"/>
                        <w:left w:val="none" w:sz="0" w:space="0" w:color="auto"/>
                        <w:bottom w:val="none" w:sz="0" w:space="0" w:color="auto"/>
                        <w:right w:val="none" w:sz="0" w:space="0" w:color="auto"/>
                      </w:divBdr>
                      <w:divsChild>
                        <w:div w:id="142869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49006">
                  <w:marLeft w:val="0"/>
                  <w:marRight w:val="0"/>
                  <w:marTop w:val="0"/>
                  <w:marBottom w:val="0"/>
                  <w:divBdr>
                    <w:top w:val="none" w:sz="0" w:space="0" w:color="auto"/>
                    <w:left w:val="none" w:sz="0" w:space="0" w:color="auto"/>
                    <w:bottom w:val="none" w:sz="0" w:space="0" w:color="auto"/>
                    <w:right w:val="none" w:sz="0" w:space="0" w:color="auto"/>
                  </w:divBdr>
                  <w:divsChild>
                    <w:div w:id="1482192992">
                      <w:marLeft w:val="0"/>
                      <w:marRight w:val="0"/>
                      <w:marTop w:val="0"/>
                      <w:marBottom w:val="0"/>
                      <w:divBdr>
                        <w:top w:val="none" w:sz="0" w:space="0" w:color="auto"/>
                        <w:left w:val="none" w:sz="0" w:space="0" w:color="auto"/>
                        <w:bottom w:val="none" w:sz="0" w:space="0" w:color="auto"/>
                        <w:right w:val="none" w:sz="0" w:space="0" w:color="auto"/>
                      </w:divBdr>
                      <w:divsChild>
                        <w:div w:id="64069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30522">
                  <w:marLeft w:val="0"/>
                  <w:marRight w:val="0"/>
                  <w:marTop w:val="0"/>
                  <w:marBottom w:val="0"/>
                  <w:divBdr>
                    <w:top w:val="none" w:sz="0" w:space="0" w:color="auto"/>
                    <w:left w:val="none" w:sz="0" w:space="0" w:color="auto"/>
                    <w:bottom w:val="none" w:sz="0" w:space="0" w:color="auto"/>
                    <w:right w:val="none" w:sz="0" w:space="0" w:color="auto"/>
                  </w:divBdr>
                  <w:divsChild>
                    <w:div w:id="2057468162">
                      <w:marLeft w:val="0"/>
                      <w:marRight w:val="0"/>
                      <w:marTop w:val="0"/>
                      <w:marBottom w:val="0"/>
                      <w:divBdr>
                        <w:top w:val="none" w:sz="0" w:space="0" w:color="auto"/>
                        <w:left w:val="none" w:sz="0" w:space="0" w:color="auto"/>
                        <w:bottom w:val="none" w:sz="0" w:space="0" w:color="auto"/>
                        <w:right w:val="none" w:sz="0" w:space="0" w:color="auto"/>
                      </w:divBdr>
                      <w:divsChild>
                        <w:div w:id="26700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85763">
                  <w:marLeft w:val="0"/>
                  <w:marRight w:val="0"/>
                  <w:marTop w:val="0"/>
                  <w:marBottom w:val="0"/>
                  <w:divBdr>
                    <w:top w:val="none" w:sz="0" w:space="0" w:color="auto"/>
                    <w:left w:val="none" w:sz="0" w:space="0" w:color="auto"/>
                    <w:bottom w:val="none" w:sz="0" w:space="0" w:color="auto"/>
                    <w:right w:val="none" w:sz="0" w:space="0" w:color="auto"/>
                  </w:divBdr>
                  <w:divsChild>
                    <w:div w:id="1468161536">
                      <w:marLeft w:val="0"/>
                      <w:marRight w:val="0"/>
                      <w:marTop w:val="0"/>
                      <w:marBottom w:val="0"/>
                      <w:divBdr>
                        <w:top w:val="none" w:sz="0" w:space="0" w:color="auto"/>
                        <w:left w:val="none" w:sz="0" w:space="0" w:color="auto"/>
                        <w:bottom w:val="none" w:sz="0" w:space="0" w:color="auto"/>
                        <w:right w:val="none" w:sz="0" w:space="0" w:color="auto"/>
                      </w:divBdr>
                      <w:divsChild>
                        <w:div w:id="149568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63046">
                  <w:marLeft w:val="0"/>
                  <w:marRight w:val="0"/>
                  <w:marTop w:val="0"/>
                  <w:marBottom w:val="0"/>
                  <w:divBdr>
                    <w:top w:val="none" w:sz="0" w:space="0" w:color="auto"/>
                    <w:left w:val="none" w:sz="0" w:space="0" w:color="auto"/>
                    <w:bottom w:val="none" w:sz="0" w:space="0" w:color="auto"/>
                    <w:right w:val="none" w:sz="0" w:space="0" w:color="auto"/>
                  </w:divBdr>
                  <w:divsChild>
                    <w:div w:id="2077510918">
                      <w:marLeft w:val="0"/>
                      <w:marRight w:val="0"/>
                      <w:marTop w:val="0"/>
                      <w:marBottom w:val="0"/>
                      <w:divBdr>
                        <w:top w:val="none" w:sz="0" w:space="0" w:color="auto"/>
                        <w:left w:val="none" w:sz="0" w:space="0" w:color="auto"/>
                        <w:bottom w:val="none" w:sz="0" w:space="0" w:color="auto"/>
                        <w:right w:val="none" w:sz="0" w:space="0" w:color="auto"/>
                      </w:divBdr>
                      <w:divsChild>
                        <w:div w:id="52914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7642">
                  <w:marLeft w:val="0"/>
                  <w:marRight w:val="0"/>
                  <w:marTop w:val="0"/>
                  <w:marBottom w:val="0"/>
                  <w:divBdr>
                    <w:top w:val="none" w:sz="0" w:space="0" w:color="auto"/>
                    <w:left w:val="none" w:sz="0" w:space="0" w:color="auto"/>
                    <w:bottom w:val="none" w:sz="0" w:space="0" w:color="auto"/>
                    <w:right w:val="none" w:sz="0" w:space="0" w:color="auto"/>
                  </w:divBdr>
                  <w:divsChild>
                    <w:div w:id="1478566130">
                      <w:marLeft w:val="0"/>
                      <w:marRight w:val="0"/>
                      <w:marTop w:val="0"/>
                      <w:marBottom w:val="0"/>
                      <w:divBdr>
                        <w:top w:val="none" w:sz="0" w:space="0" w:color="auto"/>
                        <w:left w:val="none" w:sz="0" w:space="0" w:color="auto"/>
                        <w:bottom w:val="none" w:sz="0" w:space="0" w:color="auto"/>
                        <w:right w:val="none" w:sz="0" w:space="0" w:color="auto"/>
                      </w:divBdr>
                      <w:divsChild>
                        <w:div w:id="12242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879019">
                  <w:marLeft w:val="0"/>
                  <w:marRight w:val="0"/>
                  <w:marTop w:val="0"/>
                  <w:marBottom w:val="0"/>
                  <w:divBdr>
                    <w:top w:val="none" w:sz="0" w:space="0" w:color="auto"/>
                    <w:left w:val="none" w:sz="0" w:space="0" w:color="auto"/>
                    <w:bottom w:val="none" w:sz="0" w:space="0" w:color="auto"/>
                    <w:right w:val="none" w:sz="0" w:space="0" w:color="auto"/>
                  </w:divBdr>
                  <w:divsChild>
                    <w:div w:id="1743288399">
                      <w:marLeft w:val="0"/>
                      <w:marRight w:val="0"/>
                      <w:marTop w:val="0"/>
                      <w:marBottom w:val="0"/>
                      <w:divBdr>
                        <w:top w:val="none" w:sz="0" w:space="0" w:color="auto"/>
                        <w:left w:val="none" w:sz="0" w:space="0" w:color="auto"/>
                        <w:bottom w:val="none" w:sz="0" w:space="0" w:color="auto"/>
                        <w:right w:val="none" w:sz="0" w:space="0" w:color="auto"/>
                      </w:divBdr>
                      <w:divsChild>
                        <w:div w:id="81968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85011">
                  <w:marLeft w:val="0"/>
                  <w:marRight w:val="0"/>
                  <w:marTop w:val="0"/>
                  <w:marBottom w:val="0"/>
                  <w:divBdr>
                    <w:top w:val="none" w:sz="0" w:space="0" w:color="auto"/>
                    <w:left w:val="none" w:sz="0" w:space="0" w:color="auto"/>
                    <w:bottom w:val="none" w:sz="0" w:space="0" w:color="auto"/>
                    <w:right w:val="none" w:sz="0" w:space="0" w:color="auto"/>
                  </w:divBdr>
                  <w:divsChild>
                    <w:div w:id="267007648">
                      <w:marLeft w:val="0"/>
                      <w:marRight w:val="0"/>
                      <w:marTop w:val="0"/>
                      <w:marBottom w:val="0"/>
                      <w:divBdr>
                        <w:top w:val="none" w:sz="0" w:space="0" w:color="auto"/>
                        <w:left w:val="none" w:sz="0" w:space="0" w:color="auto"/>
                        <w:bottom w:val="none" w:sz="0" w:space="0" w:color="auto"/>
                        <w:right w:val="none" w:sz="0" w:space="0" w:color="auto"/>
                      </w:divBdr>
                      <w:divsChild>
                        <w:div w:id="12087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1570">
                  <w:marLeft w:val="0"/>
                  <w:marRight w:val="0"/>
                  <w:marTop w:val="0"/>
                  <w:marBottom w:val="0"/>
                  <w:divBdr>
                    <w:top w:val="none" w:sz="0" w:space="0" w:color="auto"/>
                    <w:left w:val="none" w:sz="0" w:space="0" w:color="auto"/>
                    <w:bottom w:val="none" w:sz="0" w:space="0" w:color="auto"/>
                    <w:right w:val="none" w:sz="0" w:space="0" w:color="auto"/>
                  </w:divBdr>
                  <w:divsChild>
                    <w:div w:id="1694186375">
                      <w:marLeft w:val="0"/>
                      <w:marRight w:val="0"/>
                      <w:marTop w:val="0"/>
                      <w:marBottom w:val="0"/>
                      <w:divBdr>
                        <w:top w:val="none" w:sz="0" w:space="0" w:color="auto"/>
                        <w:left w:val="none" w:sz="0" w:space="0" w:color="auto"/>
                        <w:bottom w:val="none" w:sz="0" w:space="0" w:color="auto"/>
                        <w:right w:val="none" w:sz="0" w:space="0" w:color="auto"/>
                      </w:divBdr>
                      <w:divsChild>
                        <w:div w:id="70136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560290">
                  <w:marLeft w:val="0"/>
                  <w:marRight w:val="0"/>
                  <w:marTop w:val="0"/>
                  <w:marBottom w:val="0"/>
                  <w:divBdr>
                    <w:top w:val="none" w:sz="0" w:space="0" w:color="auto"/>
                    <w:left w:val="none" w:sz="0" w:space="0" w:color="auto"/>
                    <w:bottom w:val="none" w:sz="0" w:space="0" w:color="auto"/>
                    <w:right w:val="none" w:sz="0" w:space="0" w:color="auto"/>
                  </w:divBdr>
                  <w:divsChild>
                    <w:div w:id="1265184877">
                      <w:marLeft w:val="0"/>
                      <w:marRight w:val="0"/>
                      <w:marTop w:val="0"/>
                      <w:marBottom w:val="0"/>
                      <w:divBdr>
                        <w:top w:val="none" w:sz="0" w:space="0" w:color="auto"/>
                        <w:left w:val="none" w:sz="0" w:space="0" w:color="auto"/>
                        <w:bottom w:val="none" w:sz="0" w:space="0" w:color="auto"/>
                        <w:right w:val="none" w:sz="0" w:space="0" w:color="auto"/>
                      </w:divBdr>
                      <w:divsChild>
                        <w:div w:id="208090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96273">
                  <w:marLeft w:val="0"/>
                  <w:marRight w:val="0"/>
                  <w:marTop w:val="0"/>
                  <w:marBottom w:val="0"/>
                  <w:divBdr>
                    <w:top w:val="none" w:sz="0" w:space="0" w:color="auto"/>
                    <w:left w:val="none" w:sz="0" w:space="0" w:color="auto"/>
                    <w:bottom w:val="none" w:sz="0" w:space="0" w:color="auto"/>
                    <w:right w:val="none" w:sz="0" w:space="0" w:color="auto"/>
                  </w:divBdr>
                  <w:divsChild>
                    <w:div w:id="528222423">
                      <w:marLeft w:val="0"/>
                      <w:marRight w:val="0"/>
                      <w:marTop w:val="0"/>
                      <w:marBottom w:val="0"/>
                      <w:divBdr>
                        <w:top w:val="none" w:sz="0" w:space="0" w:color="auto"/>
                        <w:left w:val="none" w:sz="0" w:space="0" w:color="auto"/>
                        <w:bottom w:val="none" w:sz="0" w:space="0" w:color="auto"/>
                        <w:right w:val="none" w:sz="0" w:space="0" w:color="auto"/>
                      </w:divBdr>
                      <w:divsChild>
                        <w:div w:id="198661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727391">
                  <w:marLeft w:val="0"/>
                  <w:marRight w:val="0"/>
                  <w:marTop w:val="0"/>
                  <w:marBottom w:val="0"/>
                  <w:divBdr>
                    <w:top w:val="none" w:sz="0" w:space="0" w:color="auto"/>
                    <w:left w:val="none" w:sz="0" w:space="0" w:color="auto"/>
                    <w:bottom w:val="none" w:sz="0" w:space="0" w:color="auto"/>
                    <w:right w:val="none" w:sz="0" w:space="0" w:color="auto"/>
                  </w:divBdr>
                  <w:divsChild>
                    <w:div w:id="1166096384">
                      <w:marLeft w:val="0"/>
                      <w:marRight w:val="0"/>
                      <w:marTop w:val="0"/>
                      <w:marBottom w:val="0"/>
                      <w:divBdr>
                        <w:top w:val="none" w:sz="0" w:space="0" w:color="auto"/>
                        <w:left w:val="none" w:sz="0" w:space="0" w:color="auto"/>
                        <w:bottom w:val="none" w:sz="0" w:space="0" w:color="auto"/>
                        <w:right w:val="none" w:sz="0" w:space="0" w:color="auto"/>
                      </w:divBdr>
                      <w:divsChild>
                        <w:div w:id="87388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4564">
                  <w:marLeft w:val="0"/>
                  <w:marRight w:val="0"/>
                  <w:marTop w:val="0"/>
                  <w:marBottom w:val="0"/>
                  <w:divBdr>
                    <w:top w:val="none" w:sz="0" w:space="0" w:color="auto"/>
                    <w:left w:val="none" w:sz="0" w:space="0" w:color="auto"/>
                    <w:bottom w:val="none" w:sz="0" w:space="0" w:color="auto"/>
                    <w:right w:val="none" w:sz="0" w:space="0" w:color="auto"/>
                  </w:divBdr>
                  <w:divsChild>
                    <w:div w:id="2007828647">
                      <w:marLeft w:val="0"/>
                      <w:marRight w:val="0"/>
                      <w:marTop w:val="0"/>
                      <w:marBottom w:val="0"/>
                      <w:divBdr>
                        <w:top w:val="none" w:sz="0" w:space="0" w:color="auto"/>
                        <w:left w:val="none" w:sz="0" w:space="0" w:color="auto"/>
                        <w:bottom w:val="none" w:sz="0" w:space="0" w:color="auto"/>
                        <w:right w:val="none" w:sz="0" w:space="0" w:color="auto"/>
                      </w:divBdr>
                      <w:divsChild>
                        <w:div w:id="147575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774077">
                  <w:marLeft w:val="0"/>
                  <w:marRight w:val="0"/>
                  <w:marTop w:val="0"/>
                  <w:marBottom w:val="0"/>
                  <w:divBdr>
                    <w:top w:val="none" w:sz="0" w:space="0" w:color="auto"/>
                    <w:left w:val="none" w:sz="0" w:space="0" w:color="auto"/>
                    <w:bottom w:val="none" w:sz="0" w:space="0" w:color="auto"/>
                    <w:right w:val="none" w:sz="0" w:space="0" w:color="auto"/>
                  </w:divBdr>
                  <w:divsChild>
                    <w:div w:id="927034740">
                      <w:marLeft w:val="0"/>
                      <w:marRight w:val="0"/>
                      <w:marTop w:val="0"/>
                      <w:marBottom w:val="0"/>
                      <w:divBdr>
                        <w:top w:val="none" w:sz="0" w:space="0" w:color="auto"/>
                        <w:left w:val="none" w:sz="0" w:space="0" w:color="auto"/>
                        <w:bottom w:val="none" w:sz="0" w:space="0" w:color="auto"/>
                        <w:right w:val="none" w:sz="0" w:space="0" w:color="auto"/>
                      </w:divBdr>
                      <w:divsChild>
                        <w:div w:id="179555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8978">
                  <w:marLeft w:val="0"/>
                  <w:marRight w:val="0"/>
                  <w:marTop w:val="0"/>
                  <w:marBottom w:val="0"/>
                  <w:divBdr>
                    <w:top w:val="none" w:sz="0" w:space="0" w:color="auto"/>
                    <w:left w:val="none" w:sz="0" w:space="0" w:color="auto"/>
                    <w:bottom w:val="none" w:sz="0" w:space="0" w:color="auto"/>
                    <w:right w:val="none" w:sz="0" w:space="0" w:color="auto"/>
                  </w:divBdr>
                  <w:divsChild>
                    <w:div w:id="638917816">
                      <w:marLeft w:val="0"/>
                      <w:marRight w:val="0"/>
                      <w:marTop w:val="0"/>
                      <w:marBottom w:val="0"/>
                      <w:divBdr>
                        <w:top w:val="none" w:sz="0" w:space="0" w:color="auto"/>
                        <w:left w:val="none" w:sz="0" w:space="0" w:color="auto"/>
                        <w:bottom w:val="none" w:sz="0" w:space="0" w:color="auto"/>
                        <w:right w:val="none" w:sz="0" w:space="0" w:color="auto"/>
                      </w:divBdr>
                      <w:divsChild>
                        <w:div w:id="138695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098613">
                  <w:marLeft w:val="0"/>
                  <w:marRight w:val="0"/>
                  <w:marTop w:val="0"/>
                  <w:marBottom w:val="0"/>
                  <w:divBdr>
                    <w:top w:val="none" w:sz="0" w:space="0" w:color="auto"/>
                    <w:left w:val="none" w:sz="0" w:space="0" w:color="auto"/>
                    <w:bottom w:val="none" w:sz="0" w:space="0" w:color="auto"/>
                    <w:right w:val="none" w:sz="0" w:space="0" w:color="auto"/>
                  </w:divBdr>
                  <w:divsChild>
                    <w:div w:id="1108353882">
                      <w:marLeft w:val="0"/>
                      <w:marRight w:val="0"/>
                      <w:marTop w:val="0"/>
                      <w:marBottom w:val="0"/>
                      <w:divBdr>
                        <w:top w:val="none" w:sz="0" w:space="0" w:color="auto"/>
                        <w:left w:val="none" w:sz="0" w:space="0" w:color="auto"/>
                        <w:bottom w:val="none" w:sz="0" w:space="0" w:color="auto"/>
                        <w:right w:val="none" w:sz="0" w:space="0" w:color="auto"/>
                      </w:divBdr>
                      <w:divsChild>
                        <w:div w:id="182681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698014">
                  <w:marLeft w:val="0"/>
                  <w:marRight w:val="0"/>
                  <w:marTop w:val="0"/>
                  <w:marBottom w:val="0"/>
                  <w:divBdr>
                    <w:top w:val="none" w:sz="0" w:space="0" w:color="auto"/>
                    <w:left w:val="none" w:sz="0" w:space="0" w:color="auto"/>
                    <w:bottom w:val="none" w:sz="0" w:space="0" w:color="auto"/>
                    <w:right w:val="none" w:sz="0" w:space="0" w:color="auto"/>
                  </w:divBdr>
                  <w:divsChild>
                    <w:div w:id="1007824703">
                      <w:marLeft w:val="0"/>
                      <w:marRight w:val="0"/>
                      <w:marTop w:val="0"/>
                      <w:marBottom w:val="0"/>
                      <w:divBdr>
                        <w:top w:val="none" w:sz="0" w:space="0" w:color="auto"/>
                        <w:left w:val="none" w:sz="0" w:space="0" w:color="auto"/>
                        <w:bottom w:val="none" w:sz="0" w:space="0" w:color="auto"/>
                        <w:right w:val="none" w:sz="0" w:space="0" w:color="auto"/>
                      </w:divBdr>
                      <w:divsChild>
                        <w:div w:id="204637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01505">
                  <w:marLeft w:val="0"/>
                  <w:marRight w:val="0"/>
                  <w:marTop w:val="0"/>
                  <w:marBottom w:val="0"/>
                  <w:divBdr>
                    <w:top w:val="none" w:sz="0" w:space="0" w:color="auto"/>
                    <w:left w:val="none" w:sz="0" w:space="0" w:color="auto"/>
                    <w:bottom w:val="none" w:sz="0" w:space="0" w:color="auto"/>
                    <w:right w:val="none" w:sz="0" w:space="0" w:color="auto"/>
                  </w:divBdr>
                  <w:divsChild>
                    <w:div w:id="1664964232">
                      <w:marLeft w:val="0"/>
                      <w:marRight w:val="0"/>
                      <w:marTop w:val="0"/>
                      <w:marBottom w:val="0"/>
                      <w:divBdr>
                        <w:top w:val="none" w:sz="0" w:space="0" w:color="auto"/>
                        <w:left w:val="none" w:sz="0" w:space="0" w:color="auto"/>
                        <w:bottom w:val="none" w:sz="0" w:space="0" w:color="auto"/>
                        <w:right w:val="none" w:sz="0" w:space="0" w:color="auto"/>
                      </w:divBdr>
                      <w:divsChild>
                        <w:div w:id="102848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51216">
                  <w:marLeft w:val="0"/>
                  <w:marRight w:val="0"/>
                  <w:marTop w:val="0"/>
                  <w:marBottom w:val="0"/>
                  <w:divBdr>
                    <w:top w:val="none" w:sz="0" w:space="0" w:color="auto"/>
                    <w:left w:val="none" w:sz="0" w:space="0" w:color="auto"/>
                    <w:bottom w:val="none" w:sz="0" w:space="0" w:color="auto"/>
                    <w:right w:val="none" w:sz="0" w:space="0" w:color="auto"/>
                  </w:divBdr>
                  <w:divsChild>
                    <w:div w:id="1393699767">
                      <w:marLeft w:val="0"/>
                      <w:marRight w:val="0"/>
                      <w:marTop w:val="0"/>
                      <w:marBottom w:val="0"/>
                      <w:divBdr>
                        <w:top w:val="none" w:sz="0" w:space="0" w:color="auto"/>
                        <w:left w:val="none" w:sz="0" w:space="0" w:color="auto"/>
                        <w:bottom w:val="none" w:sz="0" w:space="0" w:color="auto"/>
                        <w:right w:val="none" w:sz="0" w:space="0" w:color="auto"/>
                      </w:divBdr>
                      <w:divsChild>
                        <w:div w:id="388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6604">
                  <w:marLeft w:val="0"/>
                  <w:marRight w:val="0"/>
                  <w:marTop w:val="0"/>
                  <w:marBottom w:val="0"/>
                  <w:divBdr>
                    <w:top w:val="none" w:sz="0" w:space="0" w:color="auto"/>
                    <w:left w:val="none" w:sz="0" w:space="0" w:color="auto"/>
                    <w:bottom w:val="none" w:sz="0" w:space="0" w:color="auto"/>
                    <w:right w:val="none" w:sz="0" w:space="0" w:color="auto"/>
                  </w:divBdr>
                  <w:divsChild>
                    <w:div w:id="1553928257">
                      <w:marLeft w:val="0"/>
                      <w:marRight w:val="0"/>
                      <w:marTop w:val="0"/>
                      <w:marBottom w:val="0"/>
                      <w:divBdr>
                        <w:top w:val="none" w:sz="0" w:space="0" w:color="auto"/>
                        <w:left w:val="none" w:sz="0" w:space="0" w:color="auto"/>
                        <w:bottom w:val="none" w:sz="0" w:space="0" w:color="auto"/>
                        <w:right w:val="none" w:sz="0" w:space="0" w:color="auto"/>
                      </w:divBdr>
                      <w:divsChild>
                        <w:div w:id="105226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77306">
                  <w:marLeft w:val="0"/>
                  <w:marRight w:val="0"/>
                  <w:marTop w:val="0"/>
                  <w:marBottom w:val="0"/>
                  <w:divBdr>
                    <w:top w:val="none" w:sz="0" w:space="0" w:color="auto"/>
                    <w:left w:val="none" w:sz="0" w:space="0" w:color="auto"/>
                    <w:bottom w:val="none" w:sz="0" w:space="0" w:color="auto"/>
                    <w:right w:val="none" w:sz="0" w:space="0" w:color="auto"/>
                  </w:divBdr>
                  <w:divsChild>
                    <w:div w:id="490802872">
                      <w:marLeft w:val="0"/>
                      <w:marRight w:val="0"/>
                      <w:marTop w:val="0"/>
                      <w:marBottom w:val="0"/>
                      <w:divBdr>
                        <w:top w:val="none" w:sz="0" w:space="0" w:color="auto"/>
                        <w:left w:val="none" w:sz="0" w:space="0" w:color="auto"/>
                        <w:bottom w:val="none" w:sz="0" w:space="0" w:color="auto"/>
                        <w:right w:val="none" w:sz="0" w:space="0" w:color="auto"/>
                      </w:divBdr>
                      <w:divsChild>
                        <w:div w:id="16293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445875">
                  <w:marLeft w:val="0"/>
                  <w:marRight w:val="0"/>
                  <w:marTop w:val="0"/>
                  <w:marBottom w:val="0"/>
                  <w:divBdr>
                    <w:top w:val="none" w:sz="0" w:space="0" w:color="auto"/>
                    <w:left w:val="none" w:sz="0" w:space="0" w:color="auto"/>
                    <w:bottom w:val="none" w:sz="0" w:space="0" w:color="auto"/>
                    <w:right w:val="none" w:sz="0" w:space="0" w:color="auto"/>
                  </w:divBdr>
                  <w:divsChild>
                    <w:div w:id="143394517">
                      <w:marLeft w:val="0"/>
                      <w:marRight w:val="0"/>
                      <w:marTop w:val="0"/>
                      <w:marBottom w:val="0"/>
                      <w:divBdr>
                        <w:top w:val="none" w:sz="0" w:space="0" w:color="auto"/>
                        <w:left w:val="none" w:sz="0" w:space="0" w:color="auto"/>
                        <w:bottom w:val="none" w:sz="0" w:space="0" w:color="auto"/>
                        <w:right w:val="none" w:sz="0" w:space="0" w:color="auto"/>
                      </w:divBdr>
                      <w:divsChild>
                        <w:div w:id="207974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774448">
                  <w:marLeft w:val="0"/>
                  <w:marRight w:val="0"/>
                  <w:marTop w:val="0"/>
                  <w:marBottom w:val="0"/>
                  <w:divBdr>
                    <w:top w:val="none" w:sz="0" w:space="0" w:color="auto"/>
                    <w:left w:val="none" w:sz="0" w:space="0" w:color="auto"/>
                    <w:bottom w:val="none" w:sz="0" w:space="0" w:color="auto"/>
                    <w:right w:val="none" w:sz="0" w:space="0" w:color="auto"/>
                  </w:divBdr>
                  <w:divsChild>
                    <w:div w:id="1815947584">
                      <w:marLeft w:val="0"/>
                      <w:marRight w:val="0"/>
                      <w:marTop w:val="0"/>
                      <w:marBottom w:val="0"/>
                      <w:divBdr>
                        <w:top w:val="none" w:sz="0" w:space="0" w:color="auto"/>
                        <w:left w:val="none" w:sz="0" w:space="0" w:color="auto"/>
                        <w:bottom w:val="none" w:sz="0" w:space="0" w:color="auto"/>
                        <w:right w:val="none" w:sz="0" w:space="0" w:color="auto"/>
                      </w:divBdr>
                      <w:divsChild>
                        <w:div w:id="156390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49548">
                  <w:marLeft w:val="0"/>
                  <w:marRight w:val="0"/>
                  <w:marTop w:val="0"/>
                  <w:marBottom w:val="0"/>
                  <w:divBdr>
                    <w:top w:val="none" w:sz="0" w:space="0" w:color="auto"/>
                    <w:left w:val="none" w:sz="0" w:space="0" w:color="auto"/>
                    <w:bottom w:val="none" w:sz="0" w:space="0" w:color="auto"/>
                    <w:right w:val="none" w:sz="0" w:space="0" w:color="auto"/>
                  </w:divBdr>
                  <w:divsChild>
                    <w:div w:id="40909110">
                      <w:marLeft w:val="0"/>
                      <w:marRight w:val="0"/>
                      <w:marTop w:val="0"/>
                      <w:marBottom w:val="0"/>
                      <w:divBdr>
                        <w:top w:val="none" w:sz="0" w:space="0" w:color="auto"/>
                        <w:left w:val="none" w:sz="0" w:space="0" w:color="auto"/>
                        <w:bottom w:val="none" w:sz="0" w:space="0" w:color="auto"/>
                        <w:right w:val="none" w:sz="0" w:space="0" w:color="auto"/>
                      </w:divBdr>
                      <w:divsChild>
                        <w:div w:id="91235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495340">
                  <w:marLeft w:val="0"/>
                  <w:marRight w:val="0"/>
                  <w:marTop w:val="0"/>
                  <w:marBottom w:val="0"/>
                  <w:divBdr>
                    <w:top w:val="none" w:sz="0" w:space="0" w:color="auto"/>
                    <w:left w:val="none" w:sz="0" w:space="0" w:color="auto"/>
                    <w:bottom w:val="none" w:sz="0" w:space="0" w:color="auto"/>
                    <w:right w:val="none" w:sz="0" w:space="0" w:color="auto"/>
                  </w:divBdr>
                  <w:divsChild>
                    <w:div w:id="1183591830">
                      <w:marLeft w:val="0"/>
                      <w:marRight w:val="0"/>
                      <w:marTop w:val="0"/>
                      <w:marBottom w:val="0"/>
                      <w:divBdr>
                        <w:top w:val="none" w:sz="0" w:space="0" w:color="auto"/>
                        <w:left w:val="none" w:sz="0" w:space="0" w:color="auto"/>
                        <w:bottom w:val="none" w:sz="0" w:space="0" w:color="auto"/>
                        <w:right w:val="none" w:sz="0" w:space="0" w:color="auto"/>
                      </w:divBdr>
                      <w:divsChild>
                        <w:div w:id="124337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7709/2410-1893-2021-8-2-9" TargetMode="External"/><Relationship Id="rId13" Type="http://schemas.openxmlformats.org/officeDocument/2006/relationships/hyperlink" Target="https://orcid.org/0000-0002-6895-049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iencedirect.com/science/article/pii/S1368837505000540" TargetMode="External"/><Relationship Id="rId12" Type="http://schemas.openxmlformats.org/officeDocument/2006/relationships/hyperlink" Target="https://orcid.org/0000-0002-7004-9630" TargetMode="External"/><Relationship Id="rId17" Type="http://schemas.openxmlformats.org/officeDocument/2006/relationships/hyperlink" Target="https://oncology-association.ru/" TargetMode="External"/><Relationship Id="rId2" Type="http://schemas.openxmlformats.org/officeDocument/2006/relationships/styles" Target="styles.xml"/><Relationship Id="rId16" Type="http://schemas.openxmlformats.org/officeDocument/2006/relationships/hyperlink" Target="https://ecog-acrin.org/resources/ecog-performance-status" TargetMode="External"/><Relationship Id="rId1" Type="http://schemas.openxmlformats.org/officeDocument/2006/relationships/numbering" Target="numbering.xml"/><Relationship Id="rId6" Type="http://schemas.openxmlformats.org/officeDocument/2006/relationships/hyperlink" Target="https://doi.org/10.1016/j.oraloncology.2005.01.008" TargetMode="External"/><Relationship Id="rId11" Type="http://schemas.openxmlformats.org/officeDocument/2006/relationships/hyperlink" Target="https://orcid.org/0000-0002-6796-0968" TargetMode="External"/><Relationship Id="rId5" Type="http://schemas.openxmlformats.org/officeDocument/2006/relationships/image" Target="media/image1.png"/><Relationship Id="rId15" Type="http://schemas.openxmlformats.org/officeDocument/2006/relationships/hyperlink" Target="https://ecog-acrin.org/resources/ecog-performance-status" TargetMode="External"/><Relationship Id="rId10" Type="http://schemas.openxmlformats.org/officeDocument/2006/relationships/hyperlink" Target="https://orcid.org/0000-0002-7925-957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orcid.org/0000-0002-6851-9867" TargetMode="External"/><Relationship Id="rId14" Type="http://schemas.openxmlformats.org/officeDocument/2006/relationships/hyperlink" Target="https://orcid.org/0000-0001-6375-83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69</Pages>
  <Words>17069</Words>
  <Characters>97298</Characters>
  <Application>Microsoft Office Word</Application>
  <DocSecurity>0</DocSecurity>
  <Lines>810</Lines>
  <Paragraphs>228</Paragraphs>
  <ScaleCrop>false</ScaleCrop>
  <Company/>
  <LinksUpToDate>false</LinksUpToDate>
  <CharactersWithSpaces>114139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2024-12-16T15:25:00Z</dcterms:created>
  <dcterms:modified xsi:type="dcterms:W3CDTF">2024-12-16T15:26:00Z</dcterms:modified>
</cp:coreProperties>
</file>