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5D0" w:rsidRDefault="008E2CEA">
      <w:pPr>
        <w:spacing w:after="0" w:line="249" w:lineRule="auto"/>
      </w:pPr>
      <w:bookmarkStart w:id="0" w:name="_GoBack"/>
      <w:bookmarkEnd w:id="0"/>
      <w:r>
        <w:rPr>
          <w:noProof/>
        </w:rPr>
        <w:drawing>
          <wp:anchor distT="0" distB="0" distL="114300" distR="114300" simplePos="0" relativeHeight="251658240" behindDoc="0" locked="0" layoutInCell="1" allowOverlap="0">
            <wp:simplePos x="0" y="0"/>
            <wp:positionH relativeFrom="column">
              <wp:posOffset>-244</wp:posOffset>
            </wp:positionH>
            <wp:positionV relativeFrom="paragraph">
              <wp:posOffset>-120482</wp:posOffset>
            </wp:positionV>
            <wp:extent cx="788416" cy="162560"/>
            <wp:effectExtent l="0" t="0" r="0" b="0"/>
            <wp:wrapNone/>
            <wp:docPr id="163" name="Picture 163"/>
            <wp:cNvGraphicFramePr/>
            <a:graphic xmlns:a="http://schemas.openxmlformats.org/drawingml/2006/main">
              <a:graphicData uri="http://schemas.openxmlformats.org/drawingml/2006/picture">
                <pic:pic xmlns:pic="http://schemas.openxmlformats.org/drawingml/2006/picture">
                  <pic:nvPicPr>
                    <pic:cNvPr id="163" name="Picture 163"/>
                    <pic:cNvPicPr/>
                  </pic:nvPicPr>
                  <pic:blipFill>
                    <a:blip r:embed="rId7"/>
                    <a:stretch>
                      <a:fillRect/>
                    </a:stretch>
                  </pic:blipFill>
                  <pic:spPr>
                    <a:xfrm>
                      <a:off x="0" y="0"/>
                      <a:ext cx="788416" cy="162560"/>
                    </a:xfrm>
                    <a:prstGeom prst="rect">
                      <a:avLst/>
                    </a:prstGeom>
                  </pic:spPr>
                </pic:pic>
              </a:graphicData>
            </a:graphic>
          </wp:anchor>
        </w:drawing>
      </w:r>
      <w:r>
        <w:rPr>
          <w:rFonts w:ascii="Times New Roman" w:eastAsia="Times New Roman" w:hAnsi="Times New Roman" w:cs="Times New Roman"/>
          <w:b/>
          <w:sz w:val="32"/>
        </w:rPr>
        <w:t>Российский национальный консенсус. Диагностика и лечение гипопитуитаризма у детей и подростков</w:t>
      </w:r>
    </w:p>
    <w:p w:rsidR="000415D0" w:rsidRDefault="008E2CEA">
      <w:pPr>
        <w:spacing w:after="0" w:line="251" w:lineRule="auto"/>
        <w:ind w:left="-5" w:hanging="10"/>
      </w:pPr>
      <w:r>
        <w:rPr>
          <w:sz w:val="20"/>
        </w:rPr>
        <w:t>© Е.В. Нагаева</w:t>
      </w:r>
      <w:r>
        <w:rPr>
          <w:sz w:val="18"/>
          <w:vertAlign w:val="superscript"/>
        </w:rPr>
        <w:t>1</w:t>
      </w:r>
      <w:r>
        <w:rPr>
          <w:sz w:val="20"/>
        </w:rPr>
        <w:t>*, Т.Ю. Ширяева</w:t>
      </w:r>
      <w:r>
        <w:rPr>
          <w:sz w:val="18"/>
          <w:vertAlign w:val="superscript"/>
        </w:rPr>
        <w:t>1</w:t>
      </w:r>
      <w:r>
        <w:rPr>
          <w:sz w:val="20"/>
        </w:rPr>
        <w:t>, В.А. Петеркова</w:t>
      </w:r>
      <w:r>
        <w:rPr>
          <w:sz w:val="18"/>
          <w:vertAlign w:val="superscript"/>
        </w:rPr>
        <w:t>1</w:t>
      </w:r>
      <w:r>
        <w:rPr>
          <w:sz w:val="20"/>
        </w:rPr>
        <w:t>, О.Б. Безлепкина</w:t>
      </w:r>
      <w:r>
        <w:rPr>
          <w:sz w:val="18"/>
          <w:vertAlign w:val="superscript"/>
        </w:rPr>
        <w:t>1</w:t>
      </w:r>
      <w:r>
        <w:rPr>
          <w:rFonts w:ascii="Times New Roman" w:eastAsia="Times New Roman" w:hAnsi="Times New Roman" w:cs="Times New Roman"/>
          <w:i/>
          <w:sz w:val="20"/>
        </w:rPr>
        <w:t>,</w:t>
      </w:r>
      <w:r>
        <w:rPr>
          <w:sz w:val="20"/>
        </w:rPr>
        <w:t xml:space="preserve"> А.Н. Тюльпаков</w:t>
      </w:r>
      <w:r>
        <w:rPr>
          <w:sz w:val="18"/>
          <w:vertAlign w:val="superscript"/>
        </w:rPr>
        <w:t>1</w:t>
      </w:r>
      <w:r>
        <w:rPr>
          <w:sz w:val="20"/>
        </w:rPr>
        <w:t>, Н.А. Стребкова</w:t>
      </w:r>
      <w:r>
        <w:rPr>
          <w:sz w:val="18"/>
          <w:vertAlign w:val="superscript"/>
        </w:rPr>
        <w:t>1</w:t>
      </w:r>
      <w:r>
        <w:rPr>
          <w:sz w:val="20"/>
        </w:rPr>
        <w:t>, А.В. Кияев</w:t>
      </w:r>
      <w:r>
        <w:rPr>
          <w:sz w:val="18"/>
          <w:vertAlign w:val="superscript"/>
        </w:rPr>
        <w:t>2</w:t>
      </w:r>
      <w:r>
        <w:rPr>
          <w:sz w:val="20"/>
        </w:rPr>
        <w:t>, Е.Е. Петряйкина</w:t>
      </w:r>
      <w:r>
        <w:rPr>
          <w:sz w:val="18"/>
          <w:vertAlign w:val="superscript"/>
        </w:rPr>
        <w:t>3</w:t>
      </w:r>
      <w:r>
        <w:rPr>
          <w:sz w:val="20"/>
        </w:rPr>
        <w:t>, Е.Б. Башнина</w:t>
      </w:r>
      <w:r>
        <w:rPr>
          <w:sz w:val="18"/>
          <w:vertAlign w:val="superscript"/>
        </w:rPr>
        <w:t>4</w:t>
      </w:r>
      <w:r>
        <w:rPr>
          <w:sz w:val="20"/>
        </w:rPr>
        <w:t>, О.А. Малиевский</w:t>
      </w:r>
      <w:r>
        <w:rPr>
          <w:sz w:val="18"/>
          <w:vertAlign w:val="superscript"/>
        </w:rPr>
        <w:t>5</w:t>
      </w:r>
      <w:r>
        <w:rPr>
          <w:sz w:val="20"/>
        </w:rPr>
        <w:t>, Т.Е. Таранушенко</w:t>
      </w:r>
      <w:r>
        <w:rPr>
          <w:sz w:val="18"/>
          <w:vertAlign w:val="superscript"/>
        </w:rPr>
        <w:t>6</w:t>
      </w:r>
      <w:r>
        <w:rPr>
          <w:sz w:val="20"/>
        </w:rPr>
        <w:t>, И.Б. Кострова</w:t>
      </w:r>
      <w:r>
        <w:rPr>
          <w:sz w:val="18"/>
          <w:vertAlign w:val="superscript"/>
        </w:rPr>
        <w:t>7</w:t>
      </w:r>
      <w:r>
        <w:rPr>
          <w:sz w:val="20"/>
        </w:rPr>
        <w:t>,</w:t>
      </w:r>
    </w:p>
    <w:p w:rsidR="000415D0" w:rsidRDefault="008E2CEA">
      <w:pPr>
        <w:spacing w:after="79" w:line="251" w:lineRule="auto"/>
        <w:ind w:left="-5" w:hanging="10"/>
      </w:pPr>
      <w:r>
        <w:rPr>
          <w:sz w:val="20"/>
        </w:rPr>
        <w:t>Л.А. Шапкина</w:t>
      </w:r>
      <w:r>
        <w:rPr>
          <w:sz w:val="18"/>
          <w:vertAlign w:val="superscript"/>
        </w:rPr>
        <w:t>8</w:t>
      </w:r>
      <w:r>
        <w:rPr>
          <w:sz w:val="20"/>
        </w:rPr>
        <w:t>, И.И. Дедов</w:t>
      </w:r>
      <w:r>
        <w:rPr>
          <w:sz w:val="18"/>
          <w:vertAlign w:val="superscript"/>
        </w:rPr>
        <w:t>1,9</w:t>
      </w:r>
    </w:p>
    <w:p w:rsidR="000415D0" w:rsidRDefault="008E2CEA">
      <w:pPr>
        <w:spacing w:after="4" w:line="248" w:lineRule="auto"/>
        <w:ind w:left="-5" w:hanging="10"/>
        <w:jc w:val="both"/>
      </w:pPr>
      <w:r>
        <w:rPr>
          <w:sz w:val="14"/>
          <w:vertAlign w:val="superscript"/>
        </w:rPr>
        <w:t>1</w:t>
      </w:r>
      <w:r>
        <w:rPr>
          <w:sz w:val="16"/>
        </w:rPr>
        <w:t>ФГБУ Национальный медицинский исследовательский центр эндокринологии Минздрава России, Москва, Россия</w:t>
      </w:r>
    </w:p>
    <w:p w:rsidR="000415D0" w:rsidRDefault="008E2CEA">
      <w:pPr>
        <w:spacing w:after="4" w:line="248" w:lineRule="auto"/>
        <w:ind w:left="-5" w:hanging="10"/>
        <w:jc w:val="both"/>
      </w:pPr>
      <w:r>
        <w:rPr>
          <w:sz w:val="14"/>
          <w:vertAlign w:val="superscript"/>
        </w:rPr>
        <w:t>2</w:t>
      </w:r>
      <w:r>
        <w:rPr>
          <w:sz w:val="16"/>
        </w:rPr>
        <w:t>ФГБОУ ВО Уральский государственный медицинский университет Минздрава</w:t>
      </w:r>
      <w:r>
        <w:rPr>
          <w:sz w:val="16"/>
        </w:rPr>
        <w:t xml:space="preserve"> России, Екатеринбург, Россия</w:t>
      </w:r>
    </w:p>
    <w:p w:rsidR="000415D0" w:rsidRDefault="008E2CEA">
      <w:pPr>
        <w:spacing w:after="4" w:line="248" w:lineRule="auto"/>
        <w:ind w:left="-5" w:hanging="10"/>
        <w:jc w:val="both"/>
      </w:pPr>
      <w:r>
        <w:rPr>
          <w:sz w:val="14"/>
          <w:vertAlign w:val="superscript"/>
        </w:rPr>
        <w:t>3</w:t>
      </w:r>
      <w:r>
        <w:rPr>
          <w:sz w:val="16"/>
        </w:rPr>
        <w:t>ФГАОУ ВО Российский университет дружбы народов, Москва, Россия</w:t>
      </w:r>
    </w:p>
    <w:p w:rsidR="000415D0" w:rsidRDefault="008E2CEA">
      <w:pPr>
        <w:spacing w:after="4" w:line="248" w:lineRule="auto"/>
        <w:ind w:left="-5" w:hanging="10"/>
        <w:jc w:val="both"/>
      </w:pPr>
      <w:r>
        <w:rPr>
          <w:sz w:val="14"/>
          <w:vertAlign w:val="superscript"/>
        </w:rPr>
        <w:t>4</w:t>
      </w:r>
      <w:r>
        <w:rPr>
          <w:sz w:val="16"/>
        </w:rPr>
        <w:t>ФГБОУ ВО Северо-Западный государственный медицинский университет им. И.И. Мечникова Минздрава России, СанктПетербург, Россия</w:t>
      </w:r>
    </w:p>
    <w:p w:rsidR="000415D0" w:rsidRDefault="008E2CEA">
      <w:pPr>
        <w:spacing w:after="4" w:line="248" w:lineRule="auto"/>
        <w:ind w:left="-5" w:hanging="10"/>
        <w:jc w:val="both"/>
      </w:pPr>
      <w:r>
        <w:rPr>
          <w:sz w:val="14"/>
          <w:vertAlign w:val="superscript"/>
        </w:rPr>
        <w:t>5</w:t>
      </w:r>
      <w:r>
        <w:rPr>
          <w:sz w:val="16"/>
        </w:rPr>
        <w:t>ФГБОУ ВО Башкирский государственный</w:t>
      </w:r>
      <w:r>
        <w:rPr>
          <w:sz w:val="16"/>
        </w:rPr>
        <w:t xml:space="preserve"> медицинский университет Минздрава России, Уфа, Россия</w:t>
      </w:r>
    </w:p>
    <w:p w:rsidR="000415D0" w:rsidRDefault="008E2CEA">
      <w:pPr>
        <w:spacing w:after="4" w:line="248" w:lineRule="auto"/>
        <w:ind w:left="-5" w:hanging="10"/>
        <w:jc w:val="both"/>
      </w:pPr>
      <w:r>
        <w:rPr>
          <w:sz w:val="14"/>
          <w:vertAlign w:val="superscript"/>
        </w:rPr>
        <w:t>6</w:t>
      </w:r>
      <w:r>
        <w:rPr>
          <w:sz w:val="16"/>
        </w:rPr>
        <w:t>ГБОУ ВПО Красноярский государственный медицинский университет им. проф. В.Ф. Войно-Ясенецкого, Красноярск, Россия</w:t>
      </w:r>
    </w:p>
    <w:p w:rsidR="000415D0" w:rsidRDefault="008E2CEA">
      <w:pPr>
        <w:spacing w:after="4" w:line="248" w:lineRule="auto"/>
        <w:ind w:left="-5" w:hanging="10"/>
        <w:jc w:val="both"/>
      </w:pPr>
      <w:r>
        <w:rPr>
          <w:sz w:val="14"/>
          <w:vertAlign w:val="superscript"/>
        </w:rPr>
        <w:t>7</w:t>
      </w:r>
      <w:r>
        <w:rPr>
          <w:sz w:val="16"/>
        </w:rPr>
        <w:t>ГБУ Детская республиканская клиническая больница им. Н.М. Кураева Минздрава России, М</w:t>
      </w:r>
      <w:r>
        <w:rPr>
          <w:sz w:val="16"/>
        </w:rPr>
        <w:t>ахачкала, Россия</w:t>
      </w:r>
    </w:p>
    <w:p w:rsidR="000415D0" w:rsidRDefault="008E2CEA">
      <w:pPr>
        <w:spacing w:after="4" w:line="248" w:lineRule="auto"/>
        <w:ind w:left="-5" w:hanging="10"/>
        <w:jc w:val="both"/>
      </w:pPr>
      <w:r>
        <w:rPr>
          <w:sz w:val="14"/>
          <w:vertAlign w:val="superscript"/>
        </w:rPr>
        <w:t>8</w:t>
      </w:r>
      <w:r>
        <w:rPr>
          <w:sz w:val="16"/>
        </w:rPr>
        <w:t>ФГБОУ ВО Тихоокеанский государственный медицинский университет, Владивосток, Россия</w:t>
      </w:r>
    </w:p>
    <w:p w:rsidR="000415D0" w:rsidRDefault="008E2CEA">
      <w:pPr>
        <w:spacing w:after="44" w:line="248" w:lineRule="auto"/>
        <w:ind w:left="-5" w:hanging="10"/>
        <w:jc w:val="both"/>
      </w:pPr>
      <w:r>
        <w:rPr>
          <w:sz w:val="14"/>
          <w:vertAlign w:val="superscript"/>
        </w:rPr>
        <w:t>9</w:t>
      </w:r>
      <w:r>
        <w:rPr>
          <w:sz w:val="16"/>
        </w:rPr>
        <w:t>ФГАОУ ВО Первый московский государственный медицинский университет имени И.М.Сеченова (Сеченовский университет), Москва, Россия</w:t>
      </w:r>
    </w:p>
    <w:p w:rsidR="000415D0" w:rsidRDefault="008E2CEA">
      <w:pPr>
        <w:spacing w:after="4" w:line="248" w:lineRule="auto"/>
        <w:ind w:left="407" w:right="396" w:hanging="10"/>
        <w:jc w:val="both"/>
      </w:pPr>
      <w:r>
        <w:rPr>
          <w:sz w:val="16"/>
        </w:rPr>
        <w:t>Материалы национального к</w:t>
      </w:r>
      <w:r>
        <w:rPr>
          <w:sz w:val="16"/>
        </w:rPr>
        <w:t xml:space="preserve">онсенсуса отражают современный отечественный и международный опыт по данной проблеме. Перед проведением специализированного эндокринологического обследования низкорослого ребенка должны быть исключены все другие причины низкорослости: тяжелые соматические </w:t>
      </w:r>
      <w:r>
        <w:rPr>
          <w:sz w:val="16"/>
        </w:rPr>
        <w:t>заболевания в состоянии декомпенсации, способные оказывать влияние на темпы роста, врожденные системные заболевания скелета, синдромальная низкорослость (у всех девочек с задержкой роста требуется обязательное исследование кариотипа вне зависимости от нали</w:t>
      </w:r>
      <w:r>
        <w:rPr>
          <w:sz w:val="16"/>
        </w:rPr>
        <w:t>чия или отсутствия фенотипических признаков синдрома Шерешевского–Тернера), эндокринные заболевания в состоянии декомпенсации. Специализированное обследование состояния СТГ-ИФР-I оси проводят при наличии у пропорционально сложенного ребенка выраженной низк</w:t>
      </w:r>
      <w:r>
        <w:rPr>
          <w:sz w:val="16"/>
        </w:rPr>
        <w:t>орослости: если рост ребенка &lt;–2,0 SDS, если разница между SDS роста ребенка и SDS его среднеродительского роста превышает 1,5 SDS и/или низкой скорости роста.</w:t>
      </w:r>
    </w:p>
    <w:p w:rsidR="000415D0" w:rsidRDefault="008E2CEA">
      <w:pPr>
        <w:spacing w:after="0" w:line="236" w:lineRule="auto"/>
        <w:ind w:left="397" w:right="397"/>
      </w:pPr>
      <w:r>
        <w:rPr>
          <w:sz w:val="16"/>
        </w:rPr>
        <w:t>В консенсусе отражены четкие критерии диагностики СТГ-дефицита, центрального гипотиреоза, центра</w:t>
      </w:r>
      <w:r>
        <w:rPr>
          <w:sz w:val="16"/>
        </w:rPr>
        <w:t>льного гипокортицизма, центрального гипогонадизма, несахарного диабета, гипопролактинемии, а также критерии их компенсации. Доза соматропина при лечении СТГ-дефицита у детей и подростков составляет 0,025–0,033 мг/кг/сут. При тотальной соматотропной недоста</w:t>
      </w:r>
      <w:r>
        <w:rPr>
          <w:sz w:val="16"/>
        </w:rPr>
        <w:t>точности, особенно у детей младшего возраста, начинать терапию соматропином целесообразно с более низких доз: 25—50% от заместительной, постепенно увеличивая ее в течение 3–6 мес до оптимальной. У детей, имеющих дефицит роста при вступлении в пубертат, воз</w:t>
      </w:r>
      <w:r>
        <w:rPr>
          <w:sz w:val="16"/>
        </w:rPr>
        <w:t>можно увеличение дозы до 0,045–0,05 мг/кг/сут.</w:t>
      </w:r>
    </w:p>
    <w:tbl>
      <w:tblPr>
        <w:tblStyle w:val="TableGrid"/>
        <w:tblpPr w:vertAnchor="page" w:horzAnchor="page" w:tblpX="754" w:tblpY="498"/>
        <w:tblOverlap w:val="never"/>
        <w:tblW w:w="9638" w:type="dxa"/>
        <w:tblInd w:w="0" w:type="dxa"/>
        <w:tblCellMar>
          <w:top w:w="79" w:type="dxa"/>
          <w:left w:w="0" w:type="dxa"/>
          <w:bottom w:w="0" w:type="dxa"/>
          <w:right w:w="113" w:type="dxa"/>
        </w:tblCellMar>
        <w:tblLook w:val="04A0" w:firstRow="1" w:lastRow="0" w:firstColumn="1" w:lastColumn="0" w:noHBand="0" w:noVBand="1"/>
      </w:tblPr>
      <w:tblGrid>
        <w:gridCol w:w="8475"/>
        <w:gridCol w:w="1163"/>
      </w:tblGrid>
      <w:tr w:rsidR="000415D0">
        <w:trPr>
          <w:trHeight w:val="283"/>
        </w:trPr>
        <w:tc>
          <w:tcPr>
            <w:tcW w:w="8474" w:type="dxa"/>
            <w:tcBorders>
              <w:top w:val="nil"/>
              <w:left w:val="nil"/>
              <w:bottom w:val="nil"/>
              <w:right w:val="nil"/>
            </w:tcBorders>
            <w:shd w:val="clear" w:color="auto" w:fill="D0D0D0"/>
          </w:tcPr>
          <w:p w:rsidR="000415D0" w:rsidRDefault="008E2CEA">
            <w:pPr>
              <w:spacing w:after="0"/>
              <w:ind w:left="113"/>
            </w:pPr>
            <w:r>
              <w:rPr>
                <w:rFonts w:ascii="Times New Roman" w:eastAsia="Times New Roman" w:hAnsi="Times New Roman" w:cs="Times New Roman"/>
                <w:i/>
                <w:sz w:val="18"/>
              </w:rPr>
              <w:t>КОНСЕНСУС</w:t>
            </w:r>
          </w:p>
        </w:tc>
        <w:tc>
          <w:tcPr>
            <w:tcW w:w="1163" w:type="dxa"/>
            <w:tcBorders>
              <w:top w:val="nil"/>
              <w:left w:val="nil"/>
              <w:bottom w:val="nil"/>
              <w:right w:val="nil"/>
            </w:tcBorders>
            <w:shd w:val="clear" w:color="auto" w:fill="D0D0D0"/>
          </w:tcPr>
          <w:p w:rsidR="000415D0" w:rsidRDefault="008E2CEA">
            <w:pPr>
              <w:spacing w:after="0"/>
              <w:jc w:val="both"/>
            </w:pPr>
            <w:r>
              <w:rPr>
                <w:rFonts w:ascii="Times New Roman" w:eastAsia="Times New Roman" w:hAnsi="Times New Roman" w:cs="Times New Roman"/>
                <w:i/>
                <w:sz w:val="18"/>
              </w:rPr>
              <w:t>CONSENSUS</w:t>
            </w:r>
          </w:p>
        </w:tc>
      </w:tr>
    </w:tbl>
    <w:p w:rsidR="000415D0" w:rsidRDefault="008E2CEA">
      <w:pPr>
        <w:spacing w:after="4" w:line="248" w:lineRule="auto"/>
        <w:ind w:left="407" w:right="396" w:hanging="10"/>
        <w:jc w:val="both"/>
      </w:pPr>
      <w:r>
        <w:rPr>
          <w:sz w:val="16"/>
        </w:rPr>
        <w:t>При развитии побочных явлений уменьшена может быть доза соматропина (на 30–50%), либо терапия временно отменена (зависит от выраженности клинической картины) до полного исчезновения нежелательных симптомов. При отеке зрительного нерва лечение прекращают до</w:t>
      </w:r>
      <w:r>
        <w:rPr>
          <w:sz w:val="16"/>
        </w:rPr>
        <w:t xml:space="preserve"> полной нормализации картины глазного дна. Если терапия была временно прекращена, лечение возобновляют в меньших дозах (50% от исходной) с постепенным (в течение 1–3 мес) возвращением к оптимальной. Ростстимулирующая терапия соматропином прекращается при с</w:t>
      </w:r>
      <w:r>
        <w:rPr>
          <w:sz w:val="16"/>
        </w:rPr>
        <w:t>нижении скорости роста менее 2 см/год на фоне лечения, закрытии эпифизарных зон роста или в более ранние сроки при достижении генетически прогнозируемого роста, но не выше 170 см у девочек, 180 см у мальчиков или желании пациента и его родителей/законных п</w:t>
      </w:r>
      <w:r>
        <w:rPr>
          <w:sz w:val="16"/>
        </w:rPr>
        <w:t>редставителей, удовлетворенных достигнутым результатом конечного роста.</w:t>
      </w:r>
    </w:p>
    <w:p w:rsidR="000415D0" w:rsidRDefault="008E2CEA">
      <w:pPr>
        <w:spacing w:after="4" w:line="248" w:lineRule="auto"/>
        <w:ind w:left="407" w:right="401" w:hanging="10"/>
        <w:jc w:val="both"/>
      </w:pPr>
      <w:r>
        <w:rPr>
          <w:sz w:val="16"/>
        </w:rPr>
        <w:t>Ре-диагностику проводят после достижения конечного роста, через 1–3 мес перерыва в лечении соматропином. Нуждаются в ре-диагностике пациенты с изолированным СТГ-дефицитом или пациенты,</w:t>
      </w:r>
      <w:r>
        <w:rPr>
          <w:sz w:val="16"/>
        </w:rPr>
        <w:t xml:space="preserve"> имеющие 1 (помимо СТГ) тропную недостаточность при наличии нормального уровня ИФР-1 (на фоне отмены соматропина) и не имеющие молекулярно-генетического подтверждения диагноза.</w:t>
      </w:r>
      <w:r>
        <w:rPr>
          <w:b/>
          <w:sz w:val="16"/>
        </w:rPr>
        <w:t xml:space="preserve"> </w:t>
      </w:r>
      <w:r>
        <w:rPr>
          <w:sz w:val="16"/>
        </w:rPr>
        <w:t>Не нуждаются в ре-диагностике пациенты с двумя (помимо СТГ) тропными недостаточ</w:t>
      </w:r>
      <w:r>
        <w:rPr>
          <w:sz w:val="16"/>
        </w:rPr>
        <w:t>ностями и более, приобретенными гипоталамо-гипофизарными повреждениями вследствие операций на гипофизе и облучения гипоталамо-гипофизарной области (при условии низкого уровня ИФР-1 на фоне отмены соматропина), «триадой» на МРТ, дефектами генов системы СТГ-</w:t>
      </w:r>
      <w:r>
        <w:rPr>
          <w:sz w:val="16"/>
        </w:rPr>
        <w:t>ИФР-I.</w:t>
      </w:r>
    </w:p>
    <w:p w:rsidR="000415D0" w:rsidRDefault="008E2CEA">
      <w:pPr>
        <w:spacing w:after="49" w:line="248" w:lineRule="auto"/>
        <w:ind w:left="407" w:right="400" w:hanging="10"/>
        <w:jc w:val="both"/>
      </w:pPr>
      <w:r>
        <w:rPr>
          <w:sz w:val="16"/>
        </w:rPr>
        <w:t>В случае подтверждения дефицита СТГ лечение соматропином возобновляют в метаболических дозах, составляющих 0,01– 0,003 мг/кг/сут под контролем уровня ИФР-I в крови (измерение 1 раз в 6 мес), показатель не должен превышать верхней границы референсног</w:t>
      </w:r>
      <w:r>
        <w:rPr>
          <w:sz w:val="16"/>
        </w:rPr>
        <w:t>о значения для соответствующих возраста и пола.</w:t>
      </w:r>
    </w:p>
    <w:p w:rsidR="000415D0" w:rsidRDefault="008E2CEA">
      <w:pPr>
        <w:spacing w:after="202" w:line="260" w:lineRule="auto"/>
        <w:ind w:left="407" w:hanging="10"/>
      </w:pPr>
      <w:r>
        <w:rPr>
          <w:rFonts w:ascii="Times New Roman" w:eastAsia="Times New Roman" w:hAnsi="Times New Roman" w:cs="Times New Roman"/>
          <w:i/>
          <w:sz w:val="16"/>
        </w:rPr>
        <w:t>Ключевые слова: гипопитуитаризм, СТГ-дефицит, центральный гипотиреоз, центральный гипокортицизм, центральный гипогонадизм, гормон роста, соматропин, консенсус.</w:t>
      </w:r>
    </w:p>
    <w:p w:rsidR="000415D0" w:rsidRDefault="008E2CEA">
      <w:pPr>
        <w:spacing w:after="0" w:line="249" w:lineRule="auto"/>
        <w:ind w:right="917"/>
      </w:pPr>
      <w:r>
        <w:rPr>
          <w:rFonts w:ascii="Times New Roman" w:eastAsia="Times New Roman" w:hAnsi="Times New Roman" w:cs="Times New Roman"/>
          <w:b/>
          <w:sz w:val="24"/>
        </w:rPr>
        <w:t>Russian national consensus. Diagnostics and treatment of hypopituitarism in children and adolescences</w:t>
      </w:r>
    </w:p>
    <w:p w:rsidR="000415D0" w:rsidRDefault="008E2CEA">
      <w:pPr>
        <w:spacing w:after="0"/>
        <w:ind w:left="-5" w:hanging="10"/>
      </w:pPr>
      <w:r>
        <w:rPr>
          <w:sz w:val="18"/>
        </w:rPr>
        <w:t>© Еlena V. Nagaeva</w:t>
      </w:r>
      <w:r>
        <w:rPr>
          <w:sz w:val="16"/>
          <w:vertAlign w:val="superscript"/>
        </w:rPr>
        <w:t>1*</w:t>
      </w:r>
      <w:r>
        <w:rPr>
          <w:sz w:val="18"/>
        </w:rPr>
        <w:t>, Tatiana Yu. Shiryaeva</w:t>
      </w:r>
      <w:r>
        <w:rPr>
          <w:sz w:val="16"/>
          <w:vertAlign w:val="superscript"/>
        </w:rPr>
        <w:t>1</w:t>
      </w:r>
      <w:r>
        <w:rPr>
          <w:sz w:val="18"/>
        </w:rPr>
        <w:t>, Valentina A. Peterkova</w:t>
      </w:r>
      <w:r>
        <w:rPr>
          <w:sz w:val="16"/>
          <w:vertAlign w:val="superscript"/>
        </w:rPr>
        <w:t>1</w:t>
      </w:r>
      <w:r>
        <w:rPr>
          <w:sz w:val="18"/>
        </w:rPr>
        <w:t>, Olga B. Bezlepkina</w:t>
      </w:r>
      <w:r>
        <w:rPr>
          <w:sz w:val="16"/>
          <w:vertAlign w:val="superscript"/>
        </w:rPr>
        <w:t>1</w:t>
      </w:r>
      <w:r>
        <w:rPr>
          <w:rFonts w:ascii="Times New Roman" w:eastAsia="Times New Roman" w:hAnsi="Times New Roman" w:cs="Times New Roman"/>
          <w:i/>
          <w:sz w:val="18"/>
        </w:rPr>
        <w:t>,</w:t>
      </w:r>
      <w:r>
        <w:rPr>
          <w:sz w:val="18"/>
        </w:rPr>
        <w:t xml:space="preserve"> Anatoly N. Tiulpakov</w:t>
      </w:r>
      <w:r>
        <w:rPr>
          <w:sz w:val="16"/>
          <w:vertAlign w:val="superscript"/>
        </w:rPr>
        <w:t>1</w:t>
      </w:r>
      <w:r>
        <w:rPr>
          <w:sz w:val="18"/>
        </w:rPr>
        <w:t>,</w:t>
      </w:r>
    </w:p>
    <w:p w:rsidR="000415D0" w:rsidRDefault="008E2CEA">
      <w:pPr>
        <w:spacing w:after="0"/>
        <w:ind w:left="-5" w:hanging="10"/>
      </w:pPr>
      <w:r>
        <w:rPr>
          <w:sz w:val="18"/>
        </w:rPr>
        <w:t>Natalia А. Strebkova</w:t>
      </w:r>
      <w:r>
        <w:rPr>
          <w:sz w:val="16"/>
          <w:vertAlign w:val="superscript"/>
        </w:rPr>
        <w:t>1</w:t>
      </w:r>
      <w:r>
        <w:rPr>
          <w:sz w:val="18"/>
        </w:rPr>
        <w:t>, Alexey V. Kiyaev</w:t>
      </w:r>
      <w:r>
        <w:rPr>
          <w:sz w:val="16"/>
          <w:vertAlign w:val="superscript"/>
        </w:rPr>
        <w:t xml:space="preserve"> 2</w:t>
      </w:r>
      <w:r>
        <w:rPr>
          <w:sz w:val="18"/>
        </w:rPr>
        <w:t>, Elena E. Petryaykina</w:t>
      </w:r>
      <w:r>
        <w:rPr>
          <w:sz w:val="16"/>
          <w:vertAlign w:val="superscript"/>
        </w:rPr>
        <w:t xml:space="preserve"> 3</w:t>
      </w:r>
      <w:r>
        <w:rPr>
          <w:sz w:val="18"/>
        </w:rPr>
        <w:t>, Elena B. Bashnina</w:t>
      </w:r>
      <w:r>
        <w:rPr>
          <w:sz w:val="16"/>
          <w:vertAlign w:val="superscript"/>
        </w:rPr>
        <w:t>4</w:t>
      </w:r>
      <w:r>
        <w:rPr>
          <w:sz w:val="18"/>
        </w:rPr>
        <w:t>, Оleg А. Мalievsky</w:t>
      </w:r>
      <w:r>
        <w:rPr>
          <w:sz w:val="16"/>
          <w:vertAlign w:val="superscript"/>
        </w:rPr>
        <w:t>5</w:t>
      </w:r>
      <w:r>
        <w:rPr>
          <w:sz w:val="18"/>
        </w:rPr>
        <w:t>,</w:t>
      </w:r>
    </w:p>
    <w:p w:rsidR="000415D0" w:rsidRDefault="008E2CEA">
      <w:pPr>
        <w:spacing w:after="86"/>
        <w:ind w:left="-5" w:hanging="10"/>
      </w:pPr>
      <w:r>
        <w:rPr>
          <w:sz w:val="18"/>
        </w:rPr>
        <w:t>Тatyana Е. Тaranushenko</w:t>
      </w:r>
      <w:r>
        <w:rPr>
          <w:sz w:val="16"/>
          <w:vertAlign w:val="superscript"/>
        </w:rPr>
        <w:t>6</w:t>
      </w:r>
      <w:r>
        <w:rPr>
          <w:sz w:val="18"/>
        </w:rPr>
        <w:t>, Irina B. Коstrova</w:t>
      </w:r>
      <w:r>
        <w:rPr>
          <w:sz w:val="16"/>
          <w:vertAlign w:val="superscript"/>
        </w:rPr>
        <w:t>7</w:t>
      </w:r>
      <w:r>
        <w:rPr>
          <w:sz w:val="18"/>
        </w:rPr>
        <w:t>, Lyubov А. Shapkina</w:t>
      </w:r>
      <w:r>
        <w:rPr>
          <w:sz w:val="16"/>
          <w:vertAlign w:val="superscript"/>
        </w:rPr>
        <w:t>8</w:t>
      </w:r>
      <w:r>
        <w:rPr>
          <w:sz w:val="18"/>
        </w:rPr>
        <w:t>, Ivan I. Dedov</w:t>
      </w:r>
      <w:r>
        <w:rPr>
          <w:sz w:val="16"/>
          <w:vertAlign w:val="superscript"/>
        </w:rPr>
        <w:t>1,9</w:t>
      </w:r>
    </w:p>
    <w:p w:rsidR="000415D0" w:rsidRDefault="008E2CEA">
      <w:pPr>
        <w:spacing w:after="4" w:line="248" w:lineRule="auto"/>
        <w:ind w:left="-5" w:hanging="10"/>
        <w:jc w:val="both"/>
      </w:pPr>
      <w:r>
        <w:rPr>
          <w:sz w:val="14"/>
          <w:vertAlign w:val="superscript"/>
        </w:rPr>
        <w:t>1</w:t>
      </w:r>
      <w:r>
        <w:rPr>
          <w:sz w:val="16"/>
        </w:rPr>
        <w:t>Endocrinology Research Centre, Moscow, Russia</w:t>
      </w:r>
    </w:p>
    <w:p w:rsidR="000415D0" w:rsidRDefault="008E2CEA">
      <w:pPr>
        <w:spacing w:after="4" w:line="248" w:lineRule="auto"/>
        <w:ind w:left="-5" w:hanging="10"/>
        <w:jc w:val="both"/>
      </w:pPr>
      <w:r>
        <w:rPr>
          <w:sz w:val="14"/>
          <w:vertAlign w:val="superscript"/>
        </w:rPr>
        <w:t>2</w:t>
      </w:r>
      <w:r>
        <w:rPr>
          <w:sz w:val="16"/>
        </w:rPr>
        <w:t>Urals State Medical University, Ekaterinburg, Russia</w:t>
      </w:r>
    </w:p>
    <w:p w:rsidR="000415D0" w:rsidRDefault="008E2CEA">
      <w:pPr>
        <w:spacing w:after="4" w:line="248" w:lineRule="auto"/>
        <w:ind w:left="-5" w:hanging="10"/>
        <w:jc w:val="both"/>
      </w:pPr>
      <w:r>
        <w:rPr>
          <w:sz w:val="14"/>
          <w:vertAlign w:val="superscript"/>
        </w:rPr>
        <w:t>3</w:t>
      </w:r>
      <w:r>
        <w:rPr>
          <w:sz w:val="16"/>
        </w:rPr>
        <w:t>RU</w:t>
      </w:r>
      <w:r>
        <w:rPr>
          <w:sz w:val="16"/>
        </w:rPr>
        <w:t>DN University Medical Institute, Moscow, Russia</w:t>
      </w:r>
    </w:p>
    <w:p w:rsidR="000415D0" w:rsidRDefault="008E2CEA">
      <w:pPr>
        <w:spacing w:after="4" w:line="248" w:lineRule="auto"/>
        <w:ind w:left="-5" w:right="2256" w:hanging="10"/>
        <w:jc w:val="both"/>
      </w:pPr>
      <w:r>
        <w:rPr>
          <w:sz w:val="14"/>
          <w:vertAlign w:val="superscript"/>
        </w:rPr>
        <w:t>4</w:t>
      </w:r>
      <w:r>
        <w:rPr>
          <w:sz w:val="16"/>
        </w:rPr>
        <w:t xml:space="preserve">North-Western State Medical University named after I.I Mechnikov, Saint Petersburg, Russia </w:t>
      </w:r>
      <w:r>
        <w:rPr>
          <w:sz w:val="14"/>
          <w:vertAlign w:val="superscript"/>
        </w:rPr>
        <w:t>5</w:t>
      </w:r>
      <w:r>
        <w:rPr>
          <w:sz w:val="16"/>
        </w:rPr>
        <w:t>Bashkortostan State Medical University, Ufa, Russia</w:t>
      </w:r>
    </w:p>
    <w:p w:rsidR="000415D0" w:rsidRDefault="008E2CEA">
      <w:pPr>
        <w:spacing w:after="4" w:line="248" w:lineRule="auto"/>
        <w:ind w:left="-5" w:hanging="10"/>
        <w:jc w:val="both"/>
      </w:pPr>
      <w:r>
        <w:rPr>
          <w:sz w:val="14"/>
          <w:vertAlign w:val="superscript"/>
        </w:rPr>
        <w:t>6</w:t>
      </w:r>
      <w:r>
        <w:rPr>
          <w:sz w:val="16"/>
        </w:rPr>
        <w:t>Krasnoyarsk State Medical University, Krasnoyarsk, Russia</w:t>
      </w:r>
    </w:p>
    <w:p w:rsidR="000415D0" w:rsidRDefault="008E2CEA">
      <w:pPr>
        <w:spacing w:after="4" w:line="248" w:lineRule="auto"/>
        <w:ind w:left="-5" w:hanging="10"/>
        <w:jc w:val="both"/>
      </w:pPr>
      <w:r>
        <w:rPr>
          <w:sz w:val="14"/>
          <w:vertAlign w:val="superscript"/>
        </w:rPr>
        <w:t>7</w:t>
      </w:r>
      <w:r>
        <w:rPr>
          <w:sz w:val="16"/>
        </w:rPr>
        <w:t>Children Republic Ckinical Hospital named after N.M. Kuraev, Makhachkala, Russia</w:t>
      </w:r>
    </w:p>
    <w:p w:rsidR="000415D0" w:rsidRDefault="008E2CEA">
      <w:pPr>
        <w:spacing w:after="4" w:line="248" w:lineRule="auto"/>
        <w:ind w:left="-5" w:hanging="10"/>
        <w:jc w:val="both"/>
      </w:pPr>
      <w:r>
        <w:rPr>
          <w:sz w:val="14"/>
          <w:vertAlign w:val="superscript"/>
        </w:rPr>
        <w:t>8</w:t>
      </w:r>
      <w:r>
        <w:rPr>
          <w:sz w:val="16"/>
        </w:rPr>
        <w:t>Pacific State Medical University, Vladivostok, Russia</w:t>
      </w:r>
    </w:p>
    <w:p w:rsidR="000415D0" w:rsidRDefault="008E2CEA">
      <w:pPr>
        <w:spacing w:after="76" w:line="248" w:lineRule="auto"/>
        <w:ind w:left="-5" w:hanging="10"/>
        <w:jc w:val="both"/>
      </w:pPr>
      <w:r>
        <w:rPr>
          <w:sz w:val="14"/>
          <w:vertAlign w:val="superscript"/>
        </w:rPr>
        <w:t>9</w:t>
      </w:r>
      <w:r>
        <w:rPr>
          <w:sz w:val="16"/>
        </w:rPr>
        <w:t>I.M.Sechenov First Moscow State Medical University (Sechenov University), Moscow, Russia</w:t>
      </w:r>
    </w:p>
    <w:p w:rsidR="000415D0" w:rsidRDefault="008E2CEA">
      <w:pPr>
        <w:spacing w:after="151"/>
      </w:pPr>
      <w:r>
        <w:rPr>
          <w:noProof/>
        </w:rPr>
        <w:lastRenderedPageBreak/>
        <mc:AlternateContent>
          <mc:Choice Requires="wpg">
            <w:drawing>
              <wp:inline distT="0" distB="0" distL="0" distR="0">
                <wp:extent cx="6120003" cy="6350"/>
                <wp:effectExtent l="0" t="0" r="0" b="0"/>
                <wp:docPr id="17791" name="Group 17791"/>
                <wp:cNvGraphicFramePr/>
                <a:graphic xmlns:a="http://schemas.openxmlformats.org/drawingml/2006/main">
                  <a:graphicData uri="http://schemas.microsoft.com/office/word/2010/wordprocessingGroup">
                    <wpg:wgp>
                      <wpg:cNvGrpSpPr/>
                      <wpg:grpSpPr>
                        <a:xfrm>
                          <a:off x="0" y="0"/>
                          <a:ext cx="6120003" cy="6350"/>
                          <a:chOff x="0" y="0"/>
                          <a:chExt cx="6120003" cy="6350"/>
                        </a:xfrm>
                      </wpg:grpSpPr>
                      <wps:wsp>
                        <wps:cNvPr id="8" name="Shape 8"/>
                        <wps:cNvSpPr/>
                        <wps:spPr>
                          <a:xfrm>
                            <a:off x="0" y="0"/>
                            <a:ext cx="6120003" cy="0"/>
                          </a:xfrm>
                          <a:custGeom>
                            <a:avLst/>
                            <a:gdLst/>
                            <a:ahLst/>
                            <a:cxnLst/>
                            <a:rect l="0" t="0" r="0" b="0"/>
                            <a:pathLst>
                              <a:path w="6120003">
                                <a:moveTo>
                                  <a:pt x="0" y="0"/>
                                </a:moveTo>
                                <a:lnTo>
                                  <a:pt x="6120003"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7791" style="width:481.89pt;height:0.5pt;mso-position-horizontal-relative:char;mso-position-vertical-relative:line" coordsize="61200,63">
                <v:shape id="Shape 8" style="position:absolute;width:61200;height:0;left:0;top:0;" coordsize="6120003,0" path="m0,0l6120003,0">
                  <v:stroke weight="0.5pt" endcap="flat" joinstyle="miter" miterlimit="4" on="true" color="#000000"/>
                  <v:fill on="false" color="#000000" opacity="0"/>
                </v:shape>
              </v:group>
            </w:pict>
          </mc:Fallback>
        </mc:AlternateContent>
      </w:r>
    </w:p>
    <w:p w:rsidR="000415D0" w:rsidRDefault="008E2CEA">
      <w:pPr>
        <w:spacing w:after="31" w:line="248" w:lineRule="auto"/>
        <w:ind w:left="2017" w:hanging="10"/>
        <w:jc w:val="both"/>
      </w:pPr>
      <w:r>
        <w:rPr>
          <w:b/>
          <w:sz w:val="16"/>
        </w:rPr>
        <w:t>Copyright</w:t>
      </w:r>
      <w:r>
        <w:rPr>
          <w:sz w:val="16"/>
        </w:rPr>
        <w:t xml:space="preserve"> © 2018 by the MediaSphere </w:t>
      </w:r>
    </w:p>
    <w:p w:rsidR="000415D0" w:rsidRDefault="008E2CEA">
      <w:pPr>
        <w:spacing w:after="68" w:line="260" w:lineRule="auto"/>
        <w:ind w:left="2856" w:firstLine="108"/>
      </w:pPr>
      <w:r>
        <w:rPr>
          <w:b/>
          <w:sz w:val="16"/>
        </w:rPr>
        <w:t>Licensee:</w:t>
      </w:r>
      <w:r>
        <w:rPr>
          <w:sz w:val="16"/>
        </w:rPr>
        <w:t xml:space="preserve"> CC BY-NC-ND</w:t>
      </w:r>
      <w:r>
        <w:rPr>
          <w:sz w:val="16"/>
        </w:rPr>
        <w:tab/>
      </w:r>
      <w:r>
        <w:rPr>
          <w:rFonts w:ascii="Times New Roman" w:eastAsia="Times New Roman" w:hAnsi="Times New Roman" w:cs="Times New Roman"/>
          <w:i/>
          <w:sz w:val="16"/>
        </w:rPr>
        <w:t xml:space="preserve">Проблемы эндокринологии 2018. — Т. 64. — №6. — С. 402–411 </w:t>
      </w:r>
      <w:r>
        <w:rPr>
          <w:b/>
          <w:sz w:val="16"/>
        </w:rPr>
        <w:t xml:space="preserve">doi: </w:t>
      </w:r>
      <w:r>
        <w:rPr>
          <w:sz w:val="16"/>
        </w:rPr>
        <w:t>10.14341/probl10091</w:t>
      </w:r>
      <w:r>
        <w:rPr>
          <w:sz w:val="16"/>
        </w:rPr>
        <w:tab/>
      </w:r>
      <w:r>
        <w:rPr>
          <w:rFonts w:ascii="Times New Roman" w:eastAsia="Times New Roman" w:hAnsi="Times New Roman" w:cs="Times New Roman"/>
          <w:i/>
          <w:sz w:val="16"/>
        </w:rPr>
        <w:t>Problems of Endocrinology 2018;64(6):402-411</w:t>
      </w:r>
    </w:p>
    <w:p w:rsidR="000415D0" w:rsidRDefault="008E2CEA">
      <w:pPr>
        <w:spacing w:after="4" w:line="248" w:lineRule="auto"/>
        <w:ind w:left="804" w:hanging="10"/>
        <w:jc w:val="both"/>
      </w:pPr>
      <w:r>
        <w:rPr>
          <w:sz w:val="16"/>
        </w:rPr>
        <w:t>The materials of the National Consensus reflect the modern domestic and intern</w:t>
      </w:r>
      <w:r>
        <w:rPr>
          <w:sz w:val="16"/>
        </w:rPr>
        <w:t>ational experience on this issue.</w:t>
      </w:r>
    </w:p>
    <w:p w:rsidR="000415D0" w:rsidRDefault="008E2CEA">
      <w:pPr>
        <w:spacing w:after="4" w:line="248" w:lineRule="auto"/>
        <w:ind w:left="804" w:hanging="10"/>
        <w:jc w:val="both"/>
      </w:pPr>
      <w:r>
        <w:rPr>
          <w:sz w:val="16"/>
        </w:rPr>
        <w:t>Before conducting a specialized endocrinological examination of a short child, all other causes of short stature should be excluded: severe somatic diseases in a state of decompensation that can affect growth velocity, con</w:t>
      </w:r>
      <w:r>
        <w:rPr>
          <w:sz w:val="16"/>
        </w:rPr>
        <w:t>genital systemic skeletal diseases, syndromic short stature (all girls with growth retardation require a mandatory study of karyotype, depending on the presence or absence of phenotypic signs of Turner syndrome), endocrine diseases in decompensation.</w:t>
      </w:r>
    </w:p>
    <w:p w:rsidR="000415D0" w:rsidRDefault="008E2CEA">
      <w:pPr>
        <w:spacing w:after="4" w:line="248" w:lineRule="auto"/>
        <w:ind w:left="804" w:hanging="10"/>
        <w:jc w:val="both"/>
      </w:pPr>
      <w:r>
        <w:rPr>
          <w:sz w:val="16"/>
        </w:rPr>
        <w:t>A spe</w:t>
      </w:r>
      <w:r>
        <w:rPr>
          <w:sz w:val="16"/>
        </w:rPr>
        <w:t>cialized examination of the state of GH-IGF-I axis is carried out when the proportionally folded child has pronounced short stature: if the child’s height is &lt; –2.0 SDS, if the difference between the child’s height SDS and child’s midparental height SDS ex</w:t>
      </w:r>
      <w:r>
        <w:rPr>
          <w:sz w:val="16"/>
        </w:rPr>
        <w:t>ceeds 1.5 SDS and/or a low growth velocity.</w:t>
      </w:r>
    </w:p>
    <w:p w:rsidR="000415D0" w:rsidRDefault="008E2CEA">
      <w:pPr>
        <w:spacing w:after="4" w:line="248" w:lineRule="auto"/>
        <w:ind w:left="804" w:hanging="10"/>
        <w:jc w:val="both"/>
      </w:pPr>
      <w:r>
        <w:rPr>
          <w:sz w:val="16"/>
        </w:rPr>
        <w:t xml:space="preserve">The consensus reflects clear criteria for the diagnosis of GH-deficiency, central hypothyroidism, central hypocorticosolism, central hypogonadism, diabetes insipidus, hypoprolactinemia, and also the criteria for </w:t>
      </w:r>
      <w:r>
        <w:rPr>
          <w:sz w:val="16"/>
        </w:rPr>
        <w:t>their compensation.</w:t>
      </w:r>
    </w:p>
    <w:p w:rsidR="000415D0" w:rsidRDefault="008E2CEA">
      <w:pPr>
        <w:spacing w:after="4" w:line="248" w:lineRule="auto"/>
        <w:ind w:left="804" w:hanging="10"/>
        <w:jc w:val="both"/>
      </w:pPr>
      <w:r>
        <w:rPr>
          <w:sz w:val="16"/>
        </w:rPr>
        <w:t>The dose of somatropin with GH-deficiency in children and adolescents is 0.025–0.033 mg/kg/day. With total somatotropic insufficiency, especially in young children, it is advisable to start therapy with somatropin from lower doses: 25–5</w:t>
      </w:r>
      <w:r>
        <w:rPr>
          <w:sz w:val="16"/>
        </w:rPr>
        <w:t>0% of the substitution, gradually increasing it within 3–6 months to optimal. In children with a growth deficit when entering puberty, the dose may be increased to 0.045–0.05 mg/kg/day.</w:t>
      </w:r>
    </w:p>
    <w:p w:rsidR="000415D0" w:rsidRDefault="008E2CEA">
      <w:pPr>
        <w:spacing w:after="4" w:line="248" w:lineRule="auto"/>
        <w:ind w:left="804" w:hanging="10"/>
        <w:jc w:val="both"/>
      </w:pPr>
      <w:r>
        <w:rPr>
          <w:sz w:val="16"/>
        </w:rPr>
        <w:t>With the development of side effects, the dose of somatropin can be re</w:t>
      </w:r>
      <w:r>
        <w:rPr>
          <w:sz w:val="16"/>
        </w:rPr>
        <w:t>duced (by 30–50%), or temporarily canceled (depending on the severity of the clinical picture) until the complete disappearance of undesirable symptoms. With swelling of the optic nerve, treatment is temporarily stopped until the picture of the fundus of t</w:t>
      </w:r>
      <w:r>
        <w:rPr>
          <w:sz w:val="16"/>
        </w:rPr>
        <w:t xml:space="preserve">he eye fully normalizes. If therapy has been temporarily discontinued, treatment is resumed in smaller doses (50% of the initial) with a gradual (within 1–3 months) return to the optimum. GH treatment at pediatric doses not continue beyond attainment of a </w:t>
      </w:r>
      <w:r>
        <w:rPr>
          <w:sz w:val="16"/>
        </w:rPr>
        <w:t xml:space="preserve">growth velocity below 2–2.5 cm/year, closure of the epiphyseal growth zones, or earlier, when: the achievement of genetically predicted height, but not more than 170 cm in girls, 180 cm in boys, the patient’s desire and his parents / legal representatives </w:t>
      </w:r>
      <w:r>
        <w:rPr>
          <w:sz w:val="16"/>
        </w:rPr>
        <w:t>satisfied with the achieved result of the final height.</w:t>
      </w:r>
    </w:p>
    <w:p w:rsidR="000415D0" w:rsidRDefault="008E2CEA">
      <w:pPr>
        <w:spacing w:after="4" w:line="248" w:lineRule="auto"/>
        <w:ind w:left="804" w:hanging="10"/>
        <w:jc w:val="both"/>
      </w:pPr>
      <w:r>
        <w:rPr>
          <w:sz w:val="16"/>
        </w:rPr>
        <w:t>Re-evaluation of the somatotropic axis is carried out after reaching the adult height, after 1–3 months GH therapy will be discontinued. Patients with isolated GH-deficiency or patients with 1 (beside</w:t>
      </w:r>
      <w:r>
        <w:rPr>
          <w:sz w:val="16"/>
        </w:rPr>
        <w:t>s GH) pituitary hormone deficiencies in the presence of a normal IGF-1 level (against the background of somatropin withdrawal) and not having molecular genetic confirmation of the diagnosis need re- evaluation. Patients with two or more (besides GH) pituit</w:t>
      </w:r>
      <w:r>
        <w:rPr>
          <w:sz w:val="16"/>
        </w:rPr>
        <w:t>ary hormone deficiencies, acquired hypothalamicpituitary lesions due to operations on the pituitary and irradiation of the hypothalamic-pituitary area (if the IGF-1 level is low against somatropin withdrawal), specific pituitary/ hypothalamic structural de</w:t>
      </w:r>
      <w:r>
        <w:rPr>
          <w:sz w:val="16"/>
        </w:rPr>
        <w:t>fect on MRI, gene defects of the GH-IGF-I system do not need re- evaluation.</w:t>
      </w:r>
    </w:p>
    <w:p w:rsidR="000415D0" w:rsidRDefault="008E2CEA">
      <w:pPr>
        <w:spacing w:after="106" w:line="248" w:lineRule="auto"/>
        <w:ind w:left="804" w:hanging="10"/>
        <w:jc w:val="both"/>
      </w:pPr>
      <w:r>
        <w:rPr>
          <w:sz w:val="16"/>
        </w:rPr>
        <w:t>If GH deficiency is confirmed, treatment with somatropin is resumed at metabolic doses of 0.01—0.003 mg/kg/day under the control of the IGF-I level in the blood (measurement 1 tim</w:t>
      </w:r>
      <w:r>
        <w:rPr>
          <w:sz w:val="16"/>
        </w:rPr>
        <w:t>e in 6 months), the indicator should not exceed the upper limit of the reference value for the corresponding age and floor.</w:t>
      </w:r>
    </w:p>
    <w:p w:rsidR="000415D0" w:rsidRDefault="008E2CEA">
      <w:pPr>
        <w:spacing w:after="68" w:line="260" w:lineRule="auto"/>
        <w:ind w:left="804" w:hanging="10"/>
      </w:pPr>
      <w:r>
        <w:rPr>
          <w:rFonts w:ascii="Times New Roman" w:eastAsia="Times New Roman" w:hAnsi="Times New Roman" w:cs="Times New Roman"/>
          <w:i/>
          <w:sz w:val="16"/>
        </w:rPr>
        <w:t xml:space="preserve">Keywords: hypopituitarism, growth hormone deficiency, central hypothyroidism, central hypocortisolism, central hypogonadism, </w:t>
      </w:r>
    </w:p>
    <w:p w:rsidR="000415D0" w:rsidRDefault="000415D0">
      <w:pPr>
        <w:sectPr w:rsidR="000415D0">
          <w:headerReference w:type="even" r:id="rId8"/>
          <w:footerReference w:type="even" r:id="rId9"/>
          <w:footerReference w:type="default" r:id="rId10"/>
          <w:footerReference w:type="first" r:id="rId11"/>
          <w:pgSz w:w="11542" w:h="16474"/>
          <w:pgMar w:top="498" w:right="1147" w:bottom="547" w:left="753" w:header="720" w:footer="827" w:gutter="0"/>
          <w:pgNumType w:start="402"/>
          <w:cols w:space="720"/>
          <w:titlePg/>
        </w:sectPr>
      </w:pPr>
    </w:p>
    <w:p w:rsidR="000415D0" w:rsidRDefault="008E2CEA">
      <w:pPr>
        <w:spacing w:after="135" w:line="260" w:lineRule="auto"/>
        <w:ind w:left="52" w:hanging="10"/>
      </w:pPr>
      <w:r>
        <w:rPr>
          <w:noProof/>
        </w:rPr>
        <mc:AlternateContent>
          <mc:Choice Requires="wpg">
            <w:drawing>
              <wp:anchor distT="0" distB="0" distL="114300" distR="114300" simplePos="0" relativeHeight="251659264" behindDoc="0" locked="0" layoutInCell="1" allowOverlap="1">
                <wp:simplePos x="0" y="0"/>
                <wp:positionH relativeFrom="margin">
                  <wp:posOffset>252053</wp:posOffset>
                </wp:positionH>
                <wp:positionV relativeFrom="paragraph">
                  <wp:posOffset>183919</wp:posOffset>
                </wp:positionV>
                <wp:extent cx="6120003" cy="6350"/>
                <wp:effectExtent l="0" t="0" r="0" b="0"/>
                <wp:wrapTopAndBottom/>
                <wp:docPr id="17683" name="Group 17683"/>
                <wp:cNvGraphicFramePr/>
                <a:graphic xmlns:a="http://schemas.openxmlformats.org/drawingml/2006/main">
                  <a:graphicData uri="http://schemas.microsoft.com/office/word/2010/wordprocessingGroup">
                    <wpg:wgp>
                      <wpg:cNvGrpSpPr/>
                      <wpg:grpSpPr>
                        <a:xfrm>
                          <a:off x="0" y="0"/>
                          <a:ext cx="6120003" cy="6350"/>
                          <a:chOff x="0" y="0"/>
                          <a:chExt cx="6120003" cy="6350"/>
                        </a:xfrm>
                      </wpg:grpSpPr>
                      <wps:wsp>
                        <wps:cNvPr id="227" name="Shape 227"/>
                        <wps:cNvSpPr/>
                        <wps:spPr>
                          <a:xfrm>
                            <a:off x="0" y="0"/>
                            <a:ext cx="6120003" cy="0"/>
                          </a:xfrm>
                          <a:custGeom>
                            <a:avLst/>
                            <a:gdLst/>
                            <a:ahLst/>
                            <a:cxnLst/>
                            <a:rect l="0" t="0" r="0" b="0"/>
                            <a:pathLst>
                              <a:path w="6120003">
                                <a:moveTo>
                                  <a:pt x="0" y="0"/>
                                </a:moveTo>
                                <a:lnTo>
                                  <a:pt x="6120003"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7683" style="width:481.89pt;height:0.5pt;position:absolute;mso-position-horizontal-relative:margin;mso-position-horizontal:absolute;margin-left:19.8467pt;mso-position-vertical-relative:text;margin-top:14.4818pt;" coordsize="61200,63">
                <v:shape id="Shape 227" style="position:absolute;width:61200;height:0;left:0;top:0;" coordsize="6120003,0" path="m0,0l6120003,0">
                  <v:stroke weight="0.5pt" endcap="flat" joinstyle="miter" miterlimit="10" on="true" color="#000000"/>
                  <v:fill on="false" color="#000000" opacity="0"/>
                </v:shape>
                <w10:wrap type="topAndBottom"/>
              </v:group>
            </w:pict>
          </mc:Fallback>
        </mc:AlternateContent>
      </w:r>
      <w:r>
        <w:rPr>
          <w:rFonts w:ascii="Times New Roman" w:eastAsia="Times New Roman" w:hAnsi="Times New Roman" w:cs="Times New Roman"/>
          <w:i/>
          <w:sz w:val="16"/>
        </w:rPr>
        <w:t>growth hormone, somatropin, consensus.</w:t>
      </w:r>
    </w:p>
    <w:p w:rsidR="000415D0" w:rsidRDefault="008E2CEA">
      <w:pPr>
        <w:spacing w:before="403" w:after="0"/>
        <w:ind w:left="-5" w:hanging="10"/>
      </w:pPr>
      <w:r>
        <w:rPr>
          <w:rFonts w:ascii="Times New Roman" w:eastAsia="Times New Roman" w:hAnsi="Times New Roman" w:cs="Times New Roman"/>
          <w:b/>
          <w:sz w:val="16"/>
        </w:rPr>
        <w:t>ПЕРЕЧЕНЬ СОКРАЩЕНИЙ</w:t>
      </w:r>
    </w:p>
    <w:p w:rsidR="000415D0" w:rsidRDefault="008E2CEA">
      <w:pPr>
        <w:spacing w:after="3" w:line="260" w:lineRule="auto"/>
        <w:ind w:left="-5" w:hanging="10"/>
        <w:jc w:val="both"/>
      </w:pPr>
      <w:r>
        <w:rPr>
          <w:rFonts w:ascii="Times New Roman" w:eastAsia="Times New Roman" w:hAnsi="Times New Roman" w:cs="Times New Roman"/>
          <w:sz w:val="16"/>
        </w:rPr>
        <w:t>ГП — гипопитуитаризм</w:t>
      </w:r>
    </w:p>
    <w:p w:rsidR="000415D0" w:rsidRDefault="008E2CEA">
      <w:pPr>
        <w:spacing w:after="3" w:line="260" w:lineRule="auto"/>
        <w:ind w:left="-5" w:hanging="10"/>
        <w:jc w:val="both"/>
      </w:pPr>
      <w:r>
        <w:rPr>
          <w:rFonts w:ascii="Times New Roman" w:eastAsia="Times New Roman" w:hAnsi="Times New Roman" w:cs="Times New Roman"/>
          <w:sz w:val="16"/>
        </w:rPr>
        <w:t>ИФР-I — инсулиноподобный фактор роста 1</w:t>
      </w:r>
    </w:p>
    <w:p w:rsidR="000415D0" w:rsidRDefault="008E2CEA">
      <w:pPr>
        <w:spacing w:after="3" w:line="260" w:lineRule="auto"/>
        <w:ind w:left="-5" w:hanging="10"/>
        <w:jc w:val="both"/>
      </w:pPr>
      <w:r>
        <w:rPr>
          <w:rFonts w:ascii="Times New Roman" w:eastAsia="Times New Roman" w:hAnsi="Times New Roman" w:cs="Times New Roman"/>
          <w:sz w:val="16"/>
        </w:rPr>
        <w:t>КТ — компьютерная томография</w:t>
      </w:r>
    </w:p>
    <w:p w:rsidR="000415D0" w:rsidRDefault="008E2CEA">
      <w:pPr>
        <w:spacing w:after="3" w:line="260" w:lineRule="auto"/>
        <w:ind w:left="-5" w:hanging="10"/>
        <w:jc w:val="both"/>
      </w:pPr>
      <w:r>
        <w:rPr>
          <w:rFonts w:ascii="Times New Roman" w:eastAsia="Times New Roman" w:hAnsi="Times New Roman" w:cs="Times New Roman"/>
          <w:sz w:val="16"/>
        </w:rPr>
        <w:t>ЛГ — лютеинизирующий гор</w:t>
      </w:r>
      <w:r>
        <w:rPr>
          <w:rFonts w:ascii="Times New Roman" w:eastAsia="Times New Roman" w:hAnsi="Times New Roman" w:cs="Times New Roman"/>
          <w:sz w:val="16"/>
        </w:rPr>
        <w:t>мон</w:t>
      </w:r>
    </w:p>
    <w:p w:rsidR="000415D0" w:rsidRDefault="008E2CEA">
      <w:pPr>
        <w:spacing w:after="3" w:line="260" w:lineRule="auto"/>
        <w:ind w:left="-5" w:hanging="10"/>
        <w:jc w:val="both"/>
      </w:pPr>
      <w:r>
        <w:rPr>
          <w:rFonts w:ascii="Times New Roman" w:eastAsia="Times New Roman" w:hAnsi="Times New Roman" w:cs="Times New Roman"/>
          <w:sz w:val="16"/>
        </w:rPr>
        <w:t>МРТ — магнитно-резонансная томография СТГ — соматотропный гормон</w:t>
      </w:r>
    </w:p>
    <w:p w:rsidR="000415D0" w:rsidRDefault="008E2CEA">
      <w:pPr>
        <w:spacing w:after="3" w:line="260" w:lineRule="auto"/>
        <w:ind w:left="-5" w:hanging="10"/>
        <w:jc w:val="both"/>
      </w:pPr>
      <w:r>
        <w:rPr>
          <w:rFonts w:ascii="Times New Roman" w:eastAsia="Times New Roman" w:hAnsi="Times New Roman" w:cs="Times New Roman"/>
          <w:sz w:val="16"/>
        </w:rPr>
        <w:t>ТТГ— тиреотропный гормон</w:t>
      </w:r>
    </w:p>
    <w:p w:rsidR="000415D0" w:rsidRDefault="008E2CEA">
      <w:pPr>
        <w:spacing w:after="3" w:line="260" w:lineRule="auto"/>
        <w:ind w:left="-5" w:hanging="10"/>
        <w:jc w:val="both"/>
      </w:pPr>
      <w:r>
        <w:rPr>
          <w:rFonts w:ascii="Times New Roman" w:eastAsia="Times New Roman" w:hAnsi="Times New Roman" w:cs="Times New Roman"/>
          <w:sz w:val="16"/>
        </w:rPr>
        <w:t>ФСГ — фолликулостимулирующий гормон</w:t>
      </w:r>
    </w:p>
    <w:p w:rsidR="000415D0" w:rsidRDefault="008E2CEA">
      <w:pPr>
        <w:spacing w:after="3" w:line="260" w:lineRule="auto"/>
        <w:ind w:left="-5" w:hanging="10"/>
        <w:jc w:val="both"/>
      </w:pPr>
      <w:r>
        <w:rPr>
          <w:rFonts w:ascii="Times New Roman" w:eastAsia="Times New Roman" w:hAnsi="Times New Roman" w:cs="Times New Roman"/>
          <w:sz w:val="16"/>
        </w:rPr>
        <w:t>SD — стандартное отклонение от средней</w:t>
      </w:r>
    </w:p>
    <w:p w:rsidR="000415D0" w:rsidRDefault="008E2CEA">
      <w:pPr>
        <w:spacing w:after="3" w:line="260" w:lineRule="auto"/>
        <w:ind w:left="-5" w:hanging="10"/>
        <w:jc w:val="both"/>
      </w:pPr>
      <w:r>
        <w:rPr>
          <w:rFonts w:ascii="Times New Roman" w:eastAsia="Times New Roman" w:hAnsi="Times New Roman" w:cs="Times New Roman"/>
          <w:sz w:val="16"/>
        </w:rPr>
        <w:t>SDS — коэффициент стандартного отклонения</w:t>
      </w:r>
    </w:p>
    <w:p w:rsidR="000415D0" w:rsidRDefault="000415D0">
      <w:pPr>
        <w:sectPr w:rsidR="000415D0">
          <w:type w:val="continuous"/>
          <w:pgSz w:w="11542" w:h="16474"/>
          <w:pgMar w:top="1440" w:right="1693" w:bottom="1440" w:left="1491" w:header="720" w:footer="720" w:gutter="0"/>
          <w:cols w:num="2" w:space="720" w:equalWidth="0">
            <w:col w:w="3260" w:space="1672"/>
            <w:col w:w="3426"/>
          </w:cols>
        </w:sectPr>
      </w:pPr>
    </w:p>
    <w:tbl>
      <w:tblPr>
        <w:tblStyle w:val="TableGrid"/>
        <w:tblpPr w:vertAnchor="page" w:horzAnchor="page" w:tblpX="1150" w:tblpY="498"/>
        <w:tblOverlap w:val="never"/>
        <w:tblW w:w="9638" w:type="dxa"/>
        <w:tblInd w:w="0" w:type="dxa"/>
        <w:tblCellMar>
          <w:top w:w="78" w:type="dxa"/>
          <w:left w:w="0" w:type="dxa"/>
          <w:bottom w:w="0" w:type="dxa"/>
          <w:right w:w="113" w:type="dxa"/>
        </w:tblCellMar>
        <w:tblLook w:val="04A0" w:firstRow="1" w:lastRow="0" w:firstColumn="1" w:lastColumn="0" w:noHBand="0" w:noVBand="1"/>
      </w:tblPr>
      <w:tblGrid>
        <w:gridCol w:w="8474"/>
        <w:gridCol w:w="1163"/>
      </w:tblGrid>
      <w:tr w:rsidR="000415D0">
        <w:trPr>
          <w:trHeight w:val="283"/>
        </w:trPr>
        <w:tc>
          <w:tcPr>
            <w:tcW w:w="8474" w:type="dxa"/>
            <w:tcBorders>
              <w:top w:val="nil"/>
              <w:left w:val="nil"/>
              <w:bottom w:val="nil"/>
              <w:right w:val="nil"/>
            </w:tcBorders>
            <w:shd w:val="clear" w:color="auto" w:fill="D0D0D0"/>
          </w:tcPr>
          <w:p w:rsidR="000415D0" w:rsidRDefault="008E2CEA">
            <w:pPr>
              <w:spacing w:after="0"/>
              <w:ind w:left="113"/>
            </w:pPr>
            <w:r>
              <w:rPr>
                <w:rFonts w:ascii="Times New Roman" w:eastAsia="Times New Roman" w:hAnsi="Times New Roman" w:cs="Times New Roman"/>
                <w:b/>
                <w:i/>
                <w:sz w:val="18"/>
              </w:rPr>
              <w:t xml:space="preserve">DOI: </w:t>
            </w:r>
            <w:r>
              <w:rPr>
                <w:rFonts w:ascii="Times New Roman" w:eastAsia="Times New Roman" w:hAnsi="Times New Roman" w:cs="Times New Roman"/>
                <w:i/>
                <w:sz w:val="18"/>
              </w:rPr>
              <w:t>https://doi.org/10.14341/probl</w:t>
            </w:r>
            <w:r>
              <w:rPr>
                <w:i/>
                <w:sz w:val="18"/>
              </w:rPr>
              <w:t>1</w:t>
            </w:r>
            <w:r>
              <w:rPr>
                <w:rFonts w:ascii="Times New Roman" w:eastAsia="Times New Roman" w:hAnsi="Times New Roman" w:cs="Times New Roman"/>
                <w:i/>
                <w:sz w:val="18"/>
              </w:rPr>
              <w:t>0091</w:t>
            </w:r>
          </w:p>
        </w:tc>
        <w:tc>
          <w:tcPr>
            <w:tcW w:w="1163" w:type="dxa"/>
            <w:tcBorders>
              <w:top w:val="nil"/>
              <w:left w:val="nil"/>
              <w:bottom w:val="nil"/>
              <w:right w:val="nil"/>
            </w:tcBorders>
            <w:shd w:val="clear" w:color="auto" w:fill="D0D0D0"/>
          </w:tcPr>
          <w:p w:rsidR="000415D0" w:rsidRDefault="008E2CEA">
            <w:pPr>
              <w:spacing w:after="0"/>
              <w:jc w:val="both"/>
            </w:pPr>
            <w:r>
              <w:rPr>
                <w:rFonts w:ascii="Times New Roman" w:eastAsia="Times New Roman" w:hAnsi="Times New Roman" w:cs="Times New Roman"/>
                <w:i/>
                <w:sz w:val="18"/>
              </w:rPr>
              <w:t>CONSENSUS</w:t>
            </w:r>
          </w:p>
        </w:tc>
      </w:tr>
    </w:tbl>
    <w:p w:rsidR="000415D0" w:rsidRDefault="008E2CEA">
      <w:pPr>
        <w:spacing w:after="4" w:line="257" w:lineRule="auto"/>
        <w:ind w:left="397" w:right="36" w:firstLine="330"/>
        <w:jc w:val="both"/>
      </w:pPr>
      <w:r>
        <w:rPr>
          <w:rFonts w:ascii="Times New Roman" w:eastAsia="Times New Roman" w:hAnsi="Times New Roman" w:cs="Times New Roman"/>
          <w:sz w:val="20"/>
        </w:rPr>
        <w:t>Проект настоящего консенсуса обсужден c детскими эндокринологами Российской Федерации на всероссийских научно-практических конференциях педиатров-эндокринологов 21–22 мая 2016, Пушкин; 20–21 мая 2017, Санкт-Пе</w:t>
      </w:r>
      <w:r>
        <w:rPr>
          <w:rFonts w:ascii="Times New Roman" w:eastAsia="Times New Roman" w:hAnsi="Times New Roman" w:cs="Times New Roman"/>
          <w:sz w:val="20"/>
        </w:rPr>
        <w:t>тербург; 22–23 мая 2018, Санкт-Петербург.</w:t>
      </w:r>
    </w:p>
    <w:p w:rsidR="000415D0" w:rsidRDefault="008E2CEA">
      <w:pPr>
        <w:spacing w:after="4" w:line="257" w:lineRule="auto"/>
        <w:ind w:left="397" w:right="36" w:firstLine="330"/>
        <w:jc w:val="both"/>
      </w:pPr>
      <w:r>
        <w:rPr>
          <w:rFonts w:ascii="Times New Roman" w:eastAsia="Times New Roman" w:hAnsi="Times New Roman" w:cs="Times New Roman"/>
          <w:sz w:val="20"/>
        </w:rPr>
        <w:t>Целью новой редакции национального консенсуса «Диагностика и лечение гипопитуитаризма у детей и подростков» является совершенствование диагностики и заместительной терапии детей и подростков с гипопитуитаризмом в Российской Федерации. Материалы национально</w:t>
      </w:r>
      <w:r>
        <w:rPr>
          <w:rFonts w:ascii="Times New Roman" w:eastAsia="Times New Roman" w:hAnsi="Times New Roman" w:cs="Times New Roman"/>
          <w:sz w:val="20"/>
        </w:rPr>
        <w:t>го консенсуса отражают современный отечественный и международный опыт по данной проблеме.</w:t>
      </w:r>
    </w:p>
    <w:p w:rsidR="000415D0" w:rsidRDefault="008E2CEA">
      <w:pPr>
        <w:spacing w:after="4" w:line="257" w:lineRule="auto"/>
        <w:ind w:left="397" w:right="36" w:firstLine="330"/>
        <w:jc w:val="both"/>
      </w:pPr>
      <w:r>
        <w:rPr>
          <w:rFonts w:ascii="Times New Roman" w:eastAsia="Times New Roman" w:hAnsi="Times New Roman" w:cs="Times New Roman"/>
          <w:sz w:val="20"/>
        </w:rPr>
        <w:t>В настоящей редакции консенсуса отражены основные положения следующих документов:</w:t>
      </w:r>
    </w:p>
    <w:p w:rsidR="000415D0" w:rsidRDefault="008E2CEA">
      <w:pPr>
        <w:numPr>
          <w:ilvl w:val="0"/>
          <w:numId w:val="1"/>
        </w:numPr>
        <w:spacing w:after="4" w:line="257" w:lineRule="auto"/>
        <w:ind w:right="36" w:firstLine="330"/>
        <w:jc w:val="both"/>
      </w:pPr>
      <w:r>
        <w:rPr>
          <w:rFonts w:ascii="Times New Roman" w:eastAsia="Times New Roman" w:hAnsi="Times New Roman" w:cs="Times New Roman"/>
          <w:sz w:val="20"/>
        </w:rPr>
        <w:t>«Диагностика и лечение соматотропной недостаточности у детей». Национальный консенсу</w:t>
      </w:r>
      <w:r>
        <w:rPr>
          <w:rFonts w:ascii="Times New Roman" w:eastAsia="Times New Roman" w:hAnsi="Times New Roman" w:cs="Times New Roman"/>
          <w:sz w:val="20"/>
        </w:rPr>
        <w:t>с. Москва, 2005 [1];</w:t>
      </w:r>
    </w:p>
    <w:p w:rsidR="000415D0" w:rsidRDefault="008E2CEA">
      <w:pPr>
        <w:numPr>
          <w:ilvl w:val="0"/>
          <w:numId w:val="1"/>
        </w:numPr>
        <w:spacing w:after="4" w:line="257" w:lineRule="auto"/>
        <w:ind w:right="36" w:firstLine="330"/>
        <w:jc w:val="both"/>
      </w:pPr>
      <w:r>
        <w:rPr>
          <w:rFonts w:ascii="Times New Roman" w:eastAsia="Times New Roman" w:hAnsi="Times New Roman" w:cs="Times New Roman"/>
          <w:sz w:val="20"/>
        </w:rPr>
        <w:t>Growth Hormone Research Society: Consensusguidelines for the diagnosis and treatment of growth hormone (GH) defi ciency in childhood and adolescence: summary statement of the GH Research Society. GH Research Society. 2000 [2];</w:t>
      </w:r>
    </w:p>
    <w:p w:rsidR="000415D0" w:rsidRDefault="008E2CEA">
      <w:pPr>
        <w:numPr>
          <w:ilvl w:val="0"/>
          <w:numId w:val="1"/>
        </w:numPr>
        <w:spacing w:after="4" w:line="257" w:lineRule="auto"/>
        <w:ind w:right="36" w:firstLine="330"/>
        <w:jc w:val="both"/>
      </w:pPr>
      <w:r>
        <w:rPr>
          <w:rFonts w:ascii="Times New Roman" w:eastAsia="Times New Roman" w:hAnsi="Times New Roman" w:cs="Times New Roman"/>
          <w:sz w:val="20"/>
        </w:rPr>
        <w:t>Evaluati</w:t>
      </w:r>
      <w:r>
        <w:rPr>
          <w:rFonts w:ascii="Times New Roman" w:eastAsia="Times New Roman" w:hAnsi="Times New Roman" w:cs="Times New Roman"/>
          <w:sz w:val="20"/>
        </w:rPr>
        <w:t>on and treatment of adult growth hormonedefi ciency: an endocrine society clinical practice guideline. 2011 [3];</w:t>
      </w:r>
    </w:p>
    <w:p w:rsidR="000415D0" w:rsidRDefault="008E2CEA">
      <w:pPr>
        <w:numPr>
          <w:ilvl w:val="0"/>
          <w:numId w:val="1"/>
        </w:numPr>
        <w:spacing w:after="4" w:line="257" w:lineRule="auto"/>
        <w:ind w:right="36" w:firstLine="330"/>
        <w:jc w:val="both"/>
      </w:pPr>
      <w:r>
        <w:rPr>
          <w:rFonts w:ascii="Times New Roman" w:eastAsia="Times New Roman" w:hAnsi="Times New Roman" w:cs="Times New Roman"/>
          <w:sz w:val="20"/>
        </w:rPr>
        <w:t>Нагаева Е.В. Федеральные клинические рекомендации по диагностике и лечению гипопитуитаризма у детей и подростков. 2013 [4];</w:t>
      </w:r>
    </w:p>
    <w:p w:rsidR="000415D0" w:rsidRDefault="008E2CEA">
      <w:pPr>
        <w:numPr>
          <w:ilvl w:val="0"/>
          <w:numId w:val="1"/>
        </w:numPr>
        <w:spacing w:after="4" w:line="257" w:lineRule="auto"/>
        <w:ind w:right="36" w:firstLine="330"/>
        <w:jc w:val="both"/>
      </w:pPr>
      <w:r>
        <w:rPr>
          <w:rFonts w:ascii="Times New Roman" w:eastAsia="Times New Roman" w:hAnsi="Times New Roman" w:cs="Times New Roman"/>
          <w:sz w:val="20"/>
        </w:rPr>
        <w:t>Guidelines for grow</w:t>
      </w:r>
      <w:r>
        <w:rPr>
          <w:rFonts w:ascii="Times New Roman" w:eastAsia="Times New Roman" w:hAnsi="Times New Roman" w:cs="Times New Roman"/>
          <w:sz w:val="20"/>
        </w:rPr>
        <w:t>th hormone and Insulin-likegrowth factor-I treatment in children and adolescents: growth hormone defi ciency, idiopathic short stature, and primary insulin-like growth factor-I defi ciency. Horm Res Paediatr 2016;86:361–397.</w:t>
      </w:r>
    </w:p>
    <w:p w:rsidR="000415D0" w:rsidRDefault="008E2CEA">
      <w:pPr>
        <w:spacing w:after="4" w:line="257" w:lineRule="auto"/>
        <w:ind w:left="-15" w:right="36"/>
        <w:jc w:val="both"/>
      </w:pPr>
      <w:r>
        <w:rPr>
          <w:rFonts w:ascii="Times New Roman" w:eastAsia="Times New Roman" w:hAnsi="Times New Roman" w:cs="Times New Roman"/>
          <w:sz w:val="20"/>
        </w:rPr>
        <w:t>doi: https://doi.org/ 10.1159/000452150 [5].</w:t>
      </w:r>
    </w:p>
    <w:p w:rsidR="000415D0" w:rsidRDefault="008E2CEA">
      <w:pPr>
        <w:spacing w:after="353" w:line="257" w:lineRule="auto"/>
        <w:ind w:left="-15" w:right="36" w:firstLine="330"/>
        <w:jc w:val="both"/>
      </w:pPr>
      <w:r>
        <w:rPr>
          <w:rFonts w:ascii="Times New Roman" w:eastAsia="Times New Roman" w:hAnsi="Times New Roman" w:cs="Times New Roman"/>
          <w:sz w:val="20"/>
        </w:rPr>
        <w:t>В Российской Федерации по состоянию на декабрь 2018 г. зарегистрированы следующие препараты соматропина: Растан («Фармстандарт», Российская Федерация), Генотропин («Пфайзер», США), Нордитропин НордиЛет («Ново Но</w:t>
      </w:r>
      <w:r>
        <w:rPr>
          <w:rFonts w:ascii="Times New Roman" w:eastAsia="Times New Roman" w:hAnsi="Times New Roman" w:cs="Times New Roman"/>
          <w:sz w:val="20"/>
        </w:rPr>
        <w:t>рдиск», Дания), Хуматроп («Эли Лили», США), Сайзен («Мерк -Сероно», Италия), Омнитроп («Сандоз», Австрия). Все препараты имеют одинаковую ростстимулирующую активность и вводятся мультидозными шприц-ручками соответствующих фирм-производителей.</w:t>
      </w:r>
    </w:p>
    <w:p w:rsidR="000415D0" w:rsidRDefault="008E2CEA">
      <w:pPr>
        <w:pStyle w:val="Heading1"/>
        <w:ind w:left="335"/>
      </w:pPr>
      <w:r>
        <w:t>Классификация</w:t>
      </w:r>
    </w:p>
    <w:p w:rsidR="000415D0" w:rsidRDefault="008E2CEA">
      <w:pPr>
        <w:spacing w:after="353" w:line="257" w:lineRule="auto"/>
        <w:ind w:left="-15" w:right="36" w:firstLine="330"/>
        <w:jc w:val="both"/>
      </w:pPr>
      <w:r>
        <w:rPr>
          <w:rFonts w:ascii="Times New Roman" w:eastAsia="Times New Roman" w:hAnsi="Times New Roman" w:cs="Times New Roman"/>
          <w:sz w:val="20"/>
        </w:rPr>
        <w:t xml:space="preserve">Различают тотальный и парциальный дефицит соматотропного гормона (СТГ); изолированный или сочетанный с дефицитом других тропных гормонов (множественный дефицит гормонов аденогипофиза); врожденный и приобретенный; идиопатический и органический. Врожденный </w:t>
      </w:r>
      <w:r>
        <w:rPr>
          <w:rFonts w:ascii="Times New Roman" w:eastAsia="Times New Roman" w:hAnsi="Times New Roman" w:cs="Times New Roman"/>
          <w:sz w:val="20"/>
        </w:rPr>
        <w:t>гипопитуитаризм (ГП) может быть следствием патологии генов, ассоциированных с формированием гипоталамогипофизарной оси, развитием передней доли гипофиза, генов, регулирующих синтез и секрецию СТГ; может быть составной частью синдромов дефекта срединных стр</w:t>
      </w:r>
      <w:r>
        <w:rPr>
          <w:rFonts w:ascii="Times New Roman" w:eastAsia="Times New Roman" w:hAnsi="Times New Roman" w:cs="Times New Roman"/>
          <w:sz w:val="20"/>
        </w:rPr>
        <w:t>уктур головного мозга. Причиной приобретенного ГП являются опухоли центральной нервной системы, из них наиболее частая — краниофарингиома; облучение головы и шеи по поводу злокачественных опухолей; химиотерапия; инфекционные заболевания головного мозга (эн</w:t>
      </w:r>
      <w:r>
        <w:rPr>
          <w:rFonts w:ascii="Times New Roman" w:eastAsia="Times New Roman" w:hAnsi="Times New Roman" w:cs="Times New Roman"/>
          <w:sz w:val="20"/>
        </w:rPr>
        <w:t>цефалит, менингит); токсоплазмоз; сосудистая патология (аневризмы сосудов в гипоталамо-гипофизарной области) и др. [6].</w:t>
      </w:r>
    </w:p>
    <w:p w:rsidR="000415D0" w:rsidRDefault="008E2CEA">
      <w:pPr>
        <w:pStyle w:val="Heading1"/>
        <w:ind w:left="335"/>
      </w:pPr>
      <w:r>
        <w:t>Диагностика гипопитуитаризма</w:t>
      </w:r>
    </w:p>
    <w:p w:rsidR="000415D0" w:rsidRDefault="008E2CEA">
      <w:pPr>
        <w:spacing w:after="4" w:line="257" w:lineRule="auto"/>
        <w:ind w:left="-15" w:right="36" w:firstLine="330"/>
        <w:jc w:val="both"/>
      </w:pPr>
      <w:r>
        <w:rPr>
          <w:rFonts w:ascii="Times New Roman" w:eastAsia="Times New Roman" w:hAnsi="Times New Roman" w:cs="Times New Roman"/>
          <w:sz w:val="20"/>
        </w:rPr>
        <w:t>Перед проведением специализированного эндокринологического обследования низкорослого ребенка должны быть ис</w:t>
      </w:r>
      <w:r>
        <w:rPr>
          <w:rFonts w:ascii="Times New Roman" w:eastAsia="Times New Roman" w:hAnsi="Times New Roman" w:cs="Times New Roman"/>
          <w:sz w:val="20"/>
        </w:rPr>
        <w:t>ключены все другие причины низкорослости [1, 2, 4–6]:</w:t>
      </w:r>
    </w:p>
    <w:p w:rsidR="000415D0" w:rsidRDefault="008E2CEA">
      <w:pPr>
        <w:spacing w:after="4" w:line="257" w:lineRule="auto"/>
        <w:ind w:left="-15" w:right="36" w:firstLine="330"/>
        <w:jc w:val="both"/>
      </w:pPr>
      <w:r>
        <w:rPr>
          <w:rFonts w:ascii="Times New Roman" w:eastAsia="Times New Roman" w:hAnsi="Times New Roman" w:cs="Times New Roman"/>
          <w:sz w:val="20"/>
        </w:rPr>
        <w:t>— тяжелые соматические заболевания в состоянии декомпенсации, способные оказывать влияние на темпы роста: целиакия; заболевания кишечника, приводящие к нарушению всасывания; заболевания сердца, печени и</w:t>
      </w:r>
      <w:r>
        <w:rPr>
          <w:rFonts w:ascii="Times New Roman" w:eastAsia="Times New Roman" w:hAnsi="Times New Roman" w:cs="Times New Roman"/>
          <w:sz w:val="20"/>
        </w:rPr>
        <w:t xml:space="preserve"> почек, вызвавшие их недостаточность; анемия и др.;</w:t>
      </w:r>
    </w:p>
    <w:p w:rsidR="000415D0" w:rsidRDefault="008E2CEA">
      <w:pPr>
        <w:spacing w:after="4" w:line="257" w:lineRule="auto"/>
        <w:ind w:left="340" w:right="36"/>
        <w:jc w:val="both"/>
      </w:pPr>
      <w:r>
        <w:rPr>
          <w:rFonts w:ascii="Times New Roman" w:eastAsia="Times New Roman" w:hAnsi="Times New Roman" w:cs="Times New Roman"/>
          <w:sz w:val="20"/>
        </w:rPr>
        <w:t>— врожденные системные заболевания скелета;</w:t>
      </w:r>
    </w:p>
    <w:p w:rsidR="000415D0" w:rsidRDefault="008E2CEA">
      <w:pPr>
        <w:spacing w:after="4" w:line="257" w:lineRule="auto"/>
        <w:ind w:left="-15" w:right="36" w:firstLine="330"/>
        <w:jc w:val="both"/>
      </w:pPr>
      <w:r>
        <w:rPr>
          <w:rFonts w:ascii="Times New Roman" w:eastAsia="Times New Roman" w:hAnsi="Times New Roman" w:cs="Times New Roman"/>
          <w:sz w:val="20"/>
        </w:rPr>
        <w:t>— синдромальная низкорослость; у всех девочек с задержкой роста требуется обязательное исследование кариотипа вне зависимости от наличия или отсутствия фенотипи</w:t>
      </w:r>
      <w:r>
        <w:rPr>
          <w:rFonts w:ascii="Times New Roman" w:eastAsia="Times New Roman" w:hAnsi="Times New Roman" w:cs="Times New Roman"/>
          <w:sz w:val="20"/>
        </w:rPr>
        <w:t>ческих признаков синдрома Шерешевского–Тернера;</w:t>
      </w:r>
    </w:p>
    <w:p w:rsidR="000415D0" w:rsidRDefault="008E2CEA">
      <w:pPr>
        <w:spacing w:after="174" w:line="257" w:lineRule="auto"/>
        <w:ind w:left="-15" w:right="36" w:firstLine="330"/>
        <w:jc w:val="both"/>
      </w:pPr>
      <w:r>
        <w:rPr>
          <w:rFonts w:ascii="Times New Roman" w:eastAsia="Times New Roman" w:hAnsi="Times New Roman" w:cs="Times New Roman"/>
          <w:sz w:val="20"/>
        </w:rPr>
        <w:t>— эндокринные заболевания в состоянии декомпенсации: первичный гипотиреоз, гиперкортицизм, сахарный диабет.</w:t>
      </w:r>
    </w:p>
    <w:p w:rsidR="000415D0" w:rsidRDefault="008E2CEA">
      <w:pPr>
        <w:pStyle w:val="Heading2"/>
        <w:ind w:left="335" w:right="359"/>
      </w:pPr>
      <w:r>
        <w:t>Антропометрия</w:t>
      </w:r>
    </w:p>
    <w:p w:rsidR="000415D0" w:rsidRDefault="008E2CEA">
      <w:pPr>
        <w:spacing w:after="2" w:line="254" w:lineRule="auto"/>
        <w:ind w:left="335" w:hanging="10"/>
      </w:pPr>
      <w:r>
        <w:rPr>
          <w:rFonts w:ascii="Times New Roman" w:eastAsia="Times New Roman" w:hAnsi="Times New Roman" w:cs="Times New Roman"/>
          <w:i/>
          <w:sz w:val="20"/>
        </w:rPr>
        <w:t>Выраженная низкорослость</w:t>
      </w:r>
    </w:p>
    <w:p w:rsidR="000415D0" w:rsidRDefault="008E2CEA">
      <w:pPr>
        <w:spacing w:after="4" w:line="257" w:lineRule="auto"/>
        <w:ind w:left="-15" w:right="36" w:firstLine="330"/>
        <w:jc w:val="both"/>
      </w:pPr>
      <w:r>
        <w:rPr>
          <w:rFonts w:ascii="Times New Roman" w:eastAsia="Times New Roman" w:hAnsi="Times New Roman" w:cs="Times New Roman"/>
          <w:sz w:val="20"/>
        </w:rPr>
        <w:t>— Дефицит роста: рост &lt;–2.0 SDS (по критериям ВОЗ или програм</w:t>
      </w:r>
      <w:r>
        <w:rPr>
          <w:rFonts w:ascii="Times New Roman" w:eastAsia="Times New Roman" w:hAnsi="Times New Roman" w:cs="Times New Roman"/>
          <w:sz w:val="20"/>
        </w:rPr>
        <w:t>ме Auxology [референсные данные: UK Tanner Whitehouse], ссылка для скачивания программ находится по адресу: https://cloud.mail.ru/ public/HmJf/W8zNABGps) для соответствующего хронологического возраста и пола при наличии пропорционального телосложения.</w:t>
      </w:r>
    </w:p>
    <w:p w:rsidR="000415D0" w:rsidRDefault="008E2CEA">
      <w:pPr>
        <w:spacing w:after="4" w:line="257" w:lineRule="auto"/>
        <w:ind w:left="-15" w:right="36" w:firstLine="330"/>
        <w:jc w:val="both"/>
      </w:pPr>
      <w:r>
        <w:rPr>
          <w:noProof/>
        </w:rPr>
        <mc:AlternateContent>
          <mc:Choice Requires="wpg">
            <w:drawing>
              <wp:anchor distT="0" distB="0" distL="114300" distR="114300" simplePos="0" relativeHeight="251660288" behindDoc="0" locked="0" layoutInCell="1" allowOverlap="1">
                <wp:simplePos x="0" y="0"/>
                <wp:positionH relativeFrom="page">
                  <wp:posOffset>478504</wp:posOffset>
                </wp:positionH>
                <wp:positionV relativeFrom="page">
                  <wp:posOffset>9641522</wp:posOffset>
                </wp:positionV>
                <wp:extent cx="6120003" cy="6350"/>
                <wp:effectExtent l="0" t="0" r="0" b="0"/>
                <wp:wrapTopAndBottom/>
                <wp:docPr id="17078" name="Group 17078"/>
                <wp:cNvGraphicFramePr/>
                <a:graphic xmlns:a="http://schemas.openxmlformats.org/drawingml/2006/main">
                  <a:graphicData uri="http://schemas.microsoft.com/office/word/2010/wordprocessingGroup">
                    <wpg:wgp>
                      <wpg:cNvGrpSpPr/>
                      <wpg:grpSpPr>
                        <a:xfrm>
                          <a:off x="0" y="0"/>
                          <a:ext cx="6120003" cy="6350"/>
                          <a:chOff x="0" y="0"/>
                          <a:chExt cx="6120003" cy="6350"/>
                        </a:xfrm>
                      </wpg:grpSpPr>
                      <wps:wsp>
                        <wps:cNvPr id="298" name="Shape 298"/>
                        <wps:cNvSpPr/>
                        <wps:spPr>
                          <a:xfrm>
                            <a:off x="0" y="0"/>
                            <a:ext cx="6120003" cy="0"/>
                          </a:xfrm>
                          <a:custGeom>
                            <a:avLst/>
                            <a:gdLst/>
                            <a:ahLst/>
                            <a:cxnLst/>
                            <a:rect l="0" t="0" r="0" b="0"/>
                            <a:pathLst>
                              <a:path w="6120003">
                                <a:moveTo>
                                  <a:pt x="0" y="0"/>
                                </a:moveTo>
                                <a:lnTo>
                                  <a:pt x="6120003"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7078" style="width:481.89pt;height:0.5pt;position:absolute;mso-position-horizontal-relative:page;mso-position-horizontal:absolute;margin-left:37.6775pt;mso-position-vertical-relative:page;margin-top:759.175pt;" coordsize="61200,63">
                <v:shape id="Shape 298" style="position:absolute;width:61200;height:0;left:0;top:0;" coordsize="6120003,0" path="m0,0l6120003,0">
                  <v:stroke weight="0.5pt" endcap="flat" joinstyle="miter" miterlimit="4" on="true" color="#000000"/>
                  <v:fill on="false" color="#000000" opacity="0"/>
                </v:shape>
                <w10:wrap type="topAndBottom"/>
              </v:group>
            </w:pict>
          </mc:Fallback>
        </mc:AlternateContent>
      </w:r>
      <w:r>
        <w:rPr>
          <w:rFonts w:ascii="Times New Roman" w:eastAsia="Times New Roman" w:hAnsi="Times New Roman" w:cs="Times New Roman"/>
          <w:sz w:val="20"/>
        </w:rPr>
        <w:t>— Р</w:t>
      </w:r>
      <w:r>
        <w:rPr>
          <w:rFonts w:ascii="Times New Roman" w:eastAsia="Times New Roman" w:hAnsi="Times New Roman" w:cs="Times New Roman"/>
          <w:sz w:val="20"/>
        </w:rPr>
        <w:t>азница между SDS роста ребенка и SDS его среднеродительского роста превышает 1.5 SDS.</w:t>
      </w:r>
    </w:p>
    <w:p w:rsidR="000415D0" w:rsidRDefault="008E2CEA">
      <w:pPr>
        <w:spacing w:after="98" w:line="260" w:lineRule="auto"/>
        <w:ind w:left="-15" w:right="398" w:firstLine="340"/>
        <w:jc w:val="both"/>
      </w:pPr>
      <w:r>
        <w:rPr>
          <w:rFonts w:ascii="Times New Roman" w:eastAsia="Times New Roman" w:hAnsi="Times New Roman" w:cs="Times New Roman"/>
          <w:i/>
          <w:sz w:val="16"/>
        </w:rPr>
        <w:t>Примечание</w:t>
      </w:r>
      <w:r>
        <w:rPr>
          <w:rFonts w:ascii="Times New Roman" w:eastAsia="Times New Roman" w:hAnsi="Times New Roman" w:cs="Times New Roman"/>
          <w:sz w:val="16"/>
        </w:rPr>
        <w:t>. У детей с приобретенными формами ГП и СТГинду цированными гипогликемиями задержка роста (рост &lt; –2 SD) может отсутствовать</w:t>
      </w:r>
      <w:r>
        <w:rPr>
          <w:rFonts w:ascii="Times New Roman" w:eastAsia="Times New Roman" w:hAnsi="Times New Roman" w:cs="Times New Roman"/>
          <w:i/>
          <w:sz w:val="16"/>
        </w:rPr>
        <w:t>.</w:t>
      </w:r>
    </w:p>
    <w:p w:rsidR="000415D0" w:rsidRDefault="008E2CEA">
      <w:pPr>
        <w:spacing w:after="2" w:line="254" w:lineRule="auto"/>
        <w:ind w:left="335" w:right="2329" w:hanging="10"/>
      </w:pPr>
      <w:r>
        <w:rPr>
          <w:rFonts w:ascii="Times New Roman" w:eastAsia="Times New Roman" w:hAnsi="Times New Roman" w:cs="Times New Roman"/>
          <w:i/>
          <w:sz w:val="20"/>
        </w:rPr>
        <w:t xml:space="preserve">Низкая скорость роста </w:t>
      </w:r>
      <w:r>
        <w:rPr>
          <w:rFonts w:ascii="Times New Roman" w:eastAsia="Times New Roman" w:hAnsi="Times New Roman" w:cs="Times New Roman"/>
          <w:sz w:val="20"/>
        </w:rPr>
        <w:t>При SDS роста &lt;–2:</w:t>
      </w:r>
    </w:p>
    <w:p w:rsidR="000415D0" w:rsidRDefault="008E2CEA">
      <w:pPr>
        <w:spacing w:after="4" w:line="257" w:lineRule="auto"/>
        <w:ind w:left="-15" w:right="399" w:firstLine="330"/>
        <w:jc w:val="both"/>
      </w:pPr>
      <w:r>
        <w:rPr>
          <w:rFonts w:ascii="Times New Roman" w:eastAsia="Times New Roman" w:hAnsi="Times New Roman" w:cs="Times New Roman"/>
          <w:sz w:val="20"/>
        </w:rPr>
        <w:t>— SDS скорости роста &lt;–1,0 от популяционной средней для соответствующего хронологического возраста и пола;</w:t>
      </w:r>
    </w:p>
    <w:p w:rsidR="000415D0" w:rsidRDefault="008E2CEA">
      <w:pPr>
        <w:spacing w:after="4" w:line="257" w:lineRule="auto"/>
        <w:ind w:left="-15" w:right="114" w:firstLine="330"/>
        <w:jc w:val="both"/>
      </w:pPr>
      <w:r>
        <w:rPr>
          <w:rFonts w:ascii="Times New Roman" w:eastAsia="Times New Roman" w:hAnsi="Times New Roman" w:cs="Times New Roman"/>
          <w:sz w:val="20"/>
        </w:rPr>
        <w:t>— ИЛИ снижение SDS роста в течение 1 года более чем на 0,5.</w:t>
      </w:r>
    </w:p>
    <w:p w:rsidR="000415D0" w:rsidRDefault="008E2CEA">
      <w:pPr>
        <w:spacing w:after="4" w:line="257" w:lineRule="auto"/>
        <w:ind w:left="340" w:right="36"/>
        <w:jc w:val="both"/>
      </w:pPr>
      <w:r>
        <w:rPr>
          <w:rFonts w:ascii="Times New Roman" w:eastAsia="Times New Roman" w:hAnsi="Times New Roman" w:cs="Times New Roman"/>
          <w:sz w:val="20"/>
        </w:rPr>
        <w:t>При отсутствии низкорослости (SDS роста &gt;–2):</w:t>
      </w:r>
    </w:p>
    <w:p w:rsidR="000415D0" w:rsidRDefault="008E2CEA">
      <w:pPr>
        <w:spacing w:after="4" w:line="257" w:lineRule="auto"/>
        <w:ind w:left="-15" w:right="399" w:firstLine="330"/>
        <w:jc w:val="both"/>
      </w:pPr>
      <w:r>
        <w:rPr>
          <w:rFonts w:ascii="Times New Roman" w:eastAsia="Times New Roman" w:hAnsi="Times New Roman" w:cs="Times New Roman"/>
          <w:sz w:val="20"/>
        </w:rPr>
        <w:t>— скорость роста за 1 го</w:t>
      </w:r>
      <w:r>
        <w:rPr>
          <w:rFonts w:ascii="Times New Roman" w:eastAsia="Times New Roman" w:hAnsi="Times New Roman" w:cs="Times New Roman"/>
          <w:sz w:val="20"/>
        </w:rPr>
        <w:t>д &lt;–2 SDS от популяционной средней для соответствующего хронологического возраста и пола;</w:t>
      </w:r>
    </w:p>
    <w:p w:rsidR="000415D0" w:rsidRDefault="008E2CEA">
      <w:pPr>
        <w:spacing w:after="5" w:line="249" w:lineRule="auto"/>
        <w:ind w:left="-15" w:right="219" w:firstLine="330"/>
      </w:pPr>
      <w:r>
        <w:rPr>
          <w:rFonts w:ascii="Times New Roman" w:eastAsia="Times New Roman" w:hAnsi="Times New Roman" w:cs="Times New Roman"/>
          <w:sz w:val="20"/>
        </w:rPr>
        <w:t>— ИЛИ скорость роста за 2 года &lt;–1,5 SD от популяционной средней для соответствующего хронологического возраста и пола.</w:t>
      </w:r>
    </w:p>
    <w:p w:rsidR="000415D0" w:rsidRDefault="008E2CEA">
      <w:pPr>
        <w:spacing w:after="267" w:line="260" w:lineRule="auto"/>
        <w:ind w:left="-15" w:right="397" w:firstLine="340"/>
        <w:jc w:val="both"/>
      </w:pPr>
      <w:r>
        <w:rPr>
          <w:rFonts w:ascii="Times New Roman" w:eastAsia="Times New Roman" w:hAnsi="Times New Roman" w:cs="Times New Roman"/>
          <w:i/>
          <w:sz w:val="16"/>
        </w:rPr>
        <w:t>Примечание.</w:t>
      </w:r>
      <w:r>
        <w:rPr>
          <w:rFonts w:ascii="Times New Roman" w:eastAsia="Times New Roman" w:hAnsi="Times New Roman" w:cs="Times New Roman"/>
          <w:sz w:val="16"/>
        </w:rPr>
        <w:t xml:space="preserve"> При выявлении выраженного замедлен</w:t>
      </w:r>
      <w:r>
        <w:rPr>
          <w:rFonts w:ascii="Times New Roman" w:eastAsia="Times New Roman" w:hAnsi="Times New Roman" w:cs="Times New Roman"/>
          <w:sz w:val="16"/>
        </w:rPr>
        <w:t>ия темпов роста, первостепенное значение имеет МРТ головного мозга, которая проводится перед проведением СТГ-стимулирующих проб.</w:t>
      </w:r>
    </w:p>
    <w:p w:rsidR="000415D0" w:rsidRDefault="008E2CEA">
      <w:pPr>
        <w:pStyle w:val="Heading2"/>
        <w:ind w:left="335" w:right="359"/>
      </w:pPr>
      <w:r>
        <w:t>Костный возраст</w:t>
      </w:r>
    </w:p>
    <w:p w:rsidR="000415D0" w:rsidRDefault="008E2CEA">
      <w:pPr>
        <w:spacing w:after="276" w:line="257" w:lineRule="auto"/>
        <w:ind w:left="-15" w:right="158" w:firstLine="330"/>
        <w:jc w:val="both"/>
      </w:pPr>
      <w:r>
        <w:rPr>
          <w:rFonts w:ascii="Times New Roman" w:eastAsia="Times New Roman" w:hAnsi="Times New Roman" w:cs="Times New Roman"/>
          <w:sz w:val="20"/>
        </w:rPr>
        <w:t>Задержка костного созревания на 2 года и более от хронологического.</w:t>
      </w:r>
    </w:p>
    <w:p w:rsidR="000415D0" w:rsidRDefault="008E2CEA">
      <w:pPr>
        <w:pStyle w:val="Heading2"/>
        <w:ind w:left="335" w:right="359"/>
      </w:pPr>
      <w:r>
        <w:t>Магнитно-резонансная томография головного мозга</w:t>
      </w:r>
    </w:p>
    <w:p w:rsidR="000415D0" w:rsidRDefault="008E2CEA">
      <w:pPr>
        <w:spacing w:after="220" w:line="257" w:lineRule="auto"/>
        <w:ind w:left="-15" w:right="400" w:firstLine="330"/>
        <w:jc w:val="both"/>
      </w:pPr>
      <w:r>
        <w:rPr>
          <w:rFonts w:ascii="Times New Roman" w:eastAsia="Times New Roman" w:hAnsi="Times New Roman" w:cs="Times New Roman"/>
          <w:sz w:val="20"/>
        </w:rPr>
        <w:t>Проводится до СТГ-стимуляционных проб при подозрении на объемный процесс головного мозга, в остальных случаях — после гормональной верификации соматотропной недостаточности.</w:t>
      </w:r>
    </w:p>
    <w:p w:rsidR="000415D0" w:rsidRDefault="008E2CEA">
      <w:pPr>
        <w:pStyle w:val="Heading2"/>
        <w:ind w:left="335" w:right="359"/>
      </w:pPr>
      <w:r>
        <w:t>Диагностика недостаточностей гормо</w:t>
      </w:r>
      <w:r>
        <w:t>нов гипофиза</w:t>
      </w:r>
    </w:p>
    <w:p w:rsidR="000415D0" w:rsidRDefault="008E2CEA">
      <w:pPr>
        <w:spacing w:after="4" w:line="257" w:lineRule="auto"/>
        <w:ind w:left="-15" w:right="400" w:firstLine="330"/>
        <w:jc w:val="both"/>
      </w:pPr>
      <w:r>
        <w:rPr>
          <w:rFonts w:ascii="Times New Roman" w:eastAsia="Times New Roman" w:hAnsi="Times New Roman" w:cs="Times New Roman"/>
          <w:b/>
          <w:sz w:val="20"/>
        </w:rPr>
        <w:t xml:space="preserve">Вторичный гипотиреоз. </w:t>
      </w:r>
      <w:r>
        <w:rPr>
          <w:rFonts w:ascii="Times New Roman" w:eastAsia="Times New Roman" w:hAnsi="Times New Roman" w:cs="Times New Roman"/>
          <w:sz w:val="20"/>
        </w:rPr>
        <w:t>Подтверждает диагноз вторичного гипотиреоза сниженный свободный Т4, зафиксированный как минимум в двух образцах крови на фоне нормального, сниженного или умеренно повышенного ТТГ.</w:t>
      </w:r>
    </w:p>
    <w:p w:rsidR="000415D0" w:rsidRDefault="008E2CEA">
      <w:pPr>
        <w:spacing w:after="4" w:line="257" w:lineRule="auto"/>
        <w:ind w:left="-15" w:right="36" w:firstLine="330"/>
        <w:jc w:val="both"/>
      </w:pPr>
      <w:r>
        <w:rPr>
          <w:rFonts w:ascii="Times New Roman" w:eastAsia="Times New Roman" w:hAnsi="Times New Roman" w:cs="Times New Roman"/>
          <w:b/>
          <w:sz w:val="20"/>
        </w:rPr>
        <w:t>Вторичный гипокортицизм.</w:t>
      </w:r>
      <w:r>
        <w:rPr>
          <w:rFonts w:ascii="Times New Roman" w:eastAsia="Times New Roman" w:hAnsi="Times New Roman" w:cs="Times New Roman"/>
          <w:sz w:val="20"/>
        </w:rPr>
        <w:t xml:space="preserve"> Наличие вторичного гипокортицизма подтверждает:</w:t>
      </w:r>
    </w:p>
    <w:p w:rsidR="000415D0" w:rsidRDefault="008E2CEA">
      <w:pPr>
        <w:spacing w:after="4" w:line="257" w:lineRule="auto"/>
        <w:ind w:left="-15" w:right="395" w:firstLine="330"/>
        <w:jc w:val="both"/>
      </w:pPr>
      <w:r>
        <w:rPr>
          <w:rFonts w:ascii="Times New Roman" w:eastAsia="Times New Roman" w:hAnsi="Times New Roman" w:cs="Times New Roman"/>
          <w:sz w:val="20"/>
        </w:rPr>
        <w:t>— низкий уровень базального кортизола (ниже нижней границы нормы для соответствующего возраста) в нескольких образцах крови, взятых в ранние утренние часы на фоне сниженного или нормального АКТГ.</w:t>
      </w:r>
    </w:p>
    <w:p w:rsidR="000415D0" w:rsidRDefault="008E2CEA">
      <w:pPr>
        <w:spacing w:after="155" w:line="260" w:lineRule="auto"/>
        <w:ind w:left="-15" w:right="398" w:firstLine="340"/>
        <w:jc w:val="both"/>
      </w:pPr>
      <w:r>
        <w:rPr>
          <w:rFonts w:ascii="Times New Roman" w:eastAsia="Times New Roman" w:hAnsi="Times New Roman" w:cs="Times New Roman"/>
          <w:i/>
          <w:sz w:val="16"/>
        </w:rPr>
        <w:t>Примечание.</w:t>
      </w:r>
      <w:r>
        <w:rPr>
          <w:rFonts w:ascii="Times New Roman" w:eastAsia="Times New Roman" w:hAnsi="Times New Roman" w:cs="Times New Roman"/>
          <w:i/>
          <w:sz w:val="16"/>
        </w:rPr>
        <w:t xml:space="preserve"> </w:t>
      </w:r>
      <w:r>
        <w:rPr>
          <w:rFonts w:ascii="Times New Roman" w:eastAsia="Times New Roman" w:hAnsi="Times New Roman" w:cs="Times New Roman"/>
          <w:sz w:val="16"/>
        </w:rPr>
        <w:t>Кортизол определяется в 2–3 образцах крови, забор крови производится рано утром: в 6.00–8.00. При значении кортизола крови &lt;250 нмоль/л гипокортицизм вероятен, при &gt;500 нмоль/л гипокортицизм исключается.</w:t>
      </w:r>
    </w:p>
    <w:p w:rsidR="000415D0" w:rsidRDefault="008E2CEA">
      <w:pPr>
        <w:spacing w:after="4" w:line="257" w:lineRule="auto"/>
        <w:ind w:left="-15" w:right="36" w:firstLine="330"/>
        <w:jc w:val="both"/>
      </w:pPr>
      <w:r>
        <w:rPr>
          <w:rFonts w:ascii="Times New Roman" w:eastAsia="Times New Roman" w:hAnsi="Times New Roman" w:cs="Times New Roman"/>
          <w:sz w:val="20"/>
        </w:rPr>
        <w:t xml:space="preserve">— </w:t>
      </w:r>
      <w:r>
        <w:rPr>
          <w:rFonts w:ascii="Times New Roman" w:eastAsia="Times New Roman" w:hAnsi="Times New Roman" w:cs="Times New Roman"/>
          <w:b/>
          <w:sz w:val="20"/>
        </w:rPr>
        <w:t>или</w:t>
      </w:r>
      <w:r>
        <w:rPr>
          <w:rFonts w:ascii="Times New Roman" w:eastAsia="Times New Roman" w:hAnsi="Times New Roman" w:cs="Times New Roman"/>
          <w:sz w:val="20"/>
        </w:rPr>
        <w:t xml:space="preserve"> низкий стимулированный уровень кортизола на ф</w:t>
      </w:r>
      <w:r>
        <w:rPr>
          <w:rFonts w:ascii="Times New Roman" w:eastAsia="Times New Roman" w:hAnsi="Times New Roman" w:cs="Times New Roman"/>
          <w:sz w:val="20"/>
        </w:rPr>
        <w:t xml:space="preserve">оне пробы с инсулином </w:t>
      </w:r>
      <w:r>
        <w:rPr>
          <w:rFonts w:ascii="Times New Roman" w:eastAsia="Times New Roman" w:hAnsi="Times New Roman" w:cs="Times New Roman"/>
          <w:b/>
          <w:sz w:val="20"/>
        </w:rPr>
        <w:t>(табл. 1)</w:t>
      </w:r>
      <w:r>
        <w:rPr>
          <w:rFonts w:ascii="Times New Roman" w:eastAsia="Times New Roman" w:hAnsi="Times New Roman" w:cs="Times New Roman"/>
          <w:sz w:val="20"/>
        </w:rPr>
        <w:t>.</w:t>
      </w:r>
    </w:p>
    <w:p w:rsidR="000415D0" w:rsidRDefault="008E2CEA">
      <w:pPr>
        <w:spacing w:after="4" w:line="257" w:lineRule="auto"/>
        <w:ind w:left="-15" w:right="36" w:firstLine="330"/>
        <w:jc w:val="both"/>
      </w:pPr>
      <w:r>
        <w:rPr>
          <w:rFonts w:ascii="Times New Roman" w:eastAsia="Times New Roman" w:hAnsi="Times New Roman" w:cs="Times New Roman"/>
          <w:b/>
          <w:sz w:val="20"/>
        </w:rPr>
        <w:t xml:space="preserve">Вторичный гипогонадизм. </w:t>
      </w:r>
      <w:r>
        <w:rPr>
          <w:rFonts w:ascii="Times New Roman" w:eastAsia="Times New Roman" w:hAnsi="Times New Roman" w:cs="Times New Roman"/>
          <w:sz w:val="20"/>
        </w:rPr>
        <w:t>Наличие вторичного гипогонадизма подтверждают:</w:t>
      </w:r>
    </w:p>
    <w:tbl>
      <w:tblPr>
        <w:tblStyle w:val="TableGrid"/>
        <w:tblpPr w:vertAnchor="text" w:horzAnchor="margin" w:tblpX="397"/>
        <w:tblOverlap w:val="never"/>
        <w:tblW w:w="9638" w:type="dxa"/>
        <w:tblInd w:w="0" w:type="dxa"/>
        <w:tblCellMar>
          <w:top w:w="42" w:type="dxa"/>
          <w:left w:w="0" w:type="dxa"/>
          <w:bottom w:w="28" w:type="dxa"/>
          <w:right w:w="75" w:type="dxa"/>
        </w:tblCellMar>
        <w:tblLook w:val="04A0" w:firstRow="1" w:lastRow="0" w:firstColumn="1" w:lastColumn="0" w:noHBand="0" w:noVBand="1"/>
      </w:tblPr>
      <w:tblGrid>
        <w:gridCol w:w="1643"/>
        <w:gridCol w:w="6010"/>
        <w:gridCol w:w="1985"/>
      </w:tblGrid>
      <w:tr w:rsidR="000415D0">
        <w:trPr>
          <w:trHeight w:val="283"/>
        </w:trPr>
        <w:tc>
          <w:tcPr>
            <w:tcW w:w="7653" w:type="dxa"/>
            <w:gridSpan w:val="2"/>
            <w:tcBorders>
              <w:top w:val="nil"/>
              <w:left w:val="nil"/>
              <w:bottom w:val="nil"/>
              <w:right w:val="nil"/>
            </w:tcBorders>
            <w:shd w:val="clear" w:color="auto" w:fill="D0D0D0"/>
          </w:tcPr>
          <w:p w:rsidR="000415D0" w:rsidRDefault="008E2CEA">
            <w:pPr>
              <w:spacing w:after="0"/>
              <w:ind w:left="113"/>
            </w:pPr>
            <w:r>
              <w:rPr>
                <w:rFonts w:ascii="Times New Roman" w:eastAsia="Times New Roman" w:hAnsi="Times New Roman" w:cs="Times New Roman"/>
                <w:b/>
                <w:i/>
                <w:sz w:val="18"/>
              </w:rPr>
              <w:t xml:space="preserve">DOI: </w:t>
            </w:r>
            <w:r>
              <w:rPr>
                <w:rFonts w:ascii="Times New Roman" w:eastAsia="Times New Roman" w:hAnsi="Times New Roman" w:cs="Times New Roman"/>
                <w:i/>
                <w:sz w:val="18"/>
              </w:rPr>
              <w:t>https://doi.org/10.14341/probl</w:t>
            </w:r>
            <w:r>
              <w:rPr>
                <w:i/>
                <w:sz w:val="18"/>
              </w:rPr>
              <w:t>1</w:t>
            </w:r>
            <w:r>
              <w:rPr>
                <w:rFonts w:ascii="Times New Roman" w:eastAsia="Times New Roman" w:hAnsi="Times New Roman" w:cs="Times New Roman"/>
                <w:i/>
                <w:sz w:val="18"/>
              </w:rPr>
              <w:t>0091</w:t>
            </w:r>
          </w:p>
        </w:tc>
        <w:tc>
          <w:tcPr>
            <w:tcW w:w="1985" w:type="dxa"/>
            <w:tcBorders>
              <w:top w:val="nil"/>
              <w:left w:val="nil"/>
              <w:bottom w:val="nil"/>
              <w:right w:val="nil"/>
            </w:tcBorders>
            <w:shd w:val="clear" w:color="auto" w:fill="D0D0D0"/>
          </w:tcPr>
          <w:p w:rsidR="000415D0" w:rsidRDefault="008E2CEA">
            <w:pPr>
              <w:spacing w:after="0"/>
              <w:ind w:right="38"/>
              <w:jc w:val="right"/>
            </w:pPr>
            <w:r>
              <w:rPr>
                <w:rFonts w:ascii="Times New Roman" w:eastAsia="Times New Roman" w:hAnsi="Times New Roman" w:cs="Times New Roman"/>
                <w:i/>
                <w:sz w:val="18"/>
              </w:rPr>
              <w:t>CONSENSUS</w:t>
            </w:r>
          </w:p>
        </w:tc>
      </w:tr>
      <w:tr w:rsidR="000415D0">
        <w:trPr>
          <w:trHeight w:val="868"/>
        </w:trPr>
        <w:tc>
          <w:tcPr>
            <w:tcW w:w="7653" w:type="dxa"/>
            <w:gridSpan w:val="2"/>
            <w:tcBorders>
              <w:top w:val="nil"/>
              <w:left w:val="nil"/>
              <w:bottom w:val="single" w:sz="16" w:space="0" w:color="000000"/>
              <w:right w:val="nil"/>
            </w:tcBorders>
            <w:vAlign w:val="bottom"/>
          </w:tcPr>
          <w:p w:rsidR="000415D0" w:rsidRDefault="008E2CEA">
            <w:pPr>
              <w:spacing w:after="0"/>
            </w:pPr>
            <w:r>
              <w:rPr>
                <w:rFonts w:ascii="Times New Roman" w:eastAsia="Times New Roman" w:hAnsi="Times New Roman" w:cs="Times New Roman"/>
                <w:b/>
                <w:i/>
                <w:sz w:val="16"/>
              </w:rPr>
              <w:t>Таблица 1</w:t>
            </w:r>
            <w:r>
              <w:rPr>
                <w:b/>
                <w:sz w:val="16"/>
              </w:rPr>
              <w:t>. Концентрация кортизола в крови на фоне стимулирующей пробы с инсулином</w:t>
            </w:r>
          </w:p>
        </w:tc>
        <w:tc>
          <w:tcPr>
            <w:tcW w:w="1985" w:type="dxa"/>
            <w:tcBorders>
              <w:top w:val="nil"/>
              <w:left w:val="nil"/>
              <w:bottom w:val="single" w:sz="16" w:space="0" w:color="000000"/>
              <w:right w:val="nil"/>
            </w:tcBorders>
          </w:tcPr>
          <w:p w:rsidR="000415D0" w:rsidRDefault="000415D0"/>
        </w:tc>
      </w:tr>
      <w:tr w:rsidR="000415D0">
        <w:trPr>
          <w:trHeight w:val="611"/>
        </w:trPr>
        <w:tc>
          <w:tcPr>
            <w:tcW w:w="1643" w:type="dxa"/>
            <w:tcBorders>
              <w:top w:val="single" w:sz="16" w:space="0" w:color="000000"/>
              <w:left w:val="nil"/>
              <w:bottom w:val="single" w:sz="4" w:space="0" w:color="000000"/>
              <w:right w:val="nil"/>
            </w:tcBorders>
          </w:tcPr>
          <w:p w:rsidR="000415D0" w:rsidRDefault="008E2CEA">
            <w:pPr>
              <w:spacing w:after="0"/>
              <w:ind w:left="374" w:hanging="143"/>
            </w:pPr>
            <w:r>
              <w:rPr>
                <w:rFonts w:ascii="Times New Roman" w:eastAsia="Times New Roman" w:hAnsi="Times New Roman" w:cs="Times New Roman"/>
                <w:sz w:val="16"/>
              </w:rPr>
              <w:t>Концентрация кортизола, нмоль/л</w:t>
            </w:r>
          </w:p>
        </w:tc>
        <w:tc>
          <w:tcPr>
            <w:tcW w:w="6010" w:type="dxa"/>
            <w:tcBorders>
              <w:top w:val="single" w:sz="16" w:space="0" w:color="000000"/>
              <w:left w:val="nil"/>
              <w:bottom w:val="single" w:sz="4" w:space="0" w:color="000000"/>
              <w:right w:val="nil"/>
            </w:tcBorders>
            <w:vAlign w:val="center"/>
          </w:tcPr>
          <w:p w:rsidR="000415D0" w:rsidRDefault="008E2CEA">
            <w:pPr>
              <w:tabs>
                <w:tab w:val="center" w:pos="936"/>
                <w:tab w:val="center" w:pos="3941"/>
              </w:tabs>
              <w:spacing w:after="0"/>
            </w:pPr>
            <w:r>
              <w:tab/>
            </w:r>
            <w:r>
              <w:rPr>
                <w:rFonts w:ascii="Times New Roman" w:eastAsia="Times New Roman" w:hAnsi="Times New Roman" w:cs="Times New Roman"/>
                <w:sz w:val="16"/>
              </w:rPr>
              <w:t>&lt;300</w:t>
            </w:r>
            <w:r>
              <w:rPr>
                <w:rFonts w:ascii="Times New Roman" w:eastAsia="Times New Roman" w:hAnsi="Times New Roman" w:cs="Times New Roman"/>
                <w:sz w:val="16"/>
              </w:rPr>
              <w:tab/>
              <w:t>300–550</w:t>
            </w:r>
          </w:p>
        </w:tc>
        <w:tc>
          <w:tcPr>
            <w:tcW w:w="1985" w:type="dxa"/>
            <w:tcBorders>
              <w:top w:val="single" w:sz="16" w:space="0" w:color="000000"/>
              <w:left w:val="nil"/>
              <w:bottom w:val="single" w:sz="4" w:space="0" w:color="000000"/>
              <w:right w:val="nil"/>
            </w:tcBorders>
            <w:vAlign w:val="center"/>
          </w:tcPr>
          <w:p w:rsidR="000415D0" w:rsidRDefault="008E2CEA">
            <w:pPr>
              <w:spacing w:after="0"/>
              <w:ind w:right="37"/>
              <w:jc w:val="center"/>
            </w:pPr>
            <w:r>
              <w:rPr>
                <w:rFonts w:ascii="Times New Roman" w:eastAsia="Times New Roman" w:hAnsi="Times New Roman" w:cs="Times New Roman"/>
                <w:sz w:val="16"/>
              </w:rPr>
              <w:t>&gt;550</w:t>
            </w:r>
          </w:p>
        </w:tc>
      </w:tr>
      <w:tr w:rsidR="000415D0">
        <w:trPr>
          <w:trHeight w:val="434"/>
        </w:trPr>
        <w:tc>
          <w:tcPr>
            <w:tcW w:w="1643" w:type="dxa"/>
            <w:tcBorders>
              <w:top w:val="single" w:sz="4" w:space="0" w:color="000000"/>
              <w:left w:val="nil"/>
              <w:bottom w:val="nil"/>
              <w:right w:val="nil"/>
            </w:tcBorders>
          </w:tcPr>
          <w:p w:rsidR="000415D0" w:rsidRDefault="008E2CEA">
            <w:pPr>
              <w:spacing w:after="0"/>
              <w:ind w:left="57"/>
            </w:pPr>
            <w:r>
              <w:rPr>
                <w:rFonts w:ascii="Times New Roman" w:eastAsia="Times New Roman" w:hAnsi="Times New Roman" w:cs="Times New Roman"/>
                <w:sz w:val="16"/>
              </w:rPr>
              <w:t>Интерпретация</w:t>
            </w:r>
          </w:p>
        </w:tc>
        <w:tc>
          <w:tcPr>
            <w:tcW w:w="6010" w:type="dxa"/>
            <w:tcBorders>
              <w:top w:val="single" w:sz="4" w:space="0" w:color="000000"/>
              <w:left w:val="nil"/>
              <w:bottom w:val="nil"/>
              <w:right w:val="nil"/>
            </w:tcBorders>
          </w:tcPr>
          <w:p w:rsidR="000415D0" w:rsidRDefault="008E2CEA">
            <w:pPr>
              <w:spacing w:after="0"/>
              <w:ind w:left="365" w:hanging="365"/>
            </w:pPr>
            <w:r>
              <w:rPr>
                <w:rFonts w:ascii="Times New Roman" w:eastAsia="Times New Roman" w:hAnsi="Times New Roman" w:cs="Times New Roman"/>
                <w:sz w:val="16"/>
              </w:rPr>
              <w:t xml:space="preserve">Наличие гипокортицизма </w:t>
            </w:r>
            <w:r>
              <w:rPr>
                <w:rFonts w:ascii="Times New Roman" w:eastAsia="Times New Roman" w:hAnsi="Times New Roman" w:cs="Times New Roman"/>
                <w:sz w:val="16"/>
              </w:rPr>
              <w:tab/>
              <w:t>Наличие гипокортицизма вероятно подтверждается</w:t>
            </w:r>
          </w:p>
        </w:tc>
        <w:tc>
          <w:tcPr>
            <w:tcW w:w="1985" w:type="dxa"/>
            <w:tcBorders>
              <w:top w:val="single" w:sz="4" w:space="0" w:color="000000"/>
              <w:left w:val="nil"/>
              <w:bottom w:val="nil"/>
              <w:right w:val="nil"/>
            </w:tcBorders>
          </w:tcPr>
          <w:p w:rsidR="000415D0" w:rsidRDefault="008E2CEA">
            <w:pPr>
              <w:spacing w:after="0"/>
              <w:ind w:left="474" w:hanging="474"/>
            </w:pPr>
            <w:r>
              <w:rPr>
                <w:rFonts w:ascii="Times New Roman" w:eastAsia="Times New Roman" w:hAnsi="Times New Roman" w:cs="Times New Roman"/>
                <w:sz w:val="16"/>
              </w:rPr>
              <w:t>Наличие гипокортицизма исключается</w:t>
            </w:r>
          </w:p>
        </w:tc>
      </w:tr>
      <w:tr w:rsidR="000415D0">
        <w:trPr>
          <w:trHeight w:val="654"/>
        </w:trPr>
        <w:tc>
          <w:tcPr>
            <w:tcW w:w="1643" w:type="dxa"/>
            <w:tcBorders>
              <w:top w:val="nil"/>
              <w:left w:val="nil"/>
              <w:bottom w:val="single" w:sz="16" w:space="0" w:color="000000"/>
              <w:right w:val="nil"/>
            </w:tcBorders>
          </w:tcPr>
          <w:p w:rsidR="000415D0" w:rsidRDefault="008E2CEA">
            <w:pPr>
              <w:spacing w:after="0"/>
              <w:ind w:left="57"/>
            </w:pPr>
            <w:r>
              <w:rPr>
                <w:rFonts w:ascii="Times New Roman" w:eastAsia="Times New Roman" w:hAnsi="Times New Roman" w:cs="Times New Roman"/>
                <w:sz w:val="16"/>
              </w:rPr>
              <w:t>Тактика</w:t>
            </w:r>
          </w:p>
        </w:tc>
        <w:tc>
          <w:tcPr>
            <w:tcW w:w="6010" w:type="dxa"/>
            <w:tcBorders>
              <w:top w:val="nil"/>
              <w:left w:val="nil"/>
              <w:bottom w:val="single" w:sz="16" w:space="0" w:color="000000"/>
              <w:right w:val="nil"/>
            </w:tcBorders>
          </w:tcPr>
          <w:p w:rsidR="000415D0" w:rsidRDefault="008E2CEA">
            <w:pPr>
              <w:spacing w:after="0" w:line="282" w:lineRule="auto"/>
              <w:ind w:left="191" w:hanging="132"/>
            </w:pPr>
            <w:r>
              <w:rPr>
                <w:rFonts w:ascii="Times New Roman" w:eastAsia="Times New Roman" w:hAnsi="Times New Roman" w:cs="Times New Roman"/>
                <w:sz w:val="16"/>
              </w:rPr>
              <w:t xml:space="preserve">Заместительная терапия </w:t>
            </w:r>
            <w:r>
              <w:rPr>
                <w:rFonts w:ascii="Times New Roman" w:eastAsia="Times New Roman" w:hAnsi="Times New Roman" w:cs="Times New Roman"/>
                <w:sz w:val="16"/>
              </w:rPr>
              <w:tab/>
              <w:t>Наблюдение в динамике. Возможно применение глюкокортикоидами</w:t>
            </w:r>
            <w:r>
              <w:rPr>
                <w:rFonts w:ascii="Times New Roman" w:eastAsia="Times New Roman" w:hAnsi="Times New Roman" w:cs="Times New Roman"/>
                <w:sz w:val="16"/>
              </w:rPr>
              <w:tab/>
              <w:t>глюкокортикоидов коротким курсом на фоне стрес-</w:t>
            </w:r>
          </w:p>
          <w:p w:rsidR="000415D0" w:rsidRDefault="008E2CEA">
            <w:pPr>
              <w:spacing w:after="0"/>
              <w:ind w:right="227"/>
              <w:jc w:val="right"/>
            </w:pPr>
            <w:r>
              <w:rPr>
                <w:rFonts w:ascii="Times New Roman" w:eastAsia="Times New Roman" w:hAnsi="Times New Roman" w:cs="Times New Roman"/>
                <w:sz w:val="16"/>
              </w:rPr>
              <w:t>совых ситуаций и интеркуррентных заболеваний</w:t>
            </w:r>
          </w:p>
        </w:tc>
        <w:tc>
          <w:tcPr>
            <w:tcW w:w="1985" w:type="dxa"/>
            <w:tcBorders>
              <w:top w:val="nil"/>
              <w:left w:val="nil"/>
              <w:bottom w:val="single" w:sz="16" w:space="0" w:color="000000"/>
              <w:right w:val="nil"/>
            </w:tcBorders>
          </w:tcPr>
          <w:p w:rsidR="000415D0" w:rsidRDefault="000415D0"/>
        </w:tc>
      </w:tr>
    </w:tbl>
    <w:p w:rsidR="000415D0" w:rsidRDefault="008E2CEA">
      <w:pPr>
        <w:spacing w:after="4" w:line="257" w:lineRule="auto"/>
        <w:ind w:left="397" w:right="36" w:firstLine="330"/>
        <w:jc w:val="both"/>
      </w:pPr>
      <w:r>
        <w:rPr>
          <w:rFonts w:ascii="Times New Roman" w:eastAsia="Times New Roman" w:hAnsi="Times New Roman" w:cs="Times New Roman"/>
          <w:sz w:val="20"/>
        </w:rPr>
        <w:t>— отсутствие признаков полового развития при костном возрасте 13 лет у мальчиков и 12 лет у девочек;</w:t>
      </w:r>
    </w:p>
    <w:p w:rsidR="000415D0" w:rsidRDefault="008E2CEA">
      <w:pPr>
        <w:spacing w:after="4" w:line="257" w:lineRule="auto"/>
        <w:ind w:left="397" w:right="36" w:firstLine="330"/>
        <w:jc w:val="both"/>
      </w:pPr>
      <w:r>
        <w:rPr>
          <w:rFonts w:ascii="Times New Roman" w:eastAsia="Times New Roman" w:hAnsi="Times New Roman" w:cs="Times New Roman"/>
          <w:sz w:val="20"/>
        </w:rPr>
        <w:t>— низкие базальные концентрации ЛГ, ФСГ, половых гормонов;</w:t>
      </w:r>
    </w:p>
    <w:p w:rsidR="000415D0" w:rsidRDefault="008E2CEA">
      <w:pPr>
        <w:spacing w:after="4" w:line="257" w:lineRule="auto"/>
        <w:ind w:left="397" w:right="36" w:firstLine="330"/>
        <w:jc w:val="both"/>
      </w:pPr>
      <w:r>
        <w:rPr>
          <w:rFonts w:ascii="Times New Roman" w:eastAsia="Times New Roman" w:hAnsi="Times New Roman" w:cs="Times New Roman"/>
          <w:sz w:val="20"/>
        </w:rPr>
        <w:t>— отсутствие подъема ЛГ и ФСГ на стимуляцию аналогами гонадотропин-рилизинг-гормона:</w:t>
      </w:r>
    </w:p>
    <w:p w:rsidR="000415D0" w:rsidRDefault="008E2CEA">
      <w:pPr>
        <w:spacing w:after="4" w:line="257" w:lineRule="auto"/>
        <w:ind w:left="397" w:right="36" w:firstLine="330"/>
        <w:jc w:val="both"/>
      </w:pPr>
      <w:r>
        <w:rPr>
          <w:rFonts w:ascii="Times New Roman" w:eastAsia="Times New Roman" w:hAnsi="Times New Roman" w:cs="Times New Roman"/>
          <w:sz w:val="20"/>
        </w:rPr>
        <w:t>— Бусерилин</w:t>
      </w:r>
      <w:r>
        <w:rPr>
          <w:rFonts w:ascii="Times New Roman" w:eastAsia="Times New Roman" w:hAnsi="Times New Roman" w:cs="Times New Roman"/>
          <w:sz w:val="20"/>
        </w:rPr>
        <w:t xml:space="preserve"> по 1 дозе (0,15 мг) в каждый носовой ход, определение ЛГ, ФСГ в каждой временной точке забора крови: 0, 1, 4 ч;</w:t>
      </w:r>
    </w:p>
    <w:p w:rsidR="000415D0" w:rsidRDefault="008E2CEA">
      <w:pPr>
        <w:spacing w:after="4" w:line="257" w:lineRule="auto"/>
        <w:ind w:left="397" w:right="36" w:firstLine="330"/>
        <w:jc w:val="both"/>
      </w:pPr>
      <w:r>
        <w:rPr>
          <w:rFonts w:ascii="Times New Roman" w:eastAsia="Times New Roman" w:hAnsi="Times New Roman" w:cs="Times New Roman"/>
          <w:sz w:val="20"/>
        </w:rPr>
        <w:t xml:space="preserve">— Диферелин 0,1 мг подкожно, определение ЛГ, ФСГ в каждой временной точке забора крови: 0, 1, </w:t>
      </w:r>
    </w:p>
    <w:p w:rsidR="000415D0" w:rsidRDefault="008E2CEA">
      <w:pPr>
        <w:spacing w:after="4" w:line="257" w:lineRule="auto"/>
        <w:ind w:left="397" w:right="36"/>
        <w:jc w:val="both"/>
      </w:pPr>
      <w:r>
        <w:rPr>
          <w:rFonts w:ascii="Times New Roman" w:eastAsia="Times New Roman" w:hAnsi="Times New Roman" w:cs="Times New Roman"/>
          <w:sz w:val="20"/>
        </w:rPr>
        <w:t>4 ч.</w:t>
      </w:r>
    </w:p>
    <w:p w:rsidR="000415D0" w:rsidRDefault="008E2CEA">
      <w:pPr>
        <w:spacing w:after="155" w:line="260" w:lineRule="auto"/>
        <w:ind w:left="397" w:firstLine="340"/>
        <w:jc w:val="both"/>
      </w:pPr>
      <w:r>
        <w:rPr>
          <w:rFonts w:ascii="Times New Roman" w:eastAsia="Times New Roman" w:hAnsi="Times New Roman" w:cs="Times New Roman"/>
          <w:i/>
          <w:sz w:val="16"/>
        </w:rPr>
        <w:t xml:space="preserve">Примечание. </w:t>
      </w:r>
      <w:r>
        <w:rPr>
          <w:rFonts w:ascii="Times New Roman" w:eastAsia="Times New Roman" w:hAnsi="Times New Roman" w:cs="Times New Roman"/>
          <w:sz w:val="16"/>
        </w:rPr>
        <w:t>ЛГ выше 10 ЕД/л свидетельствует об активации истинного (гонадотропинзависимого) полового развития и отсутствии гипогонадизма.</w:t>
      </w:r>
    </w:p>
    <w:p w:rsidR="000415D0" w:rsidRDefault="008E2CEA">
      <w:pPr>
        <w:spacing w:after="4" w:line="257" w:lineRule="auto"/>
        <w:ind w:left="397" w:right="36" w:firstLine="330"/>
        <w:jc w:val="both"/>
      </w:pPr>
      <w:r>
        <w:rPr>
          <w:rFonts w:ascii="Times New Roman" w:eastAsia="Times New Roman" w:hAnsi="Times New Roman" w:cs="Times New Roman"/>
          <w:b/>
          <w:sz w:val="20"/>
        </w:rPr>
        <w:t>Гипопролактинемия.</w:t>
      </w:r>
      <w:r>
        <w:rPr>
          <w:rFonts w:ascii="Times New Roman" w:eastAsia="Times New Roman" w:hAnsi="Times New Roman" w:cs="Times New Roman"/>
          <w:sz w:val="20"/>
        </w:rPr>
        <w:t xml:space="preserve"> Низкий уровень пролактина в нескольких образцах крови подтверждает наличие гипопролактинемии.</w:t>
      </w:r>
    </w:p>
    <w:p w:rsidR="000415D0" w:rsidRDefault="008E2CEA">
      <w:pPr>
        <w:spacing w:after="4" w:line="257" w:lineRule="auto"/>
        <w:ind w:left="397" w:right="36" w:firstLine="330"/>
        <w:jc w:val="both"/>
      </w:pPr>
      <w:r>
        <w:rPr>
          <w:rFonts w:ascii="Times New Roman" w:eastAsia="Times New Roman" w:hAnsi="Times New Roman" w:cs="Times New Roman"/>
          <w:b/>
          <w:sz w:val="20"/>
        </w:rPr>
        <w:t>Центральный несах</w:t>
      </w:r>
      <w:r>
        <w:rPr>
          <w:rFonts w:ascii="Times New Roman" w:eastAsia="Times New Roman" w:hAnsi="Times New Roman" w:cs="Times New Roman"/>
          <w:b/>
          <w:sz w:val="20"/>
        </w:rPr>
        <w:t xml:space="preserve">арный диабет. </w:t>
      </w:r>
      <w:r>
        <w:rPr>
          <w:rFonts w:ascii="Times New Roman" w:eastAsia="Times New Roman" w:hAnsi="Times New Roman" w:cs="Times New Roman"/>
          <w:sz w:val="20"/>
        </w:rPr>
        <w:t>Наличие центрального несахарного диабета подтверждают:</w:t>
      </w:r>
    </w:p>
    <w:p w:rsidR="000415D0" w:rsidRDefault="008E2CEA">
      <w:pPr>
        <w:spacing w:after="126" w:line="257" w:lineRule="auto"/>
        <w:ind w:left="737" w:right="36"/>
        <w:jc w:val="both"/>
      </w:pPr>
      <w:r>
        <w:rPr>
          <w:rFonts w:ascii="Times New Roman" w:eastAsia="Times New Roman" w:hAnsi="Times New Roman" w:cs="Times New Roman"/>
          <w:sz w:val="20"/>
        </w:rPr>
        <w:t>— полиурия</w:t>
      </w:r>
      <w:r>
        <w:rPr>
          <w:rFonts w:ascii="Times New Roman" w:eastAsia="Times New Roman" w:hAnsi="Times New Roman" w:cs="Times New Roman"/>
          <w:sz w:val="18"/>
          <w:vertAlign w:val="superscript"/>
        </w:rPr>
        <w:t xml:space="preserve"> </w:t>
      </w:r>
      <w:r>
        <w:rPr>
          <w:rFonts w:ascii="Times New Roman" w:eastAsia="Times New Roman" w:hAnsi="Times New Roman" w:cs="Times New Roman"/>
          <w:b/>
          <w:sz w:val="20"/>
        </w:rPr>
        <w:t>(табл. 2)</w:t>
      </w:r>
      <w:r>
        <w:rPr>
          <w:rFonts w:ascii="Times New Roman" w:eastAsia="Times New Roman" w:hAnsi="Times New Roman" w:cs="Times New Roman"/>
          <w:sz w:val="20"/>
        </w:rPr>
        <w:t>.</w:t>
      </w:r>
    </w:p>
    <w:p w:rsidR="000415D0" w:rsidRDefault="008E2CEA">
      <w:pPr>
        <w:spacing w:after="3"/>
        <w:ind w:left="407" w:hanging="10"/>
      </w:pPr>
      <w:r>
        <w:rPr>
          <w:rFonts w:ascii="Times New Roman" w:eastAsia="Times New Roman" w:hAnsi="Times New Roman" w:cs="Times New Roman"/>
          <w:b/>
          <w:i/>
          <w:sz w:val="16"/>
        </w:rPr>
        <w:t>Таблица 2.</w:t>
      </w:r>
      <w:r>
        <w:rPr>
          <w:b/>
          <w:sz w:val="16"/>
        </w:rPr>
        <w:t xml:space="preserve"> Полиурия у детей</w:t>
      </w:r>
    </w:p>
    <w:tbl>
      <w:tblPr>
        <w:tblStyle w:val="TableGrid"/>
        <w:tblW w:w="4706" w:type="dxa"/>
        <w:tblInd w:w="397" w:type="dxa"/>
        <w:tblCellMar>
          <w:top w:w="42" w:type="dxa"/>
          <w:left w:w="0" w:type="dxa"/>
          <w:bottom w:w="0" w:type="dxa"/>
          <w:right w:w="115" w:type="dxa"/>
        </w:tblCellMar>
        <w:tblLook w:val="04A0" w:firstRow="1" w:lastRow="0" w:firstColumn="1" w:lastColumn="0" w:noHBand="0" w:noVBand="1"/>
      </w:tblPr>
      <w:tblGrid>
        <w:gridCol w:w="2495"/>
        <w:gridCol w:w="2211"/>
      </w:tblGrid>
      <w:tr w:rsidR="000415D0">
        <w:trPr>
          <w:trHeight w:val="227"/>
        </w:trPr>
        <w:tc>
          <w:tcPr>
            <w:tcW w:w="2495" w:type="dxa"/>
            <w:tcBorders>
              <w:top w:val="single" w:sz="16" w:space="0" w:color="000000"/>
              <w:left w:val="nil"/>
              <w:bottom w:val="single" w:sz="4" w:space="0" w:color="000000"/>
              <w:right w:val="nil"/>
            </w:tcBorders>
          </w:tcPr>
          <w:p w:rsidR="000415D0" w:rsidRDefault="008E2CEA">
            <w:pPr>
              <w:spacing w:after="0"/>
              <w:ind w:left="624"/>
            </w:pPr>
            <w:r>
              <w:rPr>
                <w:rFonts w:ascii="Times New Roman" w:eastAsia="Times New Roman" w:hAnsi="Times New Roman" w:cs="Times New Roman"/>
                <w:sz w:val="16"/>
              </w:rPr>
              <w:t>Возраст</w:t>
            </w:r>
          </w:p>
        </w:tc>
        <w:tc>
          <w:tcPr>
            <w:tcW w:w="2211" w:type="dxa"/>
            <w:tcBorders>
              <w:top w:val="single" w:sz="16" w:space="0" w:color="000000"/>
              <w:left w:val="nil"/>
              <w:bottom w:val="single" w:sz="4" w:space="0" w:color="000000"/>
              <w:right w:val="nil"/>
            </w:tcBorders>
          </w:tcPr>
          <w:p w:rsidR="000415D0" w:rsidRDefault="008E2CEA">
            <w:pPr>
              <w:spacing w:after="0"/>
            </w:pPr>
            <w:r>
              <w:rPr>
                <w:rFonts w:ascii="Times New Roman" w:eastAsia="Times New Roman" w:hAnsi="Times New Roman" w:cs="Times New Roman"/>
                <w:sz w:val="16"/>
              </w:rPr>
              <w:t>Суточный диурез, мл</w:t>
            </w:r>
          </w:p>
        </w:tc>
      </w:tr>
      <w:tr w:rsidR="000415D0">
        <w:trPr>
          <w:trHeight w:val="242"/>
        </w:trPr>
        <w:tc>
          <w:tcPr>
            <w:tcW w:w="2495" w:type="dxa"/>
            <w:tcBorders>
              <w:top w:val="single" w:sz="4" w:space="0" w:color="000000"/>
              <w:left w:val="nil"/>
              <w:bottom w:val="nil"/>
              <w:right w:val="nil"/>
            </w:tcBorders>
          </w:tcPr>
          <w:p w:rsidR="000415D0" w:rsidRDefault="008E2CEA">
            <w:pPr>
              <w:spacing w:after="0"/>
              <w:ind w:left="57"/>
            </w:pPr>
            <w:r>
              <w:rPr>
                <w:rFonts w:ascii="Times New Roman" w:eastAsia="Times New Roman" w:hAnsi="Times New Roman" w:cs="Times New Roman"/>
                <w:sz w:val="16"/>
              </w:rPr>
              <w:t>Новорожденные</w:t>
            </w:r>
          </w:p>
        </w:tc>
        <w:tc>
          <w:tcPr>
            <w:tcW w:w="2211" w:type="dxa"/>
            <w:tcBorders>
              <w:top w:val="single" w:sz="4" w:space="0" w:color="000000"/>
              <w:left w:val="nil"/>
              <w:bottom w:val="nil"/>
              <w:right w:val="nil"/>
            </w:tcBorders>
          </w:tcPr>
          <w:p w:rsidR="000415D0" w:rsidRDefault="008E2CEA">
            <w:pPr>
              <w:spacing w:after="0"/>
              <w:ind w:left="224"/>
            </w:pPr>
            <w:r>
              <w:rPr>
                <w:rFonts w:ascii="Times New Roman" w:eastAsia="Times New Roman" w:hAnsi="Times New Roman" w:cs="Times New Roman"/>
                <w:sz w:val="16"/>
              </w:rPr>
              <w:t>&gt;150 мл/кг/сут</w:t>
            </w:r>
          </w:p>
        </w:tc>
      </w:tr>
      <w:tr w:rsidR="000415D0">
        <w:trPr>
          <w:trHeight w:val="225"/>
        </w:trPr>
        <w:tc>
          <w:tcPr>
            <w:tcW w:w="2495" w:type="dxa"/>
            <w:tcBorders>
              <w:top w:val="nil"/>
              <w:left w:val="nil"/>
              <w:bottom w:val="nil"/>
              <w:right w:val="nil"/>
            </w:tcBorders>
          </w:tcPr>
          <w:p w:rsidR="000415D0" w:rsidRDefault="008E2CEA">
            <w:pPr>
              <w:spacing w:after="0"/>
              <w:ind w:left="57"/>
            </w:pPr>
            <w:r>
              <w:rPr>
                <w:rFonts w:ascii="Times New Roman" w:eastAsia="Times New Roman" w:hAnsi="Times New Roman" w:cs="Times New Roman"/>
                <w:sz w:val="16"/>
              </w:rPr>
              <w:t>До 2 лет</w:t>
            </w:r>
          </w:p>
        </w:tc>
        <w:tc>
          <w:tcPr>
            <w:tcW w:w="2211" w:type="dxa"/>
            <w:tcBorders>
              <w:top w:val="nil"/>
              <w:left w:val="nil"/>
              <w:bottom w:val="nil"/>
              <w:right w:val="nil"/>
            </w:tcBorders>
          </w:tcPr>
          <w:p w:rsidR="000415D0" w:rsidRDefault="008E2CEA">
            <w:pPr>
              <w:spacing w:after="0"/>
              <w:ind w:left="47"/>
            </w:pPr>
            <w:r>
              <w:rPr>
                <w:rFonts w:ascii="Times New Roman" w:eastAsia="Times New Roman" w:hAnsi="Times New Roman" w:cs="Times New Roman"/>
                <w:sz w:val="16"/>
              </w:rPr>
              <w:t>&gt;100–110 мл/кг/сут</w:t>
            </w:r>
          </w:p>
        </w:tc>
      </w:tr>
      <w:tr w:rsidR="000415D0">
        <w:trPr>
          <w:trHeight w:val="464"/>
        </w:trPr>
        <w:tc>
          <w:tcPr>
            <w:tcW w:w="2495" w:type="dxa"/>
            <w:tcBorders>
              <w:top w:val="nil"/>
              <w:left w:val="nil"/>
              <w:bottom w:val="single" w:sz="16" w:space="0" w:color="000000"/>
              <w:right w:val="nil"/>
            </w:tcBorders>
          </w:tcPr>
          <w:p w:rsidR="000415D0" w:rsidRDefault="008E2CEA">
            <w:pPr>
              <w:spacing w:after="0"/>
              <w:ind w:left="57"/>
            </w:pPr>
            <w:r>
              <w:rPr>
                <w:rFonts w:ascii="Times New Roman" w:eastAsia="Times New Roman" w:hAnsi="Times New Roman" w:cs="Times New Roman"/>
                <w:sz w:val="16"/>
              </w:rPr>
              <w:t>Дети старшего возраста</w:t>
            </w:r>
          </w:p>
        </w:tc>
        <w:tc>
          <w:tcPr>
            <w:tcW w:w="2211" w:type="dxa"/>
            <w:tcBorders>
              <w:top w:val="nil"/>
              <w:left w:val="nil"/>
              <w:bottom w:val="single" w:sz="16" w:space="0" w:color="000000"/>
              <w:right w:val="nil"/>
            </w:tcBorders>
          </w:tcPr>
          <w:p w:rsidR="000415D0" w:rsidRDefault="008E2CEA">
            <w:pPr>
              <w:spacing w:after="0"/>
              <w:ind w:left="24" w:right="589" w:firstLine="334"/>
            </w:pPr>
            <w:r>
              <w:rPr>
                <w:rFonts w:ascii="Times New Roman" w:eastAsia="Times New Roman" w:hAnsi="Times New Roman" w:cs="Times New Roman"/>
                <w:sz w:val="16"/>
              </w:rPr>
              <w:t>&gt;2 л/м</w:t>
            </w:r>
            <w:r>
              <w:rPr>
                <w:rFonts w:ascii="Times New Roman" w:eastAsia="Times New Roman" w:hAnsi="Times New Roman" w:cs="Times New Roman"/>
                <w:sz w:val="14"/>
                <w:vertAlign w:val="superscript"/>
              </w:rPr>
              <w:t>2</w:t>
            </w:r>
            <w:r>
              <w:rPr>
                <w:rFonts w:ascii="Times New Roman" w:eastAsia="Times New Roman" w:hAnsi="Times New Roman" w:cs="Times New Roman"/>
                <w:sz w:val="16"/>
              </w:rPr>
              <w:t>/сут или 40–50 мл/кг/сут</w:t>
            </w:r>
          </w:p>
        </w:tc>
      </w:tr>
    </w:tbl>
    <w:p w:rsidR="000415D0" w:rsidRDefault="008E2CEA">
      <w:pPr>
        <w:spacing w:after="144" w:line="257" w:lineRule="auto"/>
        <w:ind w:left="397" w:right="36" w:firstLine="330"/>
        <w:jc w:val="both"/>
      </w:pPr>
      <w:r>
        <w:rPr>
          <w:rFonts w:ascii="Times New Roman" w:eastAsia="Times New Roman" w:hAnsi="Times New Roman" w:cs="Times New Roman"/>
          <w:sz w:val="20"/>
        </w:rPr>
        <w:t>— низкая осмоляльность мочи (&lt;300 мосмоль/кг) и/или низкая относительная плотность мочи (&lt;1005);</w:t>
      </w:r>
    </w:p>
    <w:p w:rsidR="000415D0" w:rsidRDefault="008E2CEA">
      <w:pPr>
        <w:spacing w:after="3" w:line="260" w:lineRule="auto"/>
        <w:ind w:left="397" w:firstLine="340"/>
        <w:jc w:val="both"/>
      </w:pPr>
      <w:r>
        <w:rPr>
          <w:rFonts w:ascii="Times New Roman" w:eastAsia="Times New Roman" w:hAnsi="Times New Roman" w:cs="Times New Roman"/>
          <w:i/>
          <w:sz w:val="16"/>
        </w:rPr>
        <w:t xml:space="preserve">Примечание: </w:t>
      </w:r>
      <w:r>
        <w:rPr>
          <w:rFonts w:ascii="Times New Roman" w:eastAsia="Times New Roman" w:hAnsi="Times New Roman" w:cs="Times New Roman"/>
          <w:sz w:val="16"/>
        </w:rPr>
        <w:t>При отсутствии возможности лабораторного определения осмоляльности сыворотки и мочи, можно воспользоваться расчетным методом:</w:t>
      </w:r>
    </w:p>
    <w:p w:rsidR="000415D0" w:rsidRDefault="008E2CEA">
      <w:pPr>
        <w:spacing w:after="0" w:line="255" w:lineRule="auto"/>
        <w:ind w:left="1430" w:right="328" w:hanging="693"/>
      </w:pPr>
      <w:r>
        <w:rPr>
          <w:rFonts w:ascii="Times New Roman" w:eastAsia="Times New Roman" w:hAnsi="Times New Roman" w:cs="Times New Roman"/>
          <w:sz w:val="16"/>
        </w:rPr>
        <w:t>Осмоляльность мочи рассчитывается по формуле: осмоляльность мочи (мосмоль/кг) = (удельный вес мочи — 1000)×33,3.</w:t>
      </w:r>
    </w:p>
    <w:p w:rsidR="000415D0" w:rsidRDefault="008E2CEA">
      <w:pPr>
        <w:spacing w:after="3" w:line="260" w:lineRule="auto"/>
        <w:ind w:left="397" w:firstLine="340"/>
        <w:jc w:val="both"/>
      </w:pPr>
      <w:r>
        <w:rPr>
          <w:rFonts w:ascii="Times New Roman" w:eastAsia="Times New Roman" w:hAnsi="Times New Roman" w:cs="Times New Roman"/>
          <w:sz w:val="16"/>
        </w:rPr>
        <w:t>Осмоляльность сыв</w:t>
      </w:r>
      <w:r>
        <w:rPr>
          <w:rFonts w:ascii="Times New Roman" w:eastAsia="Times New Roman" w:hAnsi="Times New Roman" w:cs="Times New Roman"/>
          <w:sz w:val="16"/>
        </w:rPr>
        <w:t>оротки рассчитывается по формуле (все параметры в ммоль/л): осмоляльность сыворотки (мосмоль/кг) = 2×(Na+K) + глю-</w:t>
      </w:r>
    </w:p>
    <w:p w:rsidR="000415D0" w:rsidRDefault="008E2CEA">
      <w:pPr>
        <w:spacing w:after="279" w:line="260" w:lineRule="auto"/>
        <w:ind w:left="407" w:hanging="10"/>
        <w:jc w:val="both"/>
      </w:pPr>
      <w:r>
        <w:rPr>
          <w:rFonts w:ascii="Times New Roman" w:eastAsia="Times New Roman" w:hAnsi="Times New Roman" w:cs="Times New Roman"/>
          <w:sz w:val="16"/>
        </w:rPr>
        <w:t>коза + мочевина (BUN).</w:t>
      </w:r>
    </w:p>
    <w:p w:rsidR="000415D0" w:rsidRDefault="008E2CEA">
      <w:pPr>
        <w:spacing w:after="4" w:line="257" w:lineRule="auto"/>
        <w:ind w:left="397" w:right="36" w:firstLine="330"/>
        <w:jc w:val="both"/>
      </w:pPr>
      <w:r>
        <w:rPr>
          <w:rFonts w:ascii="Times New Roman" w:eastAsia="Times New Roman" w:hAnsi="Times New Roman" w:cs="Times New Roman"/>
          <w:sz w:val="20"/>
        </w:rPr>
        <w:t>— нормальный или повышенный (&gt;300 мосмоль/кг) уровень осмоляльности сыворотки и/или нормальный или повышенный (выше ве</w:t>
      </w:r>
      <w:r>
        <w:rPr>
          <w:rFonts w:ascii="Times New Roman" w:eastAsia="Times New Roman" w:hAnsi="Times New Roman" w:cs="Times New Roman"/>
          <w:sz w:val="20"/>
        </w:rPr>
        <w:t>рхней границы нормы) уровень натрия сыворотки;</w:t>
      </w:r>
    </w:p>
    <w:p w:rsidR="000415D0" w:rsidRDefault="008E2CEA">
      <w:pPr>
        <w:spacing w:after="4" w:line="257" w:lineRule="auto"/>
        <w:ind w:left="397" w:right="36" w:firstLine="330"/>
        <w:jc w:val="both"/>
      </w:pPr>
      <w:r>
        <w:rPr>
          <w:rFonts w:ascii="Times New Roman" w:eastAsia="Times New Roman" w:hAnsi="Times New Roman" w:cs="Times New Roman"/>
          <w:sz w:val="20"/>
        </w:rPr>
        <w:t>— результаты пробы с ограничением жидкости: повышение уровня натрия выше верхней границы нормы, при этом осмоляльность сыворотки становится больше осмоляльности мочи; — наличие эффекта от введения десмопрессин</w:t>
      </w:r>
      <w:r>
        <w:rPr>
          <w:rFonts w:ascii="Times New Roman" w:eastAsia="Times New Roman" w:hAnsi="Times New Roman" w:cs="Times New Roman"/>
          <w:sz w:val="20"/>
        </w:rPr>
        <w:t xml:space="preserve">а (оценивается через 4 ч после введения) </w:t>
      </w:r>
      <w:r>
        <w:rPr>
          <w:rFonts w:ascii="Times New Roman" w:eastAsia="Times New Roman" w:hAnsi="Times New Roman" w:cs="Times New Roman"/>
          <w:b/>
          <w:sz w:val="20"/>
        </w:rPr>
        <w:t>(табл. 3)</w:t>
      </w:r>
      <w:r>
        <w:rPr>
          <w:rFonts w:ascii="Times New Roman" w:eastAsia="Times New Roman" w:hAnsi="Times New Roman" w:cs="Times New Roman"/>
          <w:sz w:val="20"/>
        </w:rPr>
        <w:t>:</w:t>
      </w:r>
    </w:p>
    <w:p w:rsidR="000415D0" w:rsidRDefault="008E2CEA">
      <w:pPr>
        <w:spacing w:after="4" w:line="257" w:lineRule="auto"/>
        <w:ind w:left="283" w:right="36" w:firstLine="330"/>
        <w:jc w:val="both"/>
      </w:pPr>
      <w:r>
        <w:rPr>
          <w:rFonts w:ascii="Times New Roman" w:eastAsia="Times New Roman" w:hAnsi="Times New Roman" w:cs="Times New Roman"/>
          <w:sz w:val="20"/>
        </w:rPr>
        <w:t>— соотношение осмоляльности мочи к осмоляльности сыворотки &gt;1,5;</w:t>
      </w:r>
    </w:p>
    <w:p w:rsidR="000415D0" w:rsidRDefault="008E2CEA">
      <w:pPr>
        <w:spacing w:after="3"/>
        <w:ind w:left="10" w:right="-11" w:hanging="10"/>
        <w:jc w:val="right"/>
      </w:pPr>
      <w:r>
        <w:rPr>
          <w:rFonts w:ascii="Times New Roman" w:eastAsia="Times New Roman" w:hAnsi="Times New Roman" w:cs="Times New Roman"/>
          <w:sz w:val="20"/>
        </w:rPr>
        <w:t xml:space="preserve">— </w:t>
      </w:r>
      <w:r>
        <w:rPr>
          <w:rFonts w:ascii="Times New Roman" w:eastAsia="Times New Roman" w:hAnsi="Times New Roman" w:cs="Times New Roman"/>
          <w:b/>
          <w:i/>
          <w:sz w:val="20"/>
        </w:rPr>
        <w:t>или</w:t>
      </w:r>
      <w:r>
        <w:rPr>
          <w:rFonts w:ascii="Times New Roman" w:eastAsia="Times New Roman" w:hAnsi="Times New Roman" w:cs="Times New Roman"/>
          <w:i/>
          <w:sz w:val="20"/>
        </w:rPr>
        <w:t xml:space="preserve"> </w:t>
      </w:r>
      <w:r>
        <w:rPr>
          <w:rFonts w:ascii="Times New Roman" w:eastAsia="Times New Roman" w:hAnsi="Times New Roman" w:cs="Times New Roman"/>
          <w:sz w:val="20"/>
        </w:rPr>
        <w:t>осмоляльность мочи &gt; 600 мосмоль/кг;</w:t>
      </w:r>
    </w:p>
    <w:p w:rsidR="000415D0" w:rsidRDefault="008E2CEA">
      <w:pPr>
        <w:spacing w:after="4" w:line="257" w:lineRule="auto"/>
        <w:ind w:left="283" w:right="36" w:firstLine="330"/>
        <w:jc w:val="both"/>
      </w:pPr>
      <w:r>
        <w:rPr>
          <w:rFonts w:ascii="Times New Roman" w:eastAsia="Times New Roman" w:hAnsi="Times New Roman" w:cs="Times New Roman"/>
          <w:sz w:val="20"/>
        </w:rPr>
        <w:t xml:space="preserve">— </w:t>
      </w:r>
      <w:r>
        <w:rPr>
          <w:rFonts w:ascii="Times New Roman" w:eastAsia="Times New Roman" w:hAnsi="Times New Roman" w:cs="Times New Roman"/>
          <w:b/>
          <w:i/>
          <w:sz w:val="20"/>
        </w:rPr>
        <w:t xml:space="preserve">или </w:t>
      </w:r>
      <w:r>
        <w:rPr>
          <w:rFonts w:ascii="Times New Roman" w:eastAsia="Times New Roman" w:hAnsi="Times New Roman" w:cs="Times New Roman"/>
          <w:sz w:val="20"/>
        </w:rPr>
        <w:t>увеличение относительной плотности мочи &gt;1010.</w:t>
      </w:r>
    </w:p>
    <w:p w:rsidR="000415D0" w:rsidRDefault="008E2CEA">
      <w:pPr>
        <w:spacing w:after="0"/>
      </w:pPr>
      <w:r>
        <w:rPr>
          <w:rFonts w:ascii="Times New Roman" w:eastAsia="Times New Roman" w:hAnsi="Times New Roman" w:cs="Times New Roman"/>
          <w:i/>
          <w:sz w:val="16"/>
        </w:rPr>
        <w:t>Примечание:</w:t>
      </w:r>
    </w:p>
    <w:p w:rsidR="000415D0" w:rsidRDefault="008E2CEA">
      <w:pPr>
        <w:spacing w:after="3"/>
        <w:ind w:left="10" w:hanging="10"/>
      </w:pPr>
      <w:r>
        <w:rPr>
          <w:rFonts w:ascii="Times New Roman" w:eastAsia="Times New Roman" w:hAnsi="Times New Roman" w:cs="Times New Roman"/>
          <w:b/>
          <w:i/>
          <w:sz w:val="16"/>
        </w:rPr>
        <w:t xml:space="preserve">Таблица 3. </w:t>
      </w:r>
      <w:r>
        <w:rPr>
          <w:b/>
          <w:sz w:val="16"/>
        </w:rPr>
        <w:t>Применяемые для диагностики несахарного диабета дозы десмопрессина</w:t>
      </w:r>
    </w:p>
    <w:tbl>
      <w:tblPr>
        <w:tblStyle w:val="TableGrid"/>
        <w:tblW w:w="4706" w:type="dxa"/>
        <w:tblInd w:w="0" w:type="dxa"/>
        <w:tblCellMar>
          <w:top w:w="56" w:type="dxa"/>
          <w:left w:w="0" w:type="dxa"/>
          <w:bottom w:w="0" w:type="dxa"/>
          <w:right w:w="38" w:type="dxa"/>
        </w:tblCellMar>
        <w:tblLook w:val="04A0" w:firstRow="1" w:lastRow="0" w:firstColumn="1" w:lastColumn="0" w:noHBand="0" w:noVBand="1"/>
      </w:tblPr>
      <w:tblGrid>
        <w:gridCol w:w="2041"/>
        <w:gridCol w:w="2664"/>
      </w:tblGrid>
      <w:tr w:rsidR="000415D0">
        <w:trPr>
          <w:trHeight w:val="419"/>
        </w:trPr>
        <w:tc>
          <w:tcPr>
            <w:tcW w:w="2041" w:type="dxa"/>
            <w:tcBorders>
              <w:top w:val="single" w:sz="16" w:space="0" w:color="000000"/>
              <w:left w:val="nil"/>
              <w:bottom w:val="single" w:sz="4" w:space="0" w:color="000000"/>
              <w:right w:val="nil"/>
            </w:tcBorders>
            <w:vAlign w:val="center"/>
          </w:tcPr>
          <w:p w:rsidR="000415D0" w:rsidRDefault="008E2CEA">
            <w:pPr>
              <w:spacing w:after="0"/>
              <w:ind w:left="108"/>
            </w:pPr>
            <w:r>
              <w:rPr>
                <w:rFonts w:ascii="Times New Roman" w:eastAsia="Times New Roman" w:hAnsi="Times New Roman" w:cs="Times New Roman"/>
                <w:sz w:val="16"/>
              </w:rPr>
              <w:t>0,1 мг</w:t>
            </w:r>
          </w:p>
        </w:tc>
        <w:tc>
          <w:tcPr>
            <w:tcW w:w="2664" w:type="dxa"/>
            <w:tcBorders>
              <w:top w:val="single" w:sz="16" w:space="0" w:color="000000"/>
              <w:left w:val="nil"/>
              <w:bottom w:val="single" w:sz="4" w:space="0" w:color="000000"/>
              <w:right w:val="nil"/>
            </w:tcBorders>
          </w:tcPr>
          <w:p w:rsidR="000415D0" w:rsidRDefault="008E2CEA">
            <w:pPr>
              <w:spacing w:after="0"/>
              <w:ind w:left="51"/>
            </w:pPr>
            <w:r>
              <w:rPr>
                <w:rFonts w:ascii="Times New Roman" w:eastAsia="Times New Roman" w:hAnsi="Times New Roman" w:cs="Times New Roman"/>
                <w:sz w:val="16"/>
              </w:rPr>
              <w:t>Десмопрессин для перорального применения</w:t>
            </w:r>
          </w:p>
        </w:tc>
      </w:tr>
      <w:tr w:rsidR="000415D0">
        <w:trPr>
          <w:trHeight w:val="419"/>
        </w:trPr>
        <w:tc>
          <w:tcPr>
            <w:tcW w:w="2041" w:type="dxa"/>
            <w:tcBorders>
              <w:top w:val="single" w:sz="4" w:space="0" w:color="000000"/>
              <w:left w:val="nil"/>
              <w:bottom w:val="single" w:sz="4" w:space="0" w:color="000000"/>
              <w:right w:val="nil"/>
            </w:tcBorders>
          </w:tcPr>
          <w:p w:rsidR="000415D0" w:rsidRDefault="008E2CEA">
            <w:pPr>
              <w:spacing w:after="0"/>
              <w:ind w:left="57"/>
            </w:pPr>
            <w:r>
              <w:rPr>
                <w:rFonts w:ascii="Times New Roman" w:eastAsia="Times New Roman" w:hAnsi="Times New Roman" w:cs="Times New Roman"/>
                <w:sz w:val="16"/>
              </w:rPr>
              <w:t>60 мкг</w:t>
            </w:r>
          </w:p>
        </w:tc>
        <w:tc>
          <w:tcPr>
            <w:tcW w:w="2664" w:type="dxa"/>
            <w:tcBorders>
              <w:top w:val="single" w:sz="4" w:space="0" w:color="000000"/>
              <w:left w:val="nil"/>
              <w:bottom w:val="single" w:sz="4" w:space="0" w:color="000000"/>
              <w:right w:val="nil"/>
            </w:tcBorders>
          </w:tcPr>
          <w:p w:rsidR="000415D0" w:rsidRDefault="008E2CEA">
            <w:pPr>
              <w:spacing w:after="0"/>
            </w:pPr>
            <w:r>
              <w:rPr>
                <w:rFonts w:ascii="Times New Roman" w:eastAsia="Times New Roman" w:hAnsi="Times New Roman" w:cs="Times New Roman"/>
                <w:sz w:val="16"/>
              </w:rPr>
              <w:t>Десмопрессин для сублингвального применения</w:t>
            </w:r>
          </w:p>
        </w:tc>
      </w:tr>
      <w:tr w:rsidR="000415D0">
        <w:trPr>
          <w:trHeight w:val="476"/>
        </w:trPr>
        <w:tc>
          <w:tcPr>
            <w:tcW w:w="2041" w:type="dxa"/>
            <w:tcBorders>
              <w:top w:val="single" w:sz="4" w:space="0" w:color="000000"/>
              <w:left w:val="nil"/>
              <w:bottom w:val="single" w:sz="16" w:space="0" w:color="000000"/>
              <w:right w:val="nil"/>
            </w:tcBorders>
          </w:tcPr>
          <w:p w:rsidR="000415D0" w:rsidRDefault="008E2CEA">
            <w:pPr>
              <w:spacing w:after="0"/>
              <w:ind w:left="57" w:right="91"/>
            </w:pPr>
            <w:r>
              <w:rPr>
                <w:rFonts w:ascii="Times New Roman" w:eastAsia="Times New Roman" w:hAnsi="Times New Roman" w:cs="Times New Roman"/>
                <w:sz w:val="16"/>
              </w:rPr>
              <w:t>по 10 мкг (по 1 впрыску) в каждый носовой ход</w:t>
            </w:r>
          </w:p>
        </w:tc>
        <w:tc>
          <w:tcPr>
            <w:tcW w:w="2664" w:type="dxa"/>
            <w:tcBorders>
              <w:top w:val="single" w:sz="4" w:space="0" w:color="000000"/>
              <w:left w:val="nil"/>
              <w:bottom w:val="single" w:sz="16" w:space="0" w:color="000000"/>
              <w:right w:val="nil"/>
            </w:tcBorders>
          </w:tcPr>
          <w:p w:rsidR="000415D0" w:rsidRDefault="008E2CEA">
            <w:pPr>
              <w:spacing w:after="0"/>
            </w:pPr>
            <w:r>
              <w:rPr>
                <w:rFonts w:ascii="Times New Roman" w:eastAsia="Times New Roman" w:hAnsi="Times New Roman" w:cs="Times New Roman"/>
                <w:sz w:val="16"/>
              </w:rPr>
              <w:t xml:space="preserve">Десмопрессин в виде назального спрея </w:t>
            </w:r>
          </w:p>
        </w:tc>
      </w:tr>
    </w:tbl>
    <w:p w:rsidR="000415D0" w:rsidRDefault="008E2CEA">
      <w:pPr>
        <w:spacing w:after="222" w:line="260" w:lineRule="auto"/>
        <w:ind w:left="-15" w:firstLine="340"/>
        <w:jc w:val="both"/>
      </w:pPr>
      <w:r>
        <w:rPr>
          <w:rFonts w:ascii="Times New Roman" w:eastAsia="Times New Roman" w:hAnsi="Times New Roman" w:cs="Times New Roman"/>
          <w:i/>
          <w:sz w:val="16"/>
        </w:rPr>
        <w:t xml:space="preserve">Примечание: </w:t>
      </w:r>
      <w:r>
        <w:rPr>
          <w:rFonts w:ascii="Times New Roman" w:eastAsia="Times New Roman" w:hAnsi="Times New Roman" w:cs="Times New Roman"/>
          <w:sz w:val="16"/>
        </w:rPr>
        <w:t>для пациентов, имеющих КТ- или МР-признаки объемного образования гипоталамо-гипофизарной области или в анамнезе оперативное лечение опухоли гипоталамо-гипофизарной области, для постановки диагноза несахарного диабета проведение пробы с ограниче</w:t>
      </w:r>
      <w:r>
        <w:rPr>
          <w:rFonts w:ascii="Times New Roman" w:eastAsia="Times New Roman" w:hAnsi="Times New Roman" w:cs="Times New Roman"/>
          <w:sz w:val="16"/>
        </w:rPr>
        <w:t>нием жидкости не является обязательным. Достаточно наличия клинически явной полиурии, низкой относительной плотности мочи во всех пробах анализа мочи по Зимницкому и эффекта от введения десмопрессина.</w:t>
      </w:r>
    </w:p>
    <w:p w:rsidR="000415D0" w:rsidRDefault="008E2CEA">
      <w:pPr>
        <w:pStyle w:val="Heading2"/>
        <w:ind w:left="335" w:right="359"/>
      </w:pPr>
      <w:r>
        <w:t>СТГ-дефицит</w:t>
      </w:r>
    </w:p>
    <w:p w:rsidR="000415D0" w:rsidRDefault="008E2CEA">
      <w:pPr>
        <w:spacing w:after="2" w:line="254" w:lineRule="auto"/>
        <w:ind w:left="335" w:hanging="10"/>
      </w:pPr>
      <w:r>
        <w:rPr>
          <w:rFonts w:ascii="Times New Roman" w:eastAsia="Times New Roman" w:hAnsi="Times New Roman" w:cs="Times New Roman"/>
          <w:i/>
          <w:sz w:val="20"/>
        </w:rPr>
        <w:t>ИФР-I</w:t>
      </w:r>
    </w:p>
    <w:p w:rsidR="000415D0" w:rsidRDefault="008E2CEA">
      <w:pPr>
        <w:spacing w:after="4" w:line="257" w:lineRule="auto"/>
        <w:ind w:left="-15" w:right="36" w:firstLine="330"/>
        <w:jc w:val="both"/>
      </w:pPr>
      <w:r>
        <w:rPr>
          <w:rFonts w:ascii="Times New Roman" w:eastAsia="Times New Roman" w:hAnsi="Times New Roman" w:cs="Times New Roman"/>
          <w:sz w:val="20"/>
        </w:rPr>
        <w:t>Низкая концентрация ИФР-I (ниже нижне</w:t>
      </w:r>
      <w:r>
        <w:rPr>
          <w:rFonts w:ascii="Times New Roman" w:eastAsia="Times New Roman" w:hAnsi="Times New Roman" w:cs="Times New Roman"/>
          <w:sz w:val="20"/>
        </w:rPr>
        <w:t>й границы референсных значений для соответствующего хронологического возраста и пола) только в совокупности с результатами СТГ-стимулирующих тестов подтверждает дефицит СТГ при исключении других причин низких значений данных показателей. Нормальные значени</w:t>
      </w:r>
      <w:r>
        <w:rPr>
          <w:rFonts w:ascii="Times New Roman" w:eastAsia="Times New Roman" w:hAnsi="Times New Roman" w:cs="Times New Roman"/>
          <w:sz w:val="20"/>
        </w:rPr>
        <w:t xml:space="preserve">я ИФР-I не исключают наличия соматотропной недостаточности. </w:t>
      </w:r>
      <w:r>
        <w:rPr>
          <w:rFonts w:ascii="Times New Roman" w:eastAsia="Times New Roman" w:hAnsi="Times New Roman" w:cs="Times New Roman"/>
          <w:i/>
          <w:sz w:val="20"/>
        </w:rPr>
        <w:t>СТГ-стимулирующие пробы</w:t>
      </w:r>
    </w:p>
    <w:p w:rsidR="000415D0" w:rsidRDefault="008E2CEA">
      <w:pPr>
        <w:spacing w:after="4" w:line="257" w:lineRule="auto"/>
        <w:ind w:left="-15" w:right="36" w:firstLine="330"/>
        <w:jc w:val="both"/>
      </w:pPr>
      <w:r>
        <w:rPr>
          <w:rFonts w:ascii="Times New Roman" w:eastAsia="Times New Roman" w:hAnsi="Times New Roman" w:cs="Times New Roman"/>
          <w:sz w:val="20"/>
        </w:rPr>
        <w:t>Критерием диагностики СТГ-дефицита являются результаты СТГ-стимулирующих проб.</w:t>
      </w:r>
    </w:p>
    <w:p w:rsidR="000415D0" w:rsidRDefault="008E2CEA">
      <w:pPr>
        <w:spacing w:after="4" w:line="257" w:lineRule="auto"/>
        <w:ind w:left="-15" w:right="36" w:firstLine="330"/>
        <w:jc w:val="both"/>
      </w:pPr>
      <w:r>
        <w:rPr>
          <w:rFonts w:ascii="Times New Roman" w:eastAsia="Times New Roman" w:hAnsi="Times New Roman" w:cs="Times New Roman"/>
          <w:sz w:val="20"/>
        </w:rPr>
        <w:t>— Однократное измерение базального уровня СТГ в крови, определение ночной спонтанной секреции</w:t>
      </w:r>
      <w:r>
        <w:rPr>
          <w:rFonts w:ascii="Times New Roman" w:eastAsia="Times New Roman" w:hAnsi="Times New Roman" w:cs="Times New Roman"/>
          <w:sz w:val="20"/>
        </w:rPr>
        <w:t xml:space="preserve"> СТГ не имеют диагностического значения [7].</w:t>
      </w:r>
    </w:p>
    <w:p w:rsidR="000415D0" w:rsidRDefault="008E2CEA">
      <w:pPr>
        <w:spacing w:after="4" w:line="257" w:lineRule="auto"/>
        <w:ind w:left="-15" w:right="36" w:firstLine="330"/>
        <w:jc w:val="both"/>
      </w:pPr>
      <w:r>
        <w:rPr>
          <w:rFonts w:ascii="Times New Roman" w:eastAsia="Times New Roman" w:hAnsi="Times New Roman" w:cs="Times New Roman"/>
          <w:sz w:val="20"/>
        </w:rPr>
        <w:t>— СТГ-стимулирующие пробы проводятся после комплексного обследования ребенка и исключения всех других возможных причин низкорослости: тяжелых соматических заболеваний, синдромальной и сопутствующей эндокринной п</w:t>
      </w:r>
      <w:r>
        <w:rPr>
          <w:rFonts w:ascii="Times New Roman" w:eastAsia="Times New Roman" w:hAnsi="Times New Roman" w:cs="Times New Roman"/>
          <w:sz w:val="20"/>
        </w:rPr>
        <w:t>атологии, костно-хрящевых дисплазий. Дефицит других тропных гормо-</w:t>
      </w:r>
    </w:p>
    <w:p w:rsidR="000415D0" w:rsidRDefault="000415D0">
      <w:pPr>
        <w:sectPr w:rsidR="000415D0">
          <w:type w:val="continuous"/>
          <w:pgSz w:w="11542" w:h="16474"/>
          <w:pgMar w:top="498" w:right="751" w:bottom="1414" w:left="754" w:header="720" w:footer="720" w:gutter="0"/>
          <w:cols w:num="2" w:space="183"/>
        </w:sectPr>
      </w:pPr>
    </w:p>
    <w:p w:rsidR="000415D0" w:rsidRDefault="008E2CEA">
      <w:pPr>
        <w:spacing w:after="3"/>
        <w:ind w:left="-676" w:hanging="10"/>
      </w:pPr>
      <w:r>
        <w:rPr>
          <w:rFonts w:ascii="Times New Roman" w:eastAsia="Times New Roman" w:hAnsi="Times New Roman" w:cs="Times New Roman"/>
          <w:b/>
          <w:i/>
          <w:sz w:val="16"/>
        </w:rPr>
        <w:t xml:space="preserve">Таблица 4. </w:t>
      </w:r>
      <w:r>
        <w:rPr>
          <w:b/>
          <w:sz w:val="16"/>
        </w:rPr>
        <w:t>СТГ-стимулирующие пробы, используемые для диагностики соматотропной недостаточности у детей</w:t>
      </w:r>
    </w:p>
    <w:tbl>
      <w:tblPr>
        <w:tblStyle w:val="TableGrid"/>
        <w:tblW w:w="9638" w:type="dxa"/>
        <w:tblInd w:w="-686" w:type="dxa"/>
        <w:tblCellMar>
          <w:top w:w="56" w:type="dxa"/>
          <w:left w:w="0" w:type="dxa"/>
          <w:bottom w:w="0" w:type="dxa"/>
          <w:right w:w="0" w:type="dxa"/>
        </w:tblCellMar>
        <w:tblLook w:val="04A0" w:firstRow="1" w:lastRow="0" w:firstColumn="1" w:lastColumn="0" w:noHBand="0" w:noVBand="1"/>
      </w:tblPr>
      <w:tblGrid>
        <w:gridCol w:w="20"/>
        <w:gridCol w:w="2134"/>
        <w:gridCol w:w="163"/>
        <w:gridCol w:w="2644"/>
        <w:gridCol w:w="2070"/>
        <w:gridCol w:w="571"/>
        <w:gridCol w:w="2016"/>
        <w:gridCol w:w="20"/>
      </w:tblGrid>
      <w:tr w:rsidR="000415D0">
        <w:trPr>
          <w:trHeight w:val="227"/>
        </w:trPr>
        <w:tc>
          <w:tcPr>
            <w:tcW w:w="2154" w:type="dxa"/>
            <w:gridSpan w:val="2"/>
            <w:tcBorders>
              <w:top w:val="single" w:sz="16" w:space="0" w:color="000000"/>
              <w:left w:val="nil"/>
              <w:bottom w:val="single" w:sz="4" w:space="0" w:color="000000"/>
              <w:right w:val="nil"/>
            </w:tcBorders>
          </w:tcPr>
          <w:p w:rsidR="000415D0" w:rsidRDefault="008E2CEA">
            <w:pPr>
              <w:spacing w:after="0"/>
              <w:ind w:right="57"/>
              <w:jc w:val="center"/>
            </w:pPr>
            <w:r>
              <w:rPr>
                <w:rFonts w:ascii="Times New Roman" w:eastAsia="Times New Roman" w:hAnsi="Times New Roman" w:cs="Times New Roman"/>
                <w:sz w:val="16"/>
              </w:rPr>
              <w:t>Фарм. препарат</w:t>
            </w:r>
          </w:p>
        </w:tc>
        <w:tc>
          <w:tcPr>
            <w:tcW w:w="2807" w:type="dxa"/>
            <w:gridSpan w:val="2"/>
            <w:tcBorders>
              <w:top w:val="single" w:sz="16" w:space="0" w:color="000000"/>
              <w:left w:val="nil"/>
              <w:bottom w:val="single" w:sz="4" w:space="0" w:color="000000"/>
              <w:right w:val="nil"/>
            </w:tcBorders>
          </w:tcPr>
          <w:p w:rsidR="000415D0" w:rsidRDefault="008E2CEA">
            <w:pPr>
              <w:spacing w:after="0"/>
              <w:ind w:right="84"/>
              <w:jc w:val="center"/>
            </w:pPr>
            <w:r>
              <w:rPr>
                <w:rFonts w:ascii="Times New Roman" w:eastAsia="Times New Roman" w:hAnsi="Times New Roman" w:cs="Times New Roman"/>
                <w:sz w:val="16"/>
              </w:rPr>
              <w:t>Доза, метод введения</w:t>
            </w:r>
          </w:p>
        </w:tc>
        <w:tc>
          <w:tcPr>
            <w:tcW w:w="2070" w:type="dxa"/>
            <w:tcBorders>
              <w:top w:val="single" w:sz="16" w:space="0" w:color="000000"/>
              <w:left w:val="nil"/>
              <w:bottom w:val="single" w:sz="4" w:space="0" w:color="000000"/>
              <w:right w:val="nil"/>
            </w:tcBorders>
          </w:tcPr>
          <w:p w:rsidR="000415D0" w:rsidRDefault="008E2CEA">
            <w:pPr>
              <w:spacing w:after="0"/>
              <w:ind w:left="87"/>
            </w:pPr>
            <w:r>
              <w:rPr>
                <w:rFonts w:ascii="Times New Roman" w:eastAsia="Times New Roman" w:hAnsi="Times New Roman" w:cs="Times New Roman"/>
                <w:sz w:val="16"/>
              </w:rPr>
              <w:t>Схема забора крови, мин</w:t>
            </w:r>
          </w:p>
        </w:tc>
        <w:tc>
          <w:tcPr>
            <w:tcW w:w="2607" w:type="dxa"/>
            <w:gridSpan w:val="3"/>
            <w:tcBorders>
              <w:top w:val="single" w:sz="16" w:space="0" w:color="000000"/>
              <w:left w:val="nil"/>
              <w:bottom w:val="single" w:sz="4" w:space="0" w:color="000000"/>
              <w:right w:val="nil"/>
            </w:tcBorders>
          </w:tcPr>
          <w:p w:rsidR="000415D0" w:rsidRDefault="008E2CEA">
            <w:pPr>
              <w:spacing w:after="0"/>
              <w:ind w:right="57"/>
              <w:jc w:val="center"/>
            </w:pPr>
            <w:r>
              <w:rPr>
                <w:rFonts w:ascii="Times New Roman" w:eastAsia="Times New Roman" w:hAnsi="Times New Roman" w:cs="Times New Roman"/>
                <w:sz w:val="16"/>
              </w:rPr>
              <w:t>Побочн</w:t>
            </w:r>
            <w:r>
              <w:rPr>
                <w:rFonts w:ascii="Times New Roman" w:eastAsia="Times New Roman" w:hAnsi="Times New Roman" w:cs="Times New Roman"/>
                <w:sz w:val="16"/>
              </w:rPr>
              <w:t>ые эффекты</w:t>
            </w:r>
          </w:p>
        </w:tc>
      </w:tr>
      <w:tr w:rsidR="000415D0">
        <w:trPr>
          <w:trHeight w:val="2311"/>
        </w:trPr>
        <w:tc>
          <w:tcPr>
            <w:tcW w:w="2154" w:type="dxa"/>
            <w:gridSpan w:val="2"/>
            <w:tcBorders>
              <w:top w:val="single" w:sz="4" w:space="0" w:color="000000"/>
              <w:left w:val="nil"/>
              <w:bottom w:val="single" w:sz="16" w:space="0" w:color="000000"/>
              <w:right w:val="nil"/>
            </w:tcBorders>
          </w:tcPr>
          <w:p w:rsidR="000415D0" w:rsidRDefault="008E2CEA">
            <w:pPr>
              <w:spacing w:after="219"/>
              <w:ind w:left="57"/>
            </w:pPr>
            <w:r>
              <w:rPr>
                <w:rFonts w:ascii="Times New Roman" w:eastAsia="Times New Roman" w:hAnsi="Times New Roman" w:cs="Times New Roman"/>
                <w:sz w:val="16"/>
              </w:rPr>
              <w:t>Клофелин</w:t>
            </w:r>
          </w:p>
          <w:p w:rsidR="000415D0" w:rsidRDefault="008E2CEA">
            <w:pPr>
              <w:spacing w:after="219"/>
              <w:ind w:left="57"/>
            </w:pPr>
            <w:r>
              <w:rPr>
                <w:rFonts w:ascii="Times New Roman" w:eastAsia="Times New Roman" w:hAnsi="Times New Roman" w:cs="Times New Roman"/>
                <w:sz w:val="16"/>
              </w:rPr>
              <w:t>Инсулин</w:t>
            </w:r>
          </w:p>
          <w:p w:rsidR="000415D0" w:rsidRDefault="008E2CEA">
            <w:pPr>
              <w:spacing w:after="603"/>
              <w:ind w:left="57"/>
            </w:pPr>
            <w:r>
              <w:rPr>
                <w:rFonts w:ascii="Times New Roman" w:eastAsia="Times New Roman" w:hAnsi="Times New Roman" w:cs="Times New Roman"/>
                <w:sz w:val="16"/>
              </w:rPr>
              <w:t>L-ДОПА</w:t>
            </w:r>
          </w:p>
          <w:p w:rsidR="000415D0" w:rsidRDefault="008E2CEA">
            <w:pPr>
              <w:spacing w:after="0"/>
              <w:ind w:left="57"/>
            </w:pPr>
            <w:r>
              <w:rPr>
                <w:rFonts w:ascii="Times New Roman" w:eastAsia="Times New Roman" w:hAnsi="Times New Roman" w:cs="Times New Roman"/>
                <w:sz w:val="16"/>
              </w:rPr>
              <w:t>Глюкагон (применяется только у детей до 6-летнего возраста)</w:t>
            </w:r>
          </w:p>
        </w:tc>
        <w:tc>
          <w:tcPr>
            <w:tcW w:w="2807" w:type="dxa"/>
            <w:gridSpan w:val="2"/>
            <w:tcBorders>
              <w:top w:val="single" w:sz="4" w:space="0" w:color="000000"/>
              <w:left w:val="nil"/>
              <w:bottom w:val="single" w:sz="16" w:space="0" w:color="000000"/>
              <w:right w:val="nil"/>
            </w:tcBorders>
          </w:tcPr>
          <w:p w:rsidR="000415D0" w:rsidRDefault="008E2CEA">
            <w:pPr>
              <w:spacing w:after="14" w:line="277" w:lineRule="auto"/>
              <w:ind w:right="1882"/>
            </w:pPr>
            <w:r>
              <w:rPr>
                <w:rFonts w:ascii="Times New Roman" w:eastAsia="Times New Roman" w:hAnsi="Times New Roman" w:cs="Times New Roman"/>
                <w:sz w:val="16"/>
              </w:rPr>
              <w:t>0,15 мг/м</w:t>
            </w:r>
            <w:r>
              <w:rPr>
                <w:rFonts w:ascii="Times New Roman" w:eastAsia="Times New Roman" w:hAnsi="Times New Roman" w:cs="Times New Roman"/>
                <w:sz w:val="14"/>
                <w:vertAlign w:val="superscript"/>
              </w:rPr>
              <w:t xml:space="preserve">2 </w:t>
            </w:r>
            <w:r>
              <w:rPr>
                <w:rFonts w:ascii="Times New Roman" w:eastAsia="Times New Roman" w:hAnsi="Times New Roman" w:cs="Times New Roman"/>
                <w:i/>
                <w:sz w:val="16"/>
              </w:rPr>
              <w:t>per os</w:t>
            </w:r>
          </w:p>
          <w:p w:rsidR="000415D0" w:rsidRDefault="008E2CEA">
            <w:pPr>
              <w:spacing w:after="36" w:line="249" w:lineRule="auto"/>
              <w:ind w:right="1924"/>
            </w:pPr>
            <w:r>
              <w:rPr>
                <w:rFonts w:ascii="Times New Roman" w:eastAsia="Times New Roman" w:hAnsi="Times New Roman" w:cs="Times New Roman"/>
                <w:sz w:val="16"/>
              </w:rPr>
              <w:t>0,1 Ед/кг в/в струйно</w:t>
            </w:r>
          </w:p>
          <w:p w:rsidR="000415D0" w:rsidRDefault="008E2CEA">
            <w:pPr>
              <w:spacing w:after="0"/>
            </w:pPr>
            <w:r>
              <w:rPr>
                <w:rFonts w:ascii="Times New Roman" w:eastAsia="Times New Roman" w:hAnsi="Times New Roman" w:cs="Times New Roman"/>
                <w:sz w:val="16"/>
              </w:rPr>
              <w:t>125 мг (при массе тела &lt;15 кг)</w:t>
            </w:r>
          </w:p>
          <w:p w:rsidR="000415D0" w:rsidRDefault="008E2CEA">
            <w:pPr>
              <w:spacing w:after="36" w:line="249" w:lineRule="auto"/>
              <w:ind w:right="453"/>
            </w:pPr>
            <w:r>
              <w:rPr>
                <w:rFonts w:ascii="Times New Roman" w:eastAsia="Times New Roman" w:hAnsi="Times New Roman" w:cs="Times New Roman"/>
                <w:sz w:val="16"/>
              </w:rPr>
              <w:t xml:space="preserve">250 мг (при массе тела 15–35 кг) 500 мг (при массе тела &gt; 35кг) </w:t>
            </w:r>
            <w:r>
              <w:rPr>
                <w:rFonts w:ascii="Times New Roman" w:eastAsia="Times New Roman" w:hAnsi="Times New Roman" w:cs="Times New Roman"/>
                <w:i/>
                <w:sz w:val="16"/>
              </w:rPr>
              <w:t>рer os</w:t>
            </w:r>
          </w:p>
          <w:p w:rsidR="000415D0" w:rsidRDefault="008E2CEA">
            <w:pPr>
              <w:spacing w:after="0"/>
            </w:pPr>
            <w:r>
              <w:rPr>
                <w:rFonts w:ascii="Times New Roman" w:eastAsia="Times New Roman" w:hAnsi="Times New Roman" w:cs="Times New Roman"/>
                <w:sz w:val="16"/>
              </w:rPr>
              <w:t xml:space="preserve">30 мкг/кг, но не больше 1 мг, п/к </w:t>
            </w:r>
          </w:p>
        </w:tc>
        <w:tc>
          <w:tcPr>
            <w:tcW w:w="2070" w:type="dxa"/>
            <w:tcBorders>
              <w:top w:val="single" w:sz="4" w:space="0" w:color="000000"/>
              <w:left w:val="nil"/>
              <w:bottom w:val="single" w:sz="16" w:space="0" w:color="000000"/>
              <w:right w:val="nil"/>
            </w:tcBorders>
          </w:tcPr>
          <w:p w:rsidR="000415D0" w:rsidRDefault="008E2CEA">
            <w:pPr>
              <w:spacing w:after="219"/>
              <w:ind w:left="29"/>
            </w:pPr>
            <w:r>
              <w:rPr>
                <w:rFonts w:ascii="Times New Roman" w:eastAsia="Times New Roman" w:hAnsi="Times New Roman" w:cs="Times New Roman"/>
                <w:sz w:val="16"/>
              </w:rPr>
              <w:t>0, 30, 60, 90, 120</w:t>
            </w:r>
          </w:p>
          <w:p w:rsidR="000415D0" w:rsidRDefault="008E2CEA">
            <w:pPr>
              <w:spacing w:after="219"/>
              <w:ind w:left="29"/>
            </w:pPr>
            <w:r>
              <w:rPr>
                <w:rFonts w:ascii="Times New Roman" w:eastAsia="Times New Roman" w:hAnsi="Times New Roman" w:cs="Times New Roman"/>
                <w:sz w:val="16"/>
              </w:rPr>
              <w:t>0, 15, 30, 45, 60, 90</w:t>
            </w:r>
          </w:p>
          <w:p w:rsidR="000415D0" w:rsidRDefault="008E2CEA">
            <w:pPr>
              <w:spacing w:after="603"/>
              <w:ind w:left="29"/>
            </w:pPr>
            <w:r>
              <w:rPr>
                <w:rFonts w:ascii="Times New Roman" w:eastAsia="Times New Roman" w:hAnsi="Times New Roman" w:cs="Times New Roman"/>
                <w:sz w:val="16"/>
              </w:rPr>
              <w:t>0, 30, 60, 90, 120</w:t>
            </w:r>
          </w:p>
          <w:p w:rsidR="000415D0" w:rsidRDefault="008E2CEA">
            <w:pPr>
              <w:spacing w:after="0"/>
              <w:ind w:left="29"/>
            </w:pPr>
            <w:r>
              <w:rPr>
                <w:rFonts w:ascii="Times New Roman" w:eastAsia="Times New Roman" w:hAnsi="Times New Roman" w:cs="Times New Roman"/>
                <w:sz w:val="16"/>
              </w:rPr>
              <w:t>0, 30, 60, 90, 120, 150</w:t>
            </w:r>
          </w:p>
        </w:tc>
        <w:tc>
          <w:tcPr>
            <w:tcW w:w="2607" w:type="dxa"/>
            <w:gridSpan w:val="3"/>
            <w:tcBorders>
              <w:top w:val="single" w:sz="4" w:space="0" w:color="000000"/>
              <w:left w:val="nil"/>
              <w:bottom w:val="single" w:sz="16" w:space="0" w:color="000000"/>
              <w:right w:val="nil"/>
            </w:tcBorders>
          </w:tcPr>
          <w:p w:rsidR="000415D0" w:rsidRDefault="008E2CEA">
            <w:pPr>
              <w:spacing w:after="210" w:line="272" w:lineRule="auto"/>
              <w:ind w:right="626"/>
            </w:pPr>
            <w:r>
              <w:rPr>
                <w:rFonts w:ascii="Times New Roman" w:eastAsia="Times New Roman" w:hAnsi="Times New Roman" w:cs="Times New Roman"/>
                <w:sz w:val="16"/>
              </w:rPr>
              <w:t>Сонливость, снижение АД, брадикардия Гипогликемия</w:t>
            </w:r>
          </w:p>
          <w:p w:rsidR="000415D0" w:rsidRDefault="008E2CEA">
            <w:pPr>
              <w:spacing w:after="228" w:line="249" w:lineRule="auto"/>
              <w:ind w:right="155"/>
            </w:pPr>
            <w:r>
              <w:rPr>
                <w:rFonts w:ascii="Times New Roman" w:eastAsia="Times New Roman" w:hAnsi="Times New Roman" w:cs="Times New Roman"/>
                <w:sz w:val="16"/>
              </w:rPr>
              <w:t>Тошнота, рвота, головокружение, головная боль, боли в животе</w:t>
            </w:r>
          </w:p>
          <w:p w:rsidR="000415D0" w:rsidRDefault="008E2CEA">
            <w:pPr>
              <w:spacing w:after="0"/>
            </w:pPr>
            <w:r>
              <w:rPr>
                <w:rFonts w:ascii="Times New Roman" w:eastAsia="Times New Roman" w:hAnsi="Times New Roman" w:cs="Times New Roman"/>
                <w:sz w:val="16"/>
              </w:rPr>
              <w:t>Тошнота, рвота, боли в жив</w:t>
            </w:r>
            <w:r>
              <w:rPr>
                <w:rFonts w:ascii="Times New Roman" w:eastAsia="Times New Roman" w:hAnsi="Times New Roman" w:cs="Times New Roman"/>
                <w:sz w:val="16"/>
              </w:rPr>
              <w:t>оте, повышение АД, тахикардия, гипогликемия</w:t>
            </w:r>
          </w:p>
        </w:tc>
      </w:tr>
      <w:tr w:rsidR="000415D0">
        <w:trPr>
          <w:trHeight w:val="600"/>
        </w:trPr>
        <w:tc>
          <w:tcPr>
            <w:tcW w:w="4961" w:type="dxa"/>
            <w:gridSpan w:val="4"/>
            <w:tcBorders>
              <w:top w:val="single" w:sz="16" w:space="0" w:color="000000"/>
              <w:left w:val="nil"/>
              <w:bottom w:val="nil"/>
              <w:right w:val="nil"/>
            </w:tcBorders>
            <w:vAlign w:val="center"/>
          </w:tcPr>
          <w:p w:rsidR="000415D0" w:rsidRDefault="008E2CEA">
            <w:pPr>
              <w:spacing w:after="0"/>
            </w:pPr>
            <w:r>
              <w:rPr>
                <w:rFonts w:ascii="Times New Roman" w:eastAsia="Times New Roman" w:hAnsi="Times New Roman" w:cs="Times New Roman"/>
                <w:i/>
                <w:sz w:val="14"/>
              </w:rPr>
              <w:t xml:space="preserve">Примечание: </w:t>
            </w:r>
          </w:p>
          <w:p w:rsidR="000415D0" w:rsidRDefault="008E2CEA">
            <w:pPr>
              <w:spacing w:after="0"/>
            </w:pPr>
            <w:r>
              <w:rPr>
                <w:rFonts w:ascii="Times New Roman" w:eastAsia="Times New Roman" w:hAnsi="Times New Roman" w:cs="Times New Roman"/>
                <w:sz w:val="14"/>
              </w:rPr>
              <w:t>ммоль/л или ее снижение на 50% от исходного уровня.</w:t>
            </w:r>
          </w:p>
        </w:tc>
        <w:tc>
          <w:tcPr>
            <w:tcW w:w="2070" w:type="dxa"/>
            <w:tcBorders>
              <w:top w:val="single" w:sz="16" w:space="0" w:color="000000"/>
              <w:left w:val="nil"/>
              <w:bottom w:val="nil"/>
              <w:right w:val="nil"/>
            </w:tcBorders>
          </w:tcPr>
          <w:p w:rsidR="000415D0" w:rsidRDefault="008E2CEA">
            <w:pPr>
              <w:spacing w:after="0"/>
              <w:ind w:left="-4155" w:right="-2607"/>
              <w:jc w:val="center"/>
            </w:pPr>
            <w:r>
              <w:rPr>
                <w:rFonts w:ascii="Times New Roman" w:eastAsia="Times New Roman" w:hAnsi="Times New Roman" w:cs="Times New Roman"/>
                <w:sz w:val="14"/>
              </w:rPr>
              <w:t xml:space="preserve">результаты пробы с инсулином считаются достоверными при достижении адекватной гипогликемии: концентрация глюкозы в плазме &lt; 2,5 </w:t>
            </w:r>
          </w:p>
        </w:tc>
        <w:tc>
          <w:tcPr>
            <w:tcW w:w="2607" w:type="dxa"/>
            <w:gridSpan w:val="3"/>
            <w:tcBorders>
              <w:top w:val="single" w:sz="16" w:space="0" w:color="000000"/>
              <w:left w:val="nil"/>
              <w:bottom w:val="nil"/>
              <w:right w:val="nil"/>
            </w:tcBorders>
          </w:tcPr>
          <w:p w:rsidR="000415D0" w:rsidRDefault="000415D0"/>
        </w:tc>
      </w:tr>
      <w:tr w:rsidR="000415D0">
        <w:trPr>
          <w:trHeight w:val="10395"/>
        </w:trPr>
        <w:tc>
          <w:tcPr>
            <w:tcW w:w="4961" w:type="dxa"/>
            <w:gridSpan w:val="4"/>
            <w:tcBorders>
              <w:top w:val="nil"/>
              <w:left w:val="nil"/>
              <w:bottom w:val="single" w:sz="4" w:space="0" w:color="000000"/>
              <w:right w:val="nil"/>
            </w:tcBorders>
            <w:vAlign w:val="center"/>
          </w:tcPr>
          <w:p w:rsidR="000415D0" w:rsidRDefault="008E2CEA">
            <w:pPr>
              <w:spacing w:after="0" w:line="249" w:lineRule="auto"/>
            </w:pPr>
            <w:r>
              <w:rPr>
                <w:rFonts w:ascii="Times New Roman" w:eastAsia="Times New Roman" w:hAnsi="Times New Roman" w:cs="Times New Roman"/>
                <w:sz w:val="20"/>
              </w:rPr>
              <w:t>нов, помимо дефицита СТГ, должен быть компенсирован.</w:t>
            </w:r>
          </w:p>
          <w:p w:rsidR="000415D0" w:rsidRDefault="008E2CEA">
            <w:pPr>
              <w:spacing w:after="0" w:line="249" w:lineRule="auto"/>
              <w:ind w:firstLine="340"/>
            </w:pPr>
            <w:r>
              <w:rPr>
                <w:rFonts w:ascii="Times New Roman" w:eastAsia="Times New Roman" w:hAnsi="Times New Roman" w:cs="Times New Roman"/>
                <w:sz w:val="20"/>
              </w:rPr>
              <w:t>— Диагностический уровень пика СТГ в крови составляет менее 10 нг/мл; тотальный дефицит СТГ менее 7 нг/мл, парциальный дефицит СТГ: 7–10 нг/мл.</w:t>
            </w:r>
          </w:p>
          <w:p w:rsidR="000415D0" w:rsidRDefault="008E2CEA">
            <w:pPr>
              <w:spacing w:after="0" w:line="249" w:lineRule="auto"/>
              <w:ind w:right="253" w:firstLine="340"/>
              <w:jc w:val="both"/>
            </w:pPr>
            <w:r>
              <w:rPr>
                <w:rFonts w:ascii="Times New Roman" w:eastAsia="Times New Roman" w:hAnsi="Times New Roman" w:cs="Times New Roman"/>
                <w:sz w:val="20"/>
              </w:rPr>
              <w:t>— Для провокационных проб используются клофелин, инсулин, L</w:t>
            </w:r>
            <w:r>
              <w:rPr>
                <w:rFonts w:ascii="Times New Roman" w:eastAsia="Times New Roman" w:hAnsi="Times New Roman" w:cs="Times New Roman"/>
                <w:sz w:val="20"/>
              </w:rPr>
              <w:t xml:space="preserve">-ДОПА, глюкагон </w:t>
            </w:r>
            <w:r>
              <w:rPr>
                <w:rFonts w:ascii="Times New Roman" w:eastAsia="Times New Roman" w:hAnsi="Times New Roman" w:cs="Times New Roman"/>
                <w:b/>
                <w:sz w:val="20"/>
              </w:rPr>
              <w:t>(табл. 4)</w:t>
            </w:r>
            <w:r>
              <w:rPr>
                <w:rFonts w:ascii="Times New Roman" w:eastAsia="Times New Roman" w:hAnsi="Times New Roman" w:cs="Times New Roman"/>
                <w:sz w:val="20"/>
              </w:rPr>
              <w:t>. В качестве первой пробы предпочтительнее использовать клофелин.</w:t>
            </w:r>
          </w:p>
          <w:p w:rsidR="000415D0" w:rsidRDefault="008E2CEA">
            <w:pPr>
              <w:spacing w:after="0" w:line="249" w:lineRule="auto"/>
              <w:ind w:right="253" w:firstLine="340"/>
              <w:jc w:val="both"/>
            </w:pPr>
            <w:r>
              <w:rPr>
                <w:rFonts w:ascii="Times New Roman" w:eastAsia="Times New Roman" w:hAnsi="Times New Roman" w:cs="Times New Roman"/>
                <w:sz w:val="20"/>
              </w:rPr>
              <w:t>— На фоне провокационной пробы с инсулином, целесообразно в каждой временной точке определение СТГ и кортизола (исключение/подтверждение сопутствующего гипокортицизм</w:t>
            </w:r>
            <w:r>
              <w:rPr>
                <w:rFonts w:ascii="Times New Roman" w:eastAsia="Times New Roman" w:hAnsi="Times New Roman" w:cs="Times New Roman"/>
                <w:sz w:val="20"/>
              </w:rPr>
              <w:t>а).</w:t>
            </w:r>
          </w:p>
          <w:p w:rsidR="000415D0" w:rsidRDefault="008E2CEA">
            <w:pPr>
              <w:spacing w:after="0" w:line="249" w:lineRule="auto"/>
              <w:ind w:firstLine="340"/>
            </w:pPr>
            <w:r>
              <w:rPr>
                <w:rFonts w:ascii="Times New Roman" w:eastAsia="Times New Roman" w:hAnsi="Times New Roman" w:cs="Times New Roman"/>
                <w:sz w:val="20"/>
              </w:rPr>
              <w:t>— Все модифицированные тесты (2–3 точки) не являются достоверными.</w:t>
            </w:r>
          </w:p>
          <w:p w:rsidR="000415D0" w:rsidRDefault="008E2CEA">
            <w:pPr>
              <w:spacing w:after="0" w:line="249" w:lineRule="auto"/>
              <w:ind w:right="253" w:firstLine="340"/>
              <w:jc w:val="both"/>
            </w:pPr>
            <w:r>
              <w:rPr>
                <w:rFonts w:ascii="Times New Roman" w:eastAsia="Times New Roman" w:hAnsi="Times New Roman" w:cs="Times New Roman"/>
                <w:sz w:val="20"/>
              </w:rPr>
              <w:t>— У детей до 5 лет следует избегать пробы с инсулином, при необходимости ее проведения доза инсулина должна быть снижена до 0,05–0,07 ЕД/кг. Проба с инсулином противопоказана при выраже</w:t>
            </w:r>
            <w:r>
              <w:rPr>
                <w:rFonts w:ascii="Times New Roman" w:eastAsia="Times New Roman" w:hAnsi="Times New Roman" w:cs="Times New Roman"/>
                <w:sz w:val="20"/>
              </w:rPr>
              <w:t>нной гипогликемии (базальный уровень сахара крови &lt;3 ммоль/л), эпилепсии и/или лечении ее в анамнезе, текущей терапии противоэпилептическими препаратами, патологии сердца. В этих случаях проводится проба с глюкагоном (применяется только у детей до 6-летнег</w:t>
            </w:r>
            <w:r>
              <w:rPr>
                <w:rFonts w:ascii="Times New Roman" w:eastAsia="Times New Roman" w:hAnsi="Times New Roman" w:cs="Times New Roman"/>
                <w:sz w:val="20"/>
              </w:rPr>
              <w:t>о возраста). Диагностический уровень СТГ-дефицита на пробе с глюкагоном: менее 7 нг/мл [8].</w:t>
            </w:r>
          </w:p>
          <w:p w:rsidR="000415D0" w:rsidRDefault="008E2CEA">
            <w:pPr>
              <w:spacing w:after="1" w:line="249" w:lineRule="auto"/>
              <w:ind w:right="71" w:firstLine="340"/>
            </w:pPr>
            <w:r>
              <w:rPr>
                <w:rFonts w:ascii="Times New Roman" w:eastAsia="Times New Roman" w:hAnsi="Times New Roman" w:cs="Times New Roman"/>
                <w:sz w:val="20"/>
              </w:rPr>
              <w:t>— При выявлении на первой пробе пика выброса СТГ &gt;10 нг/мл (для пробы с глюкагоном &gt;7 нг/мл) вторая проба не проводится, диагноз СТГ-дефицита исключается.</w:t>
            </w:r>
          </w:p>
          <w:p w:rsidR="000415D0" w:rsidRDefault="008E2CEA">
            <w:pPr>
              <w:spacing w:after="0" w:line="249" w:lineRule="auto"/>
              <w:ind w:right="256" w:firstLine="340"/>
              <w:jc w:val="both"/>
            </w:pPr>
            <w:r>
              <w:rPr>
                <w:rFonts w:ascii="Times New Roman" w:eastAsia="Times New Roman" w:hAnsi="Times New Roman" w:cs="Times New Roman"/>
                <w:sz w:val="20"/>
              </w:rPr>
              <w:t xml:space="preserve">— Вторая </w:t>
            </w:r>
            <w:r>
              <w:rPr>
                <w:rFonts w:ascii="Times New Roman" w:eastAsia="Times New Roman" w:hAnsi="Times New Roman" w:cs="Times New Roman"/>
                <w:sz w:val="20"/>
              </w:rPr>
              <w:t xml:space="preserve">СТГ-стимулирующая проба </w:t>
            </w:r>
            <w:r>
              <w:rPr>
                <w:rFonts w:ascii="Times New Roman" w:eastAsia="Times New Roman" w:hAnsi="Times New Roman" w:cs="Times New Roman"/>
                <w:i/>
                <w:sz w:val="20"/>
              </w:rPr>
              <w:t>с другим фармакологическим стимулятором</w:t>
            </w:r>
            <w:r>
              <w:rPr>
                <w:rFonts w:ascii="Times New Roman" w:eastAsia="Times New Roman" w:hAnsi="Times New Roman" w:cs="Times New Roman"/>
                <w:sz w:val="20"/>
              </w:rPr>
              <w:t xml:space="preserve"> СТГ проводится не ранее чем через 48 ч после первой.</w:t>
            </w:r>
          </w:p>
          <w:p w:rsidR="000415D0" w:rsidRDefault="008E2CEA">
            <w:pPr>
              <w:spacing w:after="0" w:line="249" w:lineRule="auto"/>
              <w:ind w:right="253" w:firstLine="340"/>
              <w:jc w:val="both"/>
            </w:pPr>
            <w:r>
              <w:rPr>
                <w:rFonts w:ascii="Times New Roman" w:eastAsia="Times New Roman" w:hAnsi="Times New Roman" w:cs="Times New Roman"/>
                <w:sz w:val="20"/>
              </w:rPr>
              <w:t>— У подростков с задержкой полового созревания (мальчики старше 13 лет, девочки старше 12 лет) при:</w:t>
            </w:r>
          </w:p>
          <w:p w:rsidR="000415D0" w:rsidRDefault="008E2CEA">
            <w:pPr>
              <w:spacing w:after="0" w:line="249" w:lineRule="auto"/>
              <w:ind w:right="253" w:firstLine="340"/>
              <w:jc w:val="both"/>
            </w:pPr>
            <w:r>
              <w:rPr>
                <w:rFonts w:ascii="Times New Roman" w:eastAsia="Times New Roman" w:hAnsi="Times New Roman" w:cs="Times New Roman"/>
                <w:sz w:val="20"/>
              </w:rPr>
              <w:t>— отсутствии вторичных половых признако</w:t>
            </w:r>
            <w:r>
              <w:rPr>
                <w:rFonts w:ascii="Times New Roman" w:eastAsia="Times New Roman" w:hAnsi="Times New Roman" w:cs="Times New Roman"/>
                <w:sz w:val="20"/>
              </w:rPr>
              <w:t>в и/или низком уровне тестостерона (у мальчиков)/эстрадиола (у девочек);</w:t>
            </w:r>
          </w:p>
          <w:p w:rsidR="000415D0" w:rsidRDefault="008E2CEA">
            <w:pPr>
              <w:spacing w:after="0"/>
              <w:ind w:firstLine="340"/>
              <w:jc w:val="both"/>
            </w:pPr>
            <w:r>
              <w:rPr>
                <w:rFonts w:ascii="Times New Roman" w:eastAsia="Times New Roman" w:hAnsi="Times New Roman" w:cs="Times New Roman"/>
                <w:sz w:val="20"/>
              </w:rPr>
              <w:t>— умеренном отставании в росте: SDS роста от –2,00 до –2,99;</w:t>
            </w:r>
          </w:p>
        </w:tc>
        <w:tc>
          <w:tcPr>
            <w:tcW w:w="4677" w:type="dxa"/>
            <w:gridSpan w:val="4"/>
            <w:tcBorders>
              <w:top w:val="nil"/>
              <w:left w:val="nil"/>
              <w:bottom w:val="single" w:sz="4" w:space="0" w:color="000000"/>
              <w:right w:val="nil"/>
            </w:tcBorders>
            <w:vAlign w:val="center"/>
          </w:tcPr>
          <w:p w:rsidR="000415D0" w:rsidRDefault="008E2CEA">
            <w:pPr>
              <w:spacing w:after="0"/>
              <w:ind w:right="18"/>
              <w:jc w:val="right"/>
            </w:pPr>
            <w:r>
              <w:rPr>
                <w:rFonts w:ascii="Times New Roman" w:eastAsia="Times New Roman" w:hAnsi="Times New Roman" w:cs="Times New Roman"/>
                <w:sz w:val="20"/>
              </w:rPr>
              <w:t>— отставании костного созревания на 0—3 года;</w:t>
            </w:r>
          </w:p>
          <w:p w:rsidR="000415D0" w:rsidRDefault="008E2CEA">
            <w:pPr>
              <w:spacing w:after="20" w:line="249" w:lineRule="auto"/>
              <w:ind w:left="-29" w:right="1" w:firstLine="340"/>
              <w:jc w:val="both"/>
            </w:pPr>
            <w:r>
              <w:rPr>
                <w:rFonts w:ascii="Times New Roman" w:eastAsia="Times New Roman" w:hAnsi="Times New Roman" w:cs="Times New Roman"/>
                <w:sz w:val="20"/>
              </w:rPr>
              <w:t>— отсутствии других (кроме СТГ) тропных недостаточностей в связи с высоким процентом ложноотрицательных результатов целесообразно следующее [9—13]:</w:t>
            </w:r>
          </w:p>
          <w:p w:rsidR="000415D0" w:rsidRDefault="008E2CEA">
            <w:pPr>
              <w:numPr>
                <w:ilvl w:val="0"/>
                <w:numId w:val="3"/>
              </w:numPr>
              <w:spacing w:after="16" w:line="253" w:lineRule="auto"/>
              <w:ind w:right="-1" w:firstLine="340"/>
              <w:jc w:val="both"/>
            </w:pPr>
            <w:r>
              <w:rPr>
                <w:rFonts w:ascii="Times New Roman" w:eastAsia="Times New Roman" w:hAnsi="Times New Roman" w:cs="Times New Roman"/>
                <w:b/>
                <w:sz w:val="20"/>
              </w:rPr>
              <w:t>у девочек</w:t>
            </w:r>
            <w:r>
              <w:rPr>
                <w:rFonts w:ascii="Times New Roman" w:eastAsia="Times New Roman" w:hAnsi="Times New Roman" w:cs="Times New Roman"/>
                <w:sz w:val="20"/>
              </w:rPr>
              <w:t>: может быть применен β-эстрадиол внутрь по 2 мг (1 мг при массе тела &lt;20 кг) в течение 2 дней, с приемом в вечерние часы, проба на стимуляцию СТГ проводится на утро 3-го дня;</w:t>
            </w:r>
          </w:p>
          <w:p w:rsidR="000415D0" w:rsidRDefault="008E2CEA">
            <w:pPr>
              <w:numPr>
                <w:ilvl w:val="0"/>
                <w:numId w:val="3"/>
              </w:numPr>
              <w:spacing w:after="0" w:line="252" w:lineRule="auto"/>
              <w:ind w:right="-1" w:firstLine="340"/>
              <w:jc w:val="both"/>
            </w:pPr>
            <w:r>
              <w:rPr>
                <w:rFonts w:ascii="Times New Roman" w:eastAsia="Times New Roman" w:hAnsi="Times New Roman" w:cs="Times New Roman"/>
                <w:b/>
                <w:sz w:val="20"/>
              </w:rPr>
              <w:t>у мальчиков</w:t>
            </w:r>
            <w:r>
              <w:rPr>
                <w:rFonts w:ascii="Times New Roman" w:eastAsia="Times New Roman" w:hAnsi="Times New Roman" w:cs="Times New Roman"/>
                <w:sz w:val="20"/>
              </w:rPr>
              <w:t>: может быть применена смесь эфиров тестостерона: однократное в/м вве</w:t>
            </w:r>
            <w:r>
              <w:rPr>
                <w:rFonts w:ascii="Times New Roman" w:eastAsia="Times New Roman" w:hAnsi="Times New Roman" w:cs="Times New Roman"/>
                <w:sz w:val="20"/>
              </w:rPr>
              <w:t>дение 100 мг (0,4 мл) Сустанона (Омнадрена) с проведением пробы на стимуляцию СТГ на 5–7-е сутки после инъекции;</w:t>
            </w:r>
          </w:p>
          <w:p w:rsidR="000415D0" w:rsidRDefault="008E2CEA">
            <w:pPr>
              <w:spacing w:after="10" w:line="249" w:lineRule="auto"/>
              <w:ind w:left="-29" w:firstLine="340"/>
              <w:jc w:val="both"/>
            </w:pPr>
            <w:r>
              <w:rPr>
                <w:rFonts w:ascii="Times New Roman" w:eastAsia="Times New Roman" w:hAnsi="Times New Roman" w:cs="Times New Roman"/>
                <w:sz w:val="20"/>
              </w:rPr>
              <w:t xml:space="preserve">— </w:t>
            </w:r>
            <w:r>
              <w:rPr>
                <w:rFonts w:ascii="Times New Roman" w:eastAsia="Times New Roman" w:hAnsi="Times New Roman" w:cs="Times New Roman"/>
                <w:b/>
                <w:sz w:val="20"/>
              </w:rPr>
              <w:t>альтернатива для мальчиков</w:t>
            </w:r>
            <w:r>
              <w:rPr>
                <w:rFonts w:ascii="Times New Roman" w:eastAsia="Times New Roman" w:hAnsi="Times New Roman" w:cs="Times New Roman"/>
                <w:sz w:val="20"/>
              </w:rPr>
              <w:t>: β-эстрадиол внутрь по 2 мг (1 мг при массе тела &lt;20 кг) в течение 2 дней с приемом в вечерние часы, проба на стим</w:t>
            </w:r>
            <w:r>
              <w:rPr>
                <w:rFonts w:ascii="Times New Roman" w:eastAsia="Times New Roman" w:hAnsi="Times New Roman" w:cs="Times New Roman"/>
                <w:sz w:val="20"/>
              </w:rPr>
              <w:t>уляцию СТГ проводится на утро 3-го дня.</w:t>
            </w:r>
          </w:p>
          <w:p w:rsidR="000415D0" w:rsidRDefault="008E2CEA">
            <w:pPr>
              <w:spacing w:after="105" w:line="249" w:lineRule="auto"/>
              <w:ind w:left="-29" w:firstLine="340"/>
              <w:jc w:val="both"/>
            </w:pPr>
            <w:r>
              <w:rPr>
                <w:rFonts w:ascii="Times New Roman" w:eastAsia="Times New Roman" w:hAnsi="Times New Roman" w:cs="Times New Roman"/>
                <w:i/>
                <w:sz w:val="16"/>
              </w:rPr>
              <w:t>Примечание</w:t>
            </w:r>
            <w:r>
              <w:rPr>
                <w:rFonts w:ascii="Times New Roman" w:eastAsia="Times New Roman" w:hAnsi="Times New Roman" w:cs="Times New Roman"/>
                <w:sz w:val="16"/>
              </w:rPr>
              <w:t>: как правило, необходимость насыщения половыми стероидами касается мальчиков, у которых чаще, чем у девочек, наблюдается конституциональная задержка роста и полового развития.</w:t>
            </w:r>
          </w:p>
          <w:p w:rsidR="000415D0" w:rsidRDefault="008E2CEA">
            <w:pPr>
              <w:spacing w:after="0" w:line="249" w:lineRule="auto"/>
              <w:ind w:left="-29" w:right="-2" w:firstLine="340"/>
              <w:jc w:val="both"/>
            </w:pPr>
            <w:r>
              <w:rPr>
                <w:rFonts w:ascii="Times New Roman" w:eastAsia="Times New Roman" w:hAnsi="Times New Roman" w:cs="Times New Roman"/>
                <w:sz w:val="20"/>
              </w:rPr>
              <w:t>— Тесты на стимуляцию СТГ проводятся в стационаре после ночного голодания по стандартному протоколу обученным персоналом в присутствии врача.</w:t>
            </w:r>
          </w:p>
          <w:p w:rsidR="000415D0" w:rsidRDefault="008E2CEA">
            <w:pPr>
              <w:spacing w:after="0" w:line="250" w:lineRule="auto"/>
              <w:ind w:left="-29" w:firstLine="340"/>
              <w:jc w:val="both"/>
            </w:pPr>
            <w:r>
              <w:rPr>
                <w:rFonts w:ascii="Times New Roman" w:eastAsia="Times New Roman" w:hAnsi="Times New Roman" w:cs="Times New Roman"/>
                <w:sz w:val="20"/>
              </w:rPr>
              <w:t xml:space="preserve">— Один СТГ-стимулирующий тест является достаточным при обязательном наличии </w:t>
            </w:r>
            <w:r>
              <w:rPr>
                <w:rFonts w:ascii="Times New Roman" w:eastAsia="Times New Roman" w:hAnsi="Times New Roman" w:cs="Times New Roman"/>
                <w:b/>
                <w:sz w:val="20"/>
              </w:rPr>
              <w:t>двух из</w:t>
            </w:r>
            <w:r>
              <w:rPr>
                <w:rFonts w:ascii="Times New Roman" w:eastAsia="Times New Roman" w:hAnsi="Times New Roman" w:cs="Times New Roman"/>
                <w:sz w:val="20"/>
              </w:rPr>
              <w:t xml:space="preserve"> </w:t>
            </w:r>
            <w:r>
              <w:rPr>
                <w:rFonts w:ascii="Times New Roman" w:eastAsia="Times New Roman" w:hAnsi="Times New Roman" w:cs="Times New Roman"/>
                <w:b/>
                <w:sz w:val="20"/>
              </w:rPr>
              <w:t>четырех</w:t>
            </w:r>
            <w:r>
              <w:rPr>
                <w:rFonts w:ascii="Times New Roman" w:eastAsia="Times New Roman" w:hAnsi="Times New Roman" w:cs="Times New Roman"/>
                <w:sz w:val="20"/>
              </w:rPr>
              <w:t xml:space="preserve"> условий </w:t>
            </w:r>
            <w:r>
              <w:rPr>
                <w:rFonts w:ascii="Times New Roman" w:eastAsia="Times New Roman" w:hAnsi="Times New Roman" w:cs="Times New Roman"/>
                <w:b/>
                <w:sz w:val="20"/>
              </w:rPr>
              <w:t>(рис. 1)</w:t>
            </w:r>
            <w:r>
              <w:rPr>
                <w:rFonts w:ascii="Times New Roman" w:eastAsia="Times New Roman" w:hAnsi="Times New Roman" w:cs="Times New Roman"/>
                <w:sz w:val="20"/>
              </w:rPr>
              <w:t>.</w:t>
            </w:r>
          </w:p>
          <w:p w:rsidR="000415D0" w:rsidRDefault="008E2CEA">
            <w:pPr>
              <w:spacing w:after="56" w:line="250" w:lineRule="auto"/>
              <w:ind w:left="-29" w:right="-1" w:firstLine="340"/>
              <w:jc w:val="both"/>
            </w:pPr>
            <w:r>
              <w:rPr>
                <w:rFonts w:ascii="Times New Roman" w:eastAsia="Times New Roman" w:hAnsi="Times New Roman" w:cs="Times New Roman"/>
                <w:sz w:val="20"/>
              </w:rPr>
              <w:t>— СТ</w:t>
            </w:r>
            <w:r>
              <w:rPr>
                <w:rFonts w:ascii="Times New Roman" w:eastAsia="Times New Roman" w:hAnsi="Times New Roman" w:cs="Times New Roman"/>
                <w:sz w:val="20"/>
              </w:rPr>
              <w:t xml:space="preserve">Г-стимулирующие тесты можно </w:t>
            </w:r>
            <w:r>
              <w:rPr>
                <w:rFonts w:ascii="Times New Roman" w:eastAsia="Times New Roman" w:hAnsi="Times New Roman" w:cs="Times New Roman"/>
                <w:b/>
                <w:sz w:val="20"/>
              </w:rPr>
              <w:t>не проводить</w:t>
            </w:r>
            <w:r>
              <w:rPr>
                <w:rFonts w:ascii="Times New Roman" w:eastAsia="Times New Roman" w:hAnsi="Times New Roman" w:cs="Times New Roman"/>
                <w:sz w:val="20"/>
              </w:rPr>
              <w:t xml:space="preserve"> при обязательном наличии </w:t>
            </w:r>
            <w:r>
              <w:rPr>
                <w:rFonts w:ascii="Times New Roman" w:eastAsia="Times New Roman" w:hAnsi="Times New Roman" w:cs="Times New Roman"/>
                <w:b/>
                <w:sz w:val="20"/>
              </w:rPr>
              <w:t>одного из</w:t>
            </w:r>
            <w:r>
              <w:rPr>
                <w:rFonts w:ascii="Times New Roman" w:eastAsia="Times New Roman" w:hAnsi="Times New Roman" w:cs="Times New Roman"/>
                <w:sz w:val="20"/>
              </w:rPr>
              <w:t xml:space="preserve"> </w:t>
            </w:r>
            <w:r>
              <w:rPr>
                <w:rFonts w:ascii="Times New Roman" w:eastAsia="Times New Roman" w:hAnsi="Times New Roman" w:cs="Times New Roman"/>
                <w:b/>
                <w:sz w:val="20"/>
              </w:rPr>
              <w:t>трех</w:t>
            </w:r>
            <w:r>
              <w:rPr>
                <w:rFonts w:ascii="Times New Roman" w:eastAsia="Times New Roman" w:hAnsi="Times New Roman" w:cs="Times New Roman"/>
                <w:sz w:val="20"/>
              </w:rPr>
              <w:t xml:space="preserve"> условий </w:t>
            </w:r>
            <w:r>
              <w:rPr>
                <w:rFonts w:ascii="Times New Roman" w:eastAsia="Times New Roman" w:hAnsi="Times New Roman" w:cs="Times New Roman"/>
                <w:b/>
                <w:sz w:val="20"/>
              </w:rPr>
              <w:t>(рис. 2)</w:t>
            </w:r>
            <w:r>
              <w:rPr>
                <w:rFonts w:ascii="Times New Roman" w:eastAsia="Times New Roman" w:hAnsi="Times New Roman" w:cs="Times New Roman"/>
                <w:sz w:val="20"/>
              </w:rPr>
              <w:t>.</w:t>
            </w:r>
          </w:p>
          <w:p w:rsidR="000415D0" w:rsidRDefault="008E2CEA">
            <w:pPr>
              <w:spacing w:after="18"/>
              <w:ind w:left="311"/>
            </w:pPr>
            <w:r>
              <w:rPr>
                <w:rFonts w:ascii="Times New Roman" w:eastAsia="Times New Roman" w:hAnsi="Times New Roman" w:cs="Times New Roman"/>
                <w:b/>
                <w:sz w:val="20"/>
              </w:rPr>
              <w:t>Молекулярно-генетическое исследование</w:t>
            </w:r>
          </w:p>
          <w:p w:rsidR="000415D0" w:rsidRDefault="008E2CEA">
            <w:pPr>
              <w:spacing w:after="0"/>
              <w:ind w:left="-29" w:right="-3" w:firstLine="340"/>
              <w:jc w:val="both"/>
            </w:pPr>
            <w:r>
              <w:rPr>
                <w:rFonts w:ascii="Times New Roman" w:eastAsia="Times New Roman" w:hAnsi="Times New Roman" w:cs="Times New Roman"/>
                <w:sz w:val="20"/>
              </w:rPr>
              <w:t>Молекулярно-генетическое исследование может быть проведено с целью поиска дефектов в генах, ассоциированных с формирова</w:t>
            </w:r>
            <w:r>
              <w:rPr>
                <w:rFonts w:ascii="Times New Roman" w:eastAsia="Times New Roman" w:hAnsi="Times New Roman" w:cs="Times New Roman"/>
                <w:sz w:val="20"/>
              </w:rPr>
              <w:t>нием гипоталамо-гипофизарной оси, регулирующих синтез и секрецию СТГ. В некоторых случаях (у детей младшего возраста, при невозможности проведения СТГ-стимулирующих проб и МРТ) молекулярно-генетическое исследование может быть единственным возможным методом</w:t>
            </w:r>
            <w:r>
              <w:rPr>
                <w:rFonts w:ascii="Times New Roman" w:eastAsia="Times New Roman" w:hAnsi="Times New Roman" w:cs="Times New Roman"/>
                <w:sz w:val="20"/>
              </w:rPr>
              <w:t xml:space="preserve"> своевременной диагностики ГП.</w:t>
            </w:r>
          </w:p>
        </w:tc>
      </w:tr>
      <w:tr w:rsidR="000415D0">
        <w:tblPrEx>
          <w:tblCellMar>
            <w:top w:w="103" w:type="dxa"/>
          </w:tblCellMar>
        </w:tblPrEx>
        <w:trPr>
          <w:gridBefore w:val="1"/>
          <w:gridAfter w:val="1"/>
          <w:wBefore w:w="20" w:type="dxa"/>
          <w:wAfter w:w="20" w:type="dxa"/>
          <w:trHeight w:val="405"/>
        </w:trPr>
        <w:tc>
          <w:tcPr>
            <w:tcW w:w="2297" w:type="dxa"/>
            <w:gridSpan w:val="2"/>
            <w:vMerge w:val="restart"/>
            <w:tcBorders>
              <w:top w:val="single" w:sz="16" w:space="0" w:color="D0D0D0"/>
              <w:left w:val="single" w:sz="16" w:space="0" w:color="D0D0D0"/>
              <w:bottom w:val="single" w:sz="16" w:space="0" w:color="D0D0D0"/>
              <w:right w:val="nil"/>
            </w:tcBorders>
          </w:tcPr>
          <w:p w:rsidR="000415D0" w:rsidRDefault="008E2CEA">
            <w:pPr>
              <w:spacing w:after="293"/>
              <w:ind w:right="160"/>
              <w:jc w:val="right"/>
            </w:pPr>
            <w:r>
              <w:rPr>
                <w:rFonts w:ascii="Times New Roman" w:eastAsia="Times New Roman" w:hAnsi="Times New Roman" w:cs="Times New Roman"/>
                <w:color w:val="181717"/>
                <w:sz w:val="14"/>
              </w:rPr>
              <w:t>I.</w:t>
            </w:r>
          </w:p>
          <w:p w:rsidR="000415D0" w:rsidRDefault="008E2CEA">
            <w:pPr>
              <w:spacing w:after="274"/>
              <w:ind w:right="103"/>
              <w:jc w:val="right"/>
            </w:pPr>
            <w:r>
              <w:rPr>
                <w:rFonts w:ascii="Times New Roman" w:eastAsia="Times New Roman" w:hAnsi="Times New Roman" w:cs="Times New Roman"/>
                <w:color w:val="181717"/>
                <w:sz w:val="14"/>
              </w:rPr>
              <w:t>II.</w:t>
            </w:r>
          </w:p>
          <w:p w:rsidR="000415D0" w:rsidRDefault="008E2CEA">
            <w:pPr>
              <w:spacing w:after="854"/>
              <w:ind w:right="46"/>
              <w:jc w:val="right"/>
            </w:pPr>
            <w:r>
              <w:rPr>
                <w:rFonts w:ascii="Times New Roman" w:eastAsia="Times New Roman" w:hAnsi="Times New Roman" w:cs="Times New Roman"/>
                <w:color w:val="181717"/>
                <w:sz w:val="14"/>
              </w:rPr>
              <w:t>III.</w:t>
            </w:r>
          </w:p>
          <w:p w:rsidR="000415D0" w:rsidRDefault="008E2CEA">
            <w:pPr>
              <w:spacing w:after="0"/>
              <w:ind w:right="78"/>
              <w:jc w:val="right"/>
            </w:pPr>
            <w:r>
              <w:rPr>
                <w:rFonts w:ascii="Times New Roman" w:eastAsia="Times New Roman" w:hAnsi="Times New Roman" w:cs="Times New Roman"/>
                <w:color w:val="181717"/>
                <w:sz w:val="14"/>
              </w:rPr>
              <w:t>IV.</w:t>
            </w:r>
          </w:p>
        </w:tc>
        <w:tc>
          <w:tcPr>
            <w:tcW w:w="5285" w:type="dxa"/>
            <w:gridSpan w:val="3"/>
            <w:tcBorders>
              <w:top w:val="single" w:sz="16" w:space="0" w:color="D0D0D0"/>
              <w:left w:val="single" w:sz="4" w:space="0" w:color="181717"/>
              <w:bottom w:val="single" w:sz="4" w:space="0" w:color="181717"/>
              <w:right w:val="single" w:sz="4" w:space="0" w:color="181717"/>
            </w:tcBorders>
            <w:vAlign w:val="center"/>
          </w:tcPr>
          <w:p w:rsidR="000415D0" w:rsidRDefault="008E2CEA">
            <w:pPr>
              <w:spacing w:after="0"/>
              <w:ind w:left="142"/>
            </w:pPr>
            <w:r>
              <w:rPr>
                <w:rFonts w:ascii="Times New Roman" w:eastAsia="Times New Roman" w:hAnsi="Times New Roman" w:cs="Times New Roman"/>
                <w:color w:val="181717"/>
                <w:sz w:val="14"/>
              </w:rPr>
              <w:t>значительный дефицит роста (&lt;–3 SDS)</w:t>
            </w:r>
          </w:p>
        </w:tc>
        <w:tc>
          <w:tcPr>
            <w:tcW w:w="2016" w:type="dxa"/>
            <w:vMerge w:val="restart"/>
            <w:tcBorders>
              <w:top w:val="single" w:sz="16" w:space="0" w:color="D0D0D0"/>
              <w:left w:val="nil"/>
              <w:bottom w:val="single" w:sz="16" w:space="0" w:color="D0D0D0"/>
              <w:right w:val="single" w:sz="16" w:space="0" w:color="D0D0D0"/>
            </w:tcBorders>
          </w:tcPr>
          <w:p w:rsidR="000415D0" w:rsidRDefault="000415D0"/>
        </w:tc>
      </w:tr>
      <w:tr w:rsidR="000415D0">
        <w:tblPrEx>
          <w:tblCellMar>
            <w:top w:w="103" w:type="dxa"/>
          </w:tblCellMar>
        </w:tblPrEx>
        <w:trPr>
          <w:gridBefore w:val="1"/>
          <w:gridAfter w:val="1"/>
          <w:wBefore w:w="20" w:type="dxa"/>
          <w:wAfter w:w="20" w:type="dxa"/>
          <w:trHeight w:val="2749"/>
        </w:trPr>
        <w:tc>
          <w:tcPr>
            <w:tcW w:w="0" w:type="auto"/>
            <w:gridSpan w:val="2"/>
            <w:vMerge/>
            <w:tcBorders>
              <w:top w:val="nil"/>
              <w:left w:val="single" w:sz="16" w:space="0" w:color="D0D0D0"/>
              <w:bottom w:val="single" w:sz="16" w:space="0" w:color="D0D0D0"/>
              <w:right w:val="nil"/>
            </w:tcBorders>
          </w:tcPr>
          <w:p w:rsidR="000415D0" w:rsidRDefault="000415D0"/>
        </w:tc>
        <w:tc>
          <w:tcPr>
            <w:tcW w:w="5285" w:type="dxa"/>
            <w:gridSpan w:val="3"/>
            <w:tcBorders>
              <w:top w:val="single" w:sz="4" w:space="0" w:color="181717"/>
              <w:left w:val="nil"/>
              <w:bottom w:val="single" w:sz="16" w:space="0" w:color="D0D0D0"/>
              <w:right w:val="nil"/>
            </w:tcBorders>
          </w:tcPr>
          <w:p w:rsidR="000415D0" w:rsidRDefault="000415D0">
            <w:pPr>
              <w:spacing w:after="0"/>
              <w:ind w:left="-3468" w:right="8752"/>
            </w:pPr>
          </w:p>
          <w:tbl>
            <w:tblPr>
              <w:tblStyle w:val="TableGrid"/>
              <w:tblW w:w="5285" w:type="dxa"/>
              <w:tblInd w:w="0" w:type="dxa"/>
              <w:tblCellMar>
                <w:top w:w="0" w:type="dxa"/>
                <w:left w:w="142" w:type="dxa"/>
                <w:bottom w:w="0" w:type="dxa"/>
                <w:right w:w="115" w:type="dxa"/>
              </w:tblCellMar>
              <w:tblLook w:val="04A0" w:firstRow="1" w:lastRow="0" w:firstColumn="1" w:lastColumn="0" w:noHBand="0" w:noVBand="1"/>
            </w:tblPr>
            <w:tblGrid>
              <w:gridCol w:w="5285"/>
            </w:tblGrid>
            <w:tr w:rsidR="000415D0">
              <w:trPr>
                <w:trHeight w:val="359"/>
              </w:trPr>
              <w:tc>
                <w:tcPr>
                  <w:tcW w:w="5285" w:type="dxa"/>
                  <w:tcBorders>
                    <w:top w:val="single" w:sz="4" w:space="0" w:color="181717"/>
                    <w:left w:val="single" w:sz="4" w:space="0" w:color="181717"/>
                    <w:bottom w:val="single" w:sz="4" w:space="0" w:color="181717"/>
                    <w:right w:val="single" w:sz="4" w:space="0" w:color="181717"/>
                  </w:tcBorders>
                  <w:vAlign w:val="center"/>
                </w:tcPr>
                <w:p w:rsidR="000415D0" w:rsidRDefault="008E2CEA">
                  <w:pPr>
                    <w:spacing w:after="0"/>
                  </w:pPr>
                  <w:r>
                    <w:rPr>
                      <w:rFonts w:ascii="Times New Roman" w:eastAsia="Times New Roman" w:hAnsi="Times New Roman" w:cs="Times New Roman"/>
                      <w:color w:val="181717"/>
                      <w:sz w:val="14"/>
                    </w:rPr>
                    <w:t>низкий уровень ИФР-I в крови</w:t>
                  </w:r>
                </w:p>
              </w:tc>
            </w:tr>
            <w:tr w:rsidR="000415D0">
              <w:trPr>
                <w:trHeight w:val="359"/>
              </w:trPr>
              <w:tc>
                <w:tcPr>
                  <w:tcW w:w="5285" w:type="dxa"/>
                  <w:tcBorders>
                    <w:top w:val="single" w:sz="4" w:space="0" w:color="181717"/>
                    <w:left w:val="single" w:sz="4" w:space="0" w:color="181717"/>
                    <w:bottom w:val="single" w:sz="4" w:space="0" w:color="181717"/>
                    <w:right w:val="single" w:sz="4" w:space="0" w:color="181717"/>
                  </w:tcBorders>
                  <w:vAlign w:val="center"/>
                </w:tcPr>
                <w:p w:rsidR="000415D0" w:rsidRDefault="008E2CEA">
                  <w:pPr>
                    <w:spacing w:after="0"/>
                  </w:pPr>
                  <w:r>
                    <w:rPr>
                      <w:rFonts w:ascii="Times New Roman" w:eastAsia="Times New Roman" w:hAnsi="Times New Roman" w:cs="Times New Roman"/>
                      <w:color w:val="181717"/>
                      <w:sz w:val="14"/>
                    </w:rPr>
                    <w:t>как минимум одна дополнительная (помимо СТГ) тропная недостаточность</w:t>
                  </w:r>
                </w:p>
              </w:tc>
            </w:tr>
            <w:tr w:rsidR="000415D0">
              <w:trPr>
                <w:trHeight w:val="1603"/>
              </w:trPr>
              <w:tc>
                <w:tcPr>
                  <w:tcW w:w="5285" w:type="dxa"/>
                  <w:tcBorders>
                    <w:top w:val="single" w:sz="4" w:space="0" w:color="181717"/>
                    <w:left w:val="single" w:sz="4" w:space="0" w:color="181717"/>
                    <w:bottom w:val="single" w:sz="4" w:space="0" w:color="181717"/>
                    <w:right w:val="single" w:sz="4" w:space="0" w:color="181717"/>
                  </w:tcBorders>
                  <w:vAlign w:val="center"/>
                </w:tcPr>
                <w:p w:rsidR="000415D0" w:rsidRDefault="008E2CEA">
                  <w:pPr>
                    <w:spacing w:after="0"/>
                  </w:pPr>
                  <w:r>
                    <w:rPr>
                      <w:rFonts w:ascii="Times New Roman" w:eastAsia="Times New Roman" w:hAnsi="Times New Roman" w:cs="Times New Roman"/>
                      <w:color w:val="181717"/>
                      <w:sz w:val="14"/>
                    </w:rPr>
                    <w:t>врожденный дефект гипоталамо-гипофизарной области по МРТ:</w:t>
                  </w:r>
                </w:p>
                <w:p w:rsidR="000415D0" w:rsidRDefault="008E2CEA">
                  <w:pPr>
                    <w:numPr>
                      <w:ilvl w:val="0"/>
                      <w:numId w:val="6"/>
                    </w:numPr>
                    <w:spacing w:after="0" w:line="249" w:lineRule="auto"/>
                    <w:ind w:right="504" w:hanging="137"/>
                  </w:pPr>
                  <w:r>
                    <w:rPr>
                      <w:rFonts w:ascii="Times New Roman" w:eastAsia="Times New Roman" w:hAnsi="Times New Roman" w:cs="Times New Roman"/>
                      <w:color w:val="181717"/>
                      <w:sz w:val="14"/>
                    </w:rPr>
                    <w:t>«триада» (гипоплазия аденогипофиза, эктопия нейрогипофиза,    аплазия/гипоплазия гипофизарной ножки) или</w:t>
                  </w:r>
                </w:p>
                <w:p w:rsidR="000415D0" w:rsidRDefault="008E2CEA">
                  <w:pPr>
                    <w:numPr>
                      <w:ilvl w:val="0"/>
                      <w:numId w:val="6"/>
                    </w:numPr>
                    <w:spacing w:after="0" w:line="249" w:lineRule="auto"/>
                    <w:ind w:right="504" w:hanging="137"/>
                  </w:pPr>
                  <w:r>
                    <w:rPr>
                      <w:rFonts w:ascii="Times New Roman" w:eastAsia="Times New Roman" w:hAnsi="Times New Roman" w:cs="Times New Roman"/>
                      <w:color w:val="181717"/>
                      <w:sz w:val="14"/>
                    </w:rPr>
                    <w:t>оперативное лечение опухоли гипоталамо-гипофизарной областив анамнезе</w:t>
                  </w:r>
                </w:p>
                <w:p w:rsidR="000415D0" w:rsidRDefault="008E2CEA">
                  <w:pPr>
                    <w:spacing w:after="0"/>
                    <w:ind w:left="1991"/>
                  </w:pPr>
                  <w:r>
                    <w:rPr>
                      <w:rFonts w:ascii="Times New Roman" w:eastAsia="Times New Roman" w:hAnsi="Times New Roman" w:cs="Times New Roman"/>
                      <w:color w:val="181717"/>
                      <w:sz w:val="14"/>
                    </w:rPr>
                    <w:t>или</w:t>
                  </w:r>
                </w:p>
                <w:p w:rsidR="000415D0" w:rsidRDefault="008E2CEA">
                  <w:pPr>
                    <w:numPr>
                      <w:ilvl w:val="0"/>
                      <w:numId w:val="6"/>
                    </w:numPr>
                    <w:spacing w:after="0"/>
                    <w:ind w:right="504" w:hanging="137"/>
                  </w:pPr>
                  <w:r>
                    <w:rPr>
                      <w:rFonts w:ascii="Times New Roman" w:eastAsia="Times New Roman" w:hAnsi="Times New Roman" w:cs="Times New Roman"/>
                      <w:color w:val="181717"/>
                      <w:sz w:val="14"/>
                    </w:rPr>
                    <w:t>облучение области «голова–шея» в анамнезе</w:t>
                  </w:r>
                </w:p>
              </w:tc>
            </w:tr>
          </w:tbl>
          <w:p w:rsidR="000415D0" w:rsidRDefault="000415D0"/>
        </w:tc>
        <w:tc>
          <w:tcPr>
            <w:tcW w:w="0" w:type="auto"/>
            <w:vMerge/>
            <w:tcBorders>
              <w:top w:val="nil"/>
              <w:left w:val="nil"/>
              <w:bottom w:val="single" w:sz="16" w:space="0" w:color="D0D0D0"/>
              <w:right w:val="single" w:sz="16" w:space="0" w:color="D0D0D0"/>
            </w:tcBorders>
          </w:tcPr>
          <w:p w:rsidR="000415D0" w:rsidRDefault="000415D0"/>
        </w:tc>
      </w:tr>
    </w:tbl>
    <w:p w:rsidR="000415D0" w:rsidRDefault="008E2CEA">
      <w:pPr>
        <w:spacing w:after="117"/>
        <w:ind w:left="-295" w:hanging="10"/>
      </w:pPr>
      <w:r>
        <w:rPr>
          <w:rFonts w:ascii="Times New Roman" w:eastAsia="Times New Roman" w:hAnsi="Times New Roman" w:cs="Times New Roman"/>
          <w:b/>
          <w:i/>
          <w:sz w:val="16"/>
        </w:rPr>
        <w:t>Рис. 1.</w:t>
      </w:r>
      <w:r>
        <w:rPr>
          <w:b/>
          <w:sz w:val="16"/>
        </w:rPr>
        <w:t xml:space="preserve"> Условия, позволяющие диагностировать СТГ-дефицит на основании одного СТГ-стимулирующего теста.</w:t>
      </w:r>
    </w:p>
    <w:tbl>
      <w:tblPr>
        <w:tblStyle w:val="TableGrid"/>
        <w:tblW w:w="9598" w:type="dxa"/>
        <w:tblInd w:w="-272" w:type="dxa"/>
        <w:tblCellMar>
          <w:top w:w="0" w:type="dxa"/>
          <w:left w:w="2046" w:type="dxa"/>
          <w:bottom w:w="167" w:type="dxa"/>
          <w:right w:w="115" w:type="dxa"/>
        </w:tblCellMar>
        <w:tblLook w:val="04A0" w:firstRow="1" w:lastRow="0" w:firstColumn="1" w:lastColumn="0" w:noHBand="0" w:noVBand="1"/>
      </w:tblPr>
      <w:tblGrid>
        <w:gridCol w:w="9598"/>
      </w:tblGrid>
      <w:tr w:rsidR="000415D0">
        <w:trPr>
          <w:trHeight w:val="4472"/>
        </w:trPr>
        <w:tc>
          <w:tcPr>
            <w:tcW w:w="9598" w:type="dxa"/>
            <w:tcBorders>
              <w:top w:val="single" w:sz="16" w:space="0" w:color="D0D0D0"/>
              <w:left w:val="single" w:sz="16" w:space="0" w:color="D0D0D0"/>
              <w:bottom w:val="single" w:sz="16" w:space="0" w:color="D0D0D0"/>
              <w:right w:val="single" w:sz="16" w:space="0" w:color="D0D0D0"/>
            </w:tcBorders>
            <w:vAlign w:val="bottom"/>
          </w:tcPr>
          <w:tbl>
            <w:tblPr>
              <w:tblStyle w:val="TableGrid"/>
              <w:tblpPr w:vertAnchor="text" w:tblpX="2302" w:tblpY="-957"/>
              <w:tblOverlap w:val="never"/>
              <w:tblW w:w="5285" w:type="dxa"/>
              <w:tblInd w:w="0" w:type="dxa"/>
              <w:tblCellMar>
                <w:top w:w="0" w:type="dxa"/>
                <w:left w:w="142" w:type="dxa"/>
                <w:bottom w:w="0" w:type="dxa"/>
                <w:right w:w="115" w:type="dxa"/>
              </w:tblCellMar>
              <w:tblLook w:val="04A0" w:firstRow="1" w:lastRow="0" w:firstColumn="1" w:lastColumn="0" w:noHBand="0" w:noVBand="1"/>
            </w:tblPr>
            <w:tblGrid>
              <w:gridCol w:w="5285"/>
            </w:tblGrid>
            <w:tr w:rsidR="000415D0">
              <w:trPr>
                <w:trHeight w:val="2258"/>
              </w:trPr>
              <w:tc>
                <w:tcPr>
                  <w:tcW w:w="5285" w:type="dxa"/>
                  <w:tcBorders>
                    <w:top w:val="single" w:sz="4" w:space="0" w:color="181717"/>
                    <w:left w:val="single" w:sz="4" w:space="0" w:color="181717"/>
                    <w:bottom w:val="single" w:sz="4" w:space="0" w:color="181717"/>
                    <w:right w:val="single" w:sz="4" w:space="0" w:color="181717"/>
                  </w:tcBorders>
                  <w:vAlign w:val="center"/>
                </w:tcPr>
                <w:p w:rsidR="000415D0" w:rsidRDefault="008E2CEA">
                  <w:pPr>
                    <w:spacing w:after="0"/>
                  </w:pPr>
                  <w:r>
                    <w:rPr>
                      <w:rFonts w:ascii="Times New Roman" w:eastAsia="Times New Roman" w:hAnsi="Times New Roman" w:cs="Times New Roman"/>
                      <w:color w:val="181717"/>
                      <w:sz w:val="14"/>
                    </w:rPr>
                    <w:t>обязательное наличие трех из четырех составляющих:</w:t>
                  </w:r>
                </w:p>
                <w:p w:rsidR="000415D0" w:rsidRDefault="008E2CEA">
                  <w:pPr>
                    <w:numPr>
                      <w:ilvl w:val="0"/>
                      <w:numId w:val="7"/>
                    </w:numPr>
                    <w:spacing w:after="0"/>
                    <w:ind w:hanging="146"/>
                  </w:pPr>
                  <w:r>
                    <w:rPr>
                      <w:rFonts w:ascii="Times New Roman" w:eastAsia="Times New Roman" w:hAnsi="Times New Roman" w:cs="Times New Roman"/>
                      <w:color w:val="181717"/>
                      <w:sz w:val="14"/>
                    </w:rPr>
                    <w:t>значительный дефицит роста (&lt;–3 SDS);</w:t>
                  </w:r>
                </w:p>
                <w:p w:rsidR="000415D0" w:rsidRDefault="008E2CEA">
                  <w:pPr>
                    <w:numPr>
                      <w:ilvl w:val="0"/>
                      <w:numId w:val="7"/>
                    </w:numPr>
                    <w:spacing w:after="0" w:line="249" w:lineRule="auto"/>
                    <w:ind w:hanging="146"/>
                  </w:pPr>
                  <w:r>
                    <w:rPr>
                      <w:rFonts w:ascii="Times New Roman" w:eastAsia="Times New Roman" w:hAnsi="Times New Roman" w:cs="Times New Roman"/>
                      <w:color w:val="181717"/>
                      <w:sz w:val="14"/>
                    </w:rPr>
                    <w:t>как минимум, одна дополнительная (помимо СТГ) тропнаянедостаточность;</w:t>
                  </w:r>
                </w:p>
                <w:p w:rsidR="000415D0" w:rsidRDefault="008E2CEA">
                  <w:pPr>
                    <w:numPr>
                      <w:ilvl w:val="0"/>
                      <w:numId w:val="7"/>
                    </w:numPr>
                    <w:spacing w:after="0"/>
                    <w:ind w:hanging="146"/>
                  </w:pPr>
                  <w:r>
                    <w:rPr>
                      <w:rFonts w:ascii="Times New Roman" w:eastAsia="Times New Roman" w:hAnsi="Times New Roman" w:cs="Times New Roman"/>
                      <w:color w:val="181717"/>
                      <w:sz w:val="14"/>
                    </w:rPr>
                    <w:t>низкая концентрация ИФР-I в крови;</w:t>
                  </w:r>
                </w:p>
                <w:p w:rsidR="000415D0" w:rsidRDefault="008E2CEA">
                  <w:pPr>
                    <w:numPr>
                      <w:ilvl w:val="0"/>
                      <w:numId w:val="7"/>
                    </w:numPr>
                    <w:spacing w:after="0" w:line="249" w:lineRule="auto"/>
                    <w:ind w:hanging="146"/>
                  </w:pPr>
                  <w:r>
                    <w:rPr>
                      <w:rFonts w:ascii="Times New Roman" w:eastAsia="Times New Roman" w:hAnsi="Times New Roman" w:cs="Times New Roman"/>
                      <w:color w:val="181717"/>
                      <w:sz w:val="14"/>
                    </w:rPr>
                    <w:t>врожденный дефект гипоталамо-гипофизарной области по данным МРТ: «триада»</w:t>
                  </w:r>
                </w:p>
                <w:p w:rsidR="000415D0" w:rsidRDefault="008E2CEA">
                  <w:pPr>
                    <w:spacing w:after="0"/>
                    <w:ind w:left="1991"/>
                  </w:pPr>
                  <w:r>
                    <w:rPr>
                      <w:rFonts w:ascii="Times New Roman" w:eastAsia="Times New Roman" w:hAnsi="Times New Roman" w:cs="Times New Roman"/>
                      <w:color w:val="181717"/>
                      <w:sz w:val="14"/>
                    </w:rPr>
                    <w:t>или</w:t>
                  </w:r>
                </w:p>
                <w:p w:rsidR="000415D0" w:rsidRDefault="008E2CEA">
                  <w:pPr>
                    <w:spacing w:after="0" w:line="249" w:lineRule="auto"/>
                    <w:ind w:right="506"/>
                  </w:pPr>
                  <w:r>
                    <w:rPr>
                      <w:rFonts w:ascii="Times New Roman" w:eastAsia="Times New Roman" w:hAnsi="Times New Roman" w:cs="Times New Roman"/>
                      <w:color w:val="181717"/>
                      <w:sz w:val="14"/>
                    </w:rPr>
                    <w:t xml:space="preserve">    оперативное лечение опухоли гипоталамо-гипофизарной области     в анамнезе</w:t>
                  </w:r>
                </w:p>
                <w:p w:rsidR="000415D0" w:rsidRDefault="008E2CEA">
                  <w:pPr>
                    <w:spacing w:after="0"/>
                    <w:ind w:left="1991"/>
                  </w:pPr>
                  <w:r>
                    <w:rPr>
                      <w:rFonts w:ascii="Times New Roman" w:eastAsia="Times New Roman" w:hAnsi="Times New Roman" w:cs="Times New Roman"/>
                      <w:color w:val="181717"/>
                      <w:sz w:val="14"/>
                    </w:rPr>
                    <w:t>или</w:t>
                  </w:r>
                </w:p>
                <w:p w:rsidR="000415D0" w:rsidRDefault="008E2CEA">
                  <w:pPr>
                    <w:spacing w:after="0"/>
                  </w:pPr>
                  <w:r>
                    <w:rPr>
                      <w:rFonts w:ascii="Times New Roman" w:eastAsia="Times New Roman" w:hAnsi="Times New Roman" w:cs="Times New Roman"/>
                      <w:color w:val="181717"/>
                      <w:sz w:val="14"/>
                    </w:rPr>
                    <w:t xml:space="preserve">    облучение области «голова–шея» в анамнезе</w:t>
                  </w:r>
                </w:p>
              </w:tc>
            </w:tr>
          </w:tbl>
          <w:p w:rsidR="000415D0" w:rsidRDefault="008E2CEA">
            <w:pPr>
              <w:spacing w:after="1527"/>
              <w:ind w:right="1895"/>
            </w:pPr>
            <w:r>
              <w:rPr>
                <w:rFonts w:ascii="Times New Roman" w:eastAsia="Times New Roman" w:hAnsi="Times New Roman" w:cs="Times New Roman"/>
                <w:color w:val="181717"/>
                <w:sz w:val="14"/>
              </w:rPr>
              <w:t>I.</w:t>
            </w:r>
          </w:p>
          <w:tbl>
            <w:tblPr>
              <w:tblStyle w:val="TableGrid"/>
              <w:tblpPr w:vertAnchor="text" w:tblpX="2302" w:tblpY="-306"/>
              <w:tblOverlap w:val="never"/>
              <w:tblW w:w="5285" w:type="dxa"/>
              <w:tblInd w:w="0" w:type="dxa"/>
              <w:tblCellMar>
                <w:top w:w="113" w:type="dxa"/>
                <w:left w:w="142" w:type="dxa"/>
                <w:bottom w:w="0" w:type="dxa"/>
                <w:right w:w="59" w:type="dxa"/>
              </w:tblCellMar>
              <w:tblLook w:val="04A0" w:firstRow="1" w:lastRow="0" w:firstColumn="1" w:lastColumn="0" w:noHBand="0" w:noVBand="1"/>
            </w:tblPr>
            <w:tblGrid>
              <w:gridCol w:w="5285"/>
            </w:tblGrid>
            <w:tr w:rsidR="000415D0">
              <w:trPr>
                <w:trHeight w:val="506"/>
              </w:trPr>
              <w:tc>
                <w:tcPr>
                  <w:tcW w:w="5285" w:type="dxa"/>
                  <w:tcBorders>
                    <w:top w:val="single" w:sz="4" w:space="0" w:color="181717"/>
                    <w:left w:val="single" w:sz="4" w:space="0" w:color="181717"/>
                    <w:bottom w:val="single" w:sz="4" w:space="0" w:color="181717"/>
                    <w:right w:val="single" w:sz="4" w:space="0" w:color="181717"/>
                  </w:tcBorders>
                </w:tcPr>
                <w:p w:rsidR="000415D0" w:rsidRDefault="008E2CEA">
                  <w:pPr>
                    <w:spacing w:after="0"/>
                  </w:pPr>
                  <w:r>
                    <w:rPr>
                      <w:rFonts w:ascii="Times New Roman" w:eastAsia="Times New Roman" w:hAnsi="Times New Roman" w:cs="Times New Roman"/>
                      <w:color w:val="181717"/>
                      <w:sz w:val="14"/>
                    </w:rPr>
                    <w:t>наличие у пациента мутаций генов, ассоциированных с развитием гипопитуитаризма (</w:t>
                  </w:r>
                  <w:r>
                    <w:rPr>
                      <w:rFonts w:ascii="Times New Roman" w:eastAsia="Times New Roman" w:hAnsi="Times New Roman" w:cs="Times New Roman"/>
                      <w:i/>
                      <w:color w:val="181717"/>
                      <w:sz w:val="14"/>
                    </w:rPr>
                    <w:t xml:space="preserve">GH1, GHRHR, HESX1; LHX3; PROP1; POU1F1[PIT1] </w:t>
                  </w:r>
                  <w:r>
                    <w:rPr>
                      <w:rFonts w:ascii="Times New Roman" w:eastAsia="Times New Roman" w:hAnsi="Times New Roman" w:cs="Times New Roman"/>
                      <w:color w:val="181717"/>
                      <w:sz w:val="14"/>
                    </w:rPr>
                    <w:t>и др.)</w:t>
                  </w:r>
                </w:p>
              </w:tc>
            </w:tr>
          </w:tbl>
          <w:p w:rsidR="000415D0" w:rsidRDefault="008E2CEA">
            <w:pPr>
              <w:spacing w:after="495"/>
              <w:ind w:right="1895"/>
            </w:pPr>
            <w:r>
              <w:rPr>
                <w:rFonts w:ascii="Times New Roman" w:eastAsia="Times New Roman" w:hAnsi="Times New Roman" w:cs="Times New Roman"/>
                <w:color w:val="181717"/>
                <w:sz w:val="14"/>
              </w:rPr>
              <w:t>II.</w:t>
            </w:r>
          </w:p>
          <w:tbl>
            <w:tblPr>
              <w:tblStyle w:val="TableGrid"/>
              <w:tblpPr w:vertAnchor="text" w:tblpX="2302" w:tblpY="-360"/>
              <w:tblOverlap w:val="never"/>
              <w:tblW w:w="5285" w:type="dxa"/>
              <w:tblInd w:w="0" w:type="dxa"/>
              <w:tblCellMar>
                <w:top w:w="0" w:type="dxa"/>
                <w:left w:w="140" w:type="dxa"/>
                <w:bottom w:w="0" w:type="dxa"/>
                <w:right w:w="115" w:type="dxa"/>
              </w:tblCellMar>
              <w:tblLook w:val="04A0" w:firstRow="1" w:lastRow="0" w:firstColumn="1" w:lastColumn="0" w:noHBand="0" w:noVBand="1"/>
            </w:tblPr>
            <w:tblGrid>
              <w:gridCol w:w="5285"/>
            </w:tblGrid>
            <w:tr w:rsidR="000415D0">
              <w:trPr>
                <w:trHeight w:val="1231"/>
              </w:trPr>
              <w:tc>
                <w:tcPr>
                  <w:tcW w:w="5285" w:type="dxa"/>
                  <w:tcBorders>
                    <w:top w:val="single" w:sz="4" w:space="0" w:color="181717"/>
                    <w:left w:val="single" w:sz="4" w:space="0" w:color="181717"/>
                    <w:bottom w:val="single" w:sz="4" w:space="0" w:color="181717"/>
                    <w:right w:val="single" w:sz="4" w:space="0" w:color="181717"/>
                  </w:tcBorders>
                  <w:vAlign w:val="center"/>
                </w:tcPr>
                <w:p w:rsidR="000415D0" w:rsidRDefault="008E2CEA">
                  <w:pPr>
                    <w:spacing w:after="24" w:line="249" w:lineRule="auto"/>
                    <w:ind w:left="2"/>
                  </w:pPr>
                  <w:r>
                    <w:rPr>
                      <w:rFonts w:ascii="Times New Roman" w:eastAsia="Times New Roman" w:hAnsi="Times New Roman" w:cs="Times New Roman"/>
                      <w:color w:val="181717"/>
                      <w:sz w:val="14"/>
                    </w:rPr>
                    <w:t>у детей до 3 лет (при обследовании по поводу спонтанных гипогликемий) при концентрации СТГ не выше 5 нг/мл на фоне гипо</w:t>
                  </w:r>
                  <w:r>
                    <w:rPr>
                      <w:rFonts w:ascii="Times New Roman" w:eastAsia="Times New Roman" w:hAnsi="Times New Roman" w:cs="Times New Roman"/>
                      <w:color w:val="181717"/>
                      <w:sz w:val="14"/>
                    </w:rPr>
                    <w:t>гликемии и наличии, как минимум, одной дополнительной (помимо СТГ) тропной недостаточности и/или «триады» на МРТ</w:t>
                  </w:r>
                </w:p>
                <w:p w:rsidR="000415D0" w:rsidRDefault="008E2CEA">
                  <w:pPr>
                    <w:spacing w:after="0"/>
                  </w:pPr>
                  <w:r>
                    <w:rPr>
                      <w:rFonts w:ascii="Times New Roman" w:eastAsia="Times New Roman" w:hAnsi="Times New Roman" w:cs="Times New Roman"/>
                      <w:i/>
                      <w:color w:val="181717"/>
                      <w:sz w:val="13"/>
                    </w:rPr>
                    <w:t>Примечание:</w:t>
                  </w:r>
                  <w:r>
                    <w:rPr>
                      <w:rFonts w:ascii="Times New Roman" w:eastAsia="Times New Roman" w:hAnsi="Times New Roman" w:cs="Times New Roman"/>
                      <w:color w:val="181717"/>
                      <w:sz w:val="13"/>
                    </w:rPr>
                    <w:t xml:space="preserve"> наличие только сниженной концентрации СТГ на фоне гипогликемии недостаточно для диагностики дефицита СТГ [14]</w:t>
                  </w:r>
                </w:p>
              </w:tc>
            </w:tr>
          </w:tbl>
          <w:p w:rsidR="000415D0" w:rsidRDefault="008E2CEA">
            <w:pPr>
              <w:spacing w:after="0"/>
              <w:ind w:right="1895"/>
            </w:pPr>
            <w:r>
              <w:rPr>
                <w:rFonts w:ascii="Times New Roman" w:eastAsia="Times New Roman" w:hAnsi="Times New Roman" w:cs="Times New Roman"/>
                <w:color w:val="181717"/>
                <w:sz w:val="14"/>
              </w:rPr>
              <w:t>III.</w:t>
            </w:r>
          </w:p>
        </w:tc>
      </w:tr>
    </w:tbl>
    <w:p w:rsidR="000415D0" w:rsidRDefault="008E2CEA">
      <w:pPr>
        <w:spacing w:after="3"/>
        <w:ind w:left="-295" w:hanging="10"/>
      </w:pPr>
      <w:r>
        <w:rPr>
          <w:rFonts w:ascii="Times New Roman" w:eastAsia="Times New Roman" w:hAnsi="Times New Roman" w:cs="Times New Roman"/>
          <w:b/>
          <w:i/>
          <w:sz w:val="16"/>
        </w:rPr>
        <w:t>Рис. 2.</w:t>
      </w:r>
      <w:r>
        <w:rPr>
          <w:b/>
          <w:sz w:val="16"/>
        </w:rPr>
        <w:t xml:space="preserve"> Условия, позволяющие диагностировать СТГ-дефицит без проведения СТГ-стимулирующих тестов.</w:t>
      </w:r>
    </w:p>
    <w:p w:rsidR="000415D0" w:rsidRDefault="000415D0">
      <w:pPr>
        <w:sectPr w:rsidR="000415D0">
          <w:type w:val="continuous"/>
          <w:pgSz w:w="11542" w:h="16474"/>
          <w:pgMar w:top="1435" w:right="1440" w:bottom="1291" w:left="1440" w:header="720" w:footer="720" w:gutter="0"/>
          <w:cols w:space="720"/>
        </w:sectPr>
      </w:pPr>
    </w:p>
    <w:p w:rsidR="000415D0" w:rsidRDefault="008E2CEA">
      <w:pPr>
        <w:pStyle w:val="Heading1"/>
        <w:ind w:left="747"/>
      </w:pPr>
      <w:r>
        <w:t>Лечение соматотропной недостаточности</w:t>
      </w:r>
    </w:p>
    <w:p w:rsidR="000415D0" w:rsidRDefault="008E2CEA">
      <w:pPr>
        <w:pStyle w:val="Heading2"/>
        <w:ind w:left="747" w:right="359"/>
      </w:pPr>
      <w:r>
        <w:t>Дозировка</w:t>
      </w:r>
    </w:p>
    <w:tbl>
      <w:tblPr>
        <w:tblStyle w:val="TableGrid"/>
        <w:tblpPr w:vertAnchor="page" w:horzAnchor="page" w:tblpX="1150" w:tblpY="498"/>
        <w:tblOverlap w:val="never"/>
        <w:tblW w:w="9638" w:type="dxa"/>
        <w:tblInd w:w="0" w:type="dxa"/>
        <w:tblCellMar>
          <w:top w:w="78" w:type="dxa"/>
          <w:left w:w="0" w:type="dxa"/>
          <w:bottom w:w="0" w:type="dxa"/>
          <w:right w:w="113" w:type="dxa"/>
        </w:tblCellMar>
        <w:tblLook w:val="04A0" w:firstRow="1" w:lastRow="0" w:firstColumn="1" w:lastColumn="0" w:noHBand="0" w:noVBand="1"/>
      </w:tblPr>
      <w:tblGrid>
        <w:gridCol w:w="8474"/>
        <w:gridCol w:w="1163"/>
      </w:tblGrid>
      <w:tr w:rsidR="000415D0">
        <w:trPr>
          <w:trHeight w:val="283"/>
        </w:trPr>
        <w:tc>
          <w:tcPr>
            <w:tcW w:w="8474" w:type="dxa"/>
            <w:tcBorders>
              <w:top w:val="nil"/>
              <w:left w:val="nil"/>
              <w:bottom w:val="nil"/>
              <w:right w:val="nil"/>
            </w:tcBorders>
            <w:shd w:val="clear" w:color="auto" w:fill="D0D0D0"/>
          </w:tcPr>
          <w:p w:rsidR="000415D0" w:rsidRDefault="008E2CEA">
            <w:pPr>
              <w:spacing w:after="0"/>
              <w:ind w:left="113"/>
            </w:pPr>
            <w:r>
              <w:rPr>
                <w:rFonts w:ascii="Times New Roman" w:eastAsia="Times New Roman" w:hAnsi="Times New Roman" w:cs="Times New Roman"/>
                <w:b/>
                <w:i/>
                <w:sz w:val="18"/>
              </w:rPr>
              <w:t xml:space="preserve">DOI: </w:t>
            </w:r>
            <w:r>
              <w:rPr>
                <w:rFonts w:ascii="Times New Roman" w:eastAsia="Times New Roman" w:hAnsi="Times New Roman" w:cs="Times New Roman"/>
                <w:i/>
                <w:sz w:val="18"/>
              </w:rPr>
              <w:t>https://doi.org/10.14341/probl</w:t>
            </w:r>
            <w:r>
              <w:rPr>
                <w:i/>
                <w:sz w:val="18"/>
              </w:rPr>
              <w:t>1</w:t>
            </w:r>
            <w:r>
              <w:rPr>
                <w:rFonts w:ascii="Times New Roman" w:eastAsia="Times New Roman" w:hAnsi="Times New Roman" w:cs="Times New Roman"/>
                <w:i/>
                <w:sz w:val="18"/>
              </w:rPr>
              <w:t>0091</w:t>
            </w:r>
          </w:p>
        </w:tc>
        <w:tc>
          <w:tcPr>
            <w:tcW w:w="1163" w:type="dxa"/>
            <w:tcBorders>
              <w:top w:val="nil"/>
              <w:left w:val="nil"/>
              <w:bottom w:val="nil"/>
              <w:right w:val="nil"/>
            </w:tcBorders>
            <w:shd w:val="clear" w:color="auto" w:fill="D0D0D0"/>
          </w:tcPr>
          <w:p w:rsidR="000415D0" w:rsidRDefault="008E2CEA">
            <w:pPr>
              <w:spacing w:after="0"/>
              <w:jc w:val="both"/>
            </w:pPr>
            <w:r>
              <w:rPr>
                <w:rFonts w:ascii="Times New Roman" w:eastAsia="Times New Roman" w:hAnsi="Times New Roman" w:cs="Times New Roman"/>
                <w:i/>
                <w:sz w:val="18"/>
              </w:rPr>
              <w:t>CONSENSUS</w:t>
            </w:r>
          </w:p>
        </w:tc>
      </w:tr>
    </w:tbl>
    <w:p w:rsidR="000415D0" w:rsidRDefault="008E2CEA">
      <w:pPr>
        <w:spacing w:after="4" w:line="257" w:lineRule="auto"/>
        <w:ind w:left="397" w:right="36" w:firstLine="330"/>
        <w:jc w:val="both"/>
      </w:pPr>
      <w:r>
        <w:rPr>
          <w:rFonts w:ascii="Times New Roman" w:eastAsia="Times New Roman" w:hAnsi="Times New Roman" w:cs="Times New Roman"/>
          <w:sz w:val="20"/>
        </w:rPr>
        <w:t>Доза соматропина при СТГ-дефиците у детей и подростков составляет 0,025–0,033 мг/кг/сут [15– 22]. При тотальной соматотропной недостаточности, особенно у детей младшего возраста, начинать терапию соматропином целесообразно с более низких доз: 25–50% от зам</w:t>
      </w:r>
      <w:r>
        <w:rPr>
          <w:rFonts w:ascii="Times New Roman" w:eastAsia="Times New Roman" w:hAnsi="Times New Roman" w:cs="Times New Roman"/>
          <w:sz w:val="20"/>
        </w:rPr>
        <w:t>естительной, постепенно увеличивая ее в течение 3—6 мес до оптимальной. У детей, имеющих дефицит роста при вступлении в пубертат, возможно увеличение дозы до 0,045– 0,05 мг/кг/сут [22].</w:t>
      </w:r>
    </w:p>
    <w:p w:rsidR="000415D0" w:rsidRDefault="008E2CEA">
      <w:pPr>
        <w:spacing w:after="163" w:line="257" w:lineRule="auto"/>
        <w:ind w:left="397" w:right="36" w:firstLine="330"/>
        <w:jc w:val="both"/>
      </w:pPr>
      <w:r>
        <w:rPr>
          <w:rFonts w:ascii="Times New Roman" w:eastAsia="Times New Roman" w:hAnsi="Times New Roman" w:cs="Times New Roman"/>
          <w:sz w:val="20"/>
        </w:rPr>
        <w:t>Соматропин вводится подкожно, регулярно, в соответствии с инструкцией по применению конкретного препарата.</w:t>
      </w:r>
    </w:p>
    <w:p w:rsidR="000415D0" w:rsidRDefault="008E2CEA">
      <w:pPr>
        <w:pStyle w:val="Heading2"/>
        <w:ind w:left="747" w:right="359"/>
      </w:pPr>
      <w:r>
        <w:t>Противопоказания</w:t>
      </w:r>
    </w:p>
    <w:p w:rsidR="000415D0" w:rsidRDefault="008E2CEA">
      <w:pPr>
        <w:spacing w:after="3"/>
        <w:ind w:left="10" w:right="-11" w:hanging="10"/>
        <w:jc w:val="right"/>
      </w:pPr>
      <w:r>
        <w:rPr>
          <w:rFonts w:ascii="Times New Roman" w:eastAsia="Times New Roman" w:hAnsi="Times New Roman" w:cs="Times New Roman"/>
          <w:sz w:val="20"/>
        </w:rPr>
        <w:t>Применение соматропина противопоказано при:</w:t>
      </w:r>
    </w:p>
    <w:p w:rsidR="000415D0" w:rsidRDefault="008E2CEA">
      <w:pPr>
        <w:spacing w:after="4" w:line="257" w:lineRule="auto"/>
        <w:ind w:left="-15" w:right="36" w:firstLine="330"/>
        <w:jc w:val="both"/>
      </w:pPr>
      <w:r>
        <w:rPr>
          <w:rFonts w:ascii="Times New Roman" w:eastAsia="Times New Roman" w:hAnsi="Times New Roman" w:cs="Times New Roman"/>
          <w:sz w:val="20"/>
        </w:rPr>
        <w:t>— закрытых зонах роста (в заместительных ростовых дозах);</w:t>
      </w:r>
    </w:p>
    <w:p w:rsidR="000415D0" w:rsidRDefault="008E2CEA">
      <w:pPr>
        <w:spacing w:after="4" w:line="257" w:lineRule="auto"/>
        <w:ind w:left="-15" w:right="36" w:firstLine="330"/>
        <w:jc w:val="both"/>
      </w:pPr>
      <w:r>
        <w:rPr>
          <w:rFonts w:ascii="Times New Roman" w:eastAsia="Times New Roman" w:hAnsi="Times New Roman" w:cs="Times New Roman"/>
          <w:sz w:val="20"/>
        </w:rPr>
        <w:t>— наличии активных злокачественных новообразований, прогрессирующем росте интракраниальных опухолей;</w:t>
      </w:r>
    </w:p>
    <w:p w:rsidR="000415D0" w:rsidRDefault="008E2CEA">
      <w:pPr>
        <w:spacing w:after="4" w:line="257" w:lineRule="auto"/>
        <w:ind w:left="-15" w:right="36" w:firstLine="330"/>
        <w:jc w:val="both"/>
      </w:pPr>
      <w:r>
        <w:rPr>
          <w:rFonts w:ascii="Times New Roman" w:eastAsia="Times New Roman" w:hAnsi="Times New Roman" w:cs="Times New Roman"/>
          <w:sz w:val="20"/>
        </w:rPr>
        <w:t>— гиперчувствительности к любым составляющим препарата или растворителя.</w:t>
      </w:r>
    </w:p>
    <w:p w:rsidR="000415D0" w:rsidRDefault="008E2CEA">
      <w:pPr>
        <w:spacing w:after="4" w:line="257" w:lineRule="auto"/>
        <w:ind w:left="-15" w:right="36" w:firstLine="330"/>
        <w:jc w:val="both"/>
      </w:pPr>
      <w:r>
        <w:rPr>
          <w:rFonts w:ascii="Times New Roman" w:eastAsia="Times New Roman" w:hAnsi="Times New Roman" w:cs="Times New Roman"/>
          <w:sz w:val="20"/>
        </w:rPr>
        <w:t xml:space="preserve">До начала назначения соматропина противоопухолевая терапия должна быть завершена. </w:t>
      </w:r>
      <w:r>
        <w:rPr>
          <w:rFonts w:ascii="Times New Roman" w:eastAsia="Times New Roman" w:hAnsi="Times New Roman" w:cs="Times New Roman"/>
          <w:sz w:val="20"/>
        </w:rPr>
        <w:t>Отсутствие роста внутричерепной опухоли или ее рецидива в течение 6—12 мес до начала лечения соматропином (доброкачественная опухоль) или 24 мес (злокачественная опухоль) должно быть документировано. Решение о начале заместительной терапии соматропином у д</w:t>
      </w:r>
      <w:r>
        <w:rPr>
          <w:rFonts w:ascii="Times New Roman" w:eastAsia="Times New Roman" w:hAnsi="Times New Roman" w:cs="Times New Roman"/>
          <w:sz w:val="20"/>
        </w:rPr>
        <w:t>етей с приобретенным ГП принимается совместно онкологом, нейрохирургом, эндокринологом, пациентом и его родителями/законными представителями.</w:t>
      </w:r>
    </w:p>
    <w:p w:rsidR="000415D0" w:rsidRDefault="008E2CEA">
      <w:pPr>
        <w:spacing w:after="4" w:line="257" w:lineRule="auto"/>
        <w:ind w:left="-15" w:right="36" w:firstLine="330"/>
        <w:jc w:val="both"/>
      </w:pPr>
      <w:r>
        <w:rPr>
          <w:rFonts w:ascii="Times New Roman" w:eastAsia="Times New Roman" w:hAnsi="Times New Roman" w:cs="Times New Roman"/>
          <w:sz w:val="20"/>
        </w:rPr>
        <w:t>Дети после операций по поводу опухолей мозга, получающие соматропин, должны наблюдаться эндокринологом совместно с</w:t>
      </w:r>
      <w:r>
        <w:rPr>
          <w:rFonts w:ascii="Times New Roman" w:eastAsia="Times New Roman" w:hAnsi="Times New Roman" w:cs="Times New Roman"/>
          <w:sz w:val="20"/>
        </w:rPr>
        <w:t xml:space="preserve"> онкологом и нейрохирургом.</w:t>
      </w:r>
    </w:p>
    <w:p w:rsidR="000415D0" w:rsidRDefault="008E2CEA">
      <w:pPr>
        <w:pStyle w:val="Heading2"/>
        <w:ind w:left="335" w:right="359"/>
      </w:pPr>
      <w:r>
        <w:t>Побочные эффекты</w:t>
      </w:r>
    </w:p>
    <w:p w:rsidR="000415D0" w:rsidRDefault="008E2CEA">
      <w:pPr>
        <w:spacing w:after="4" w:line="257" w:lineRule="auto"/>
        <w:ind w:left="-15" w:right="36" w:firstLine="330"/>
        <w:jc w:val="both"/>
      </w:pPr>
      <w:r>
        <w:rPr>
          <w:rFonts w:ascii="Times New Roman" w:eastAsia="Times New Roman" w:hAnsi="Times New Roman" w:cs="Times New Roman"/>
          <w:sz w:val="20"/>
        </w:rPr>
        <w:t>Многолетний отечественный и зарубежный опыт по изучению побочных эффектов применения соматропина у детей с дефицитом СТГ показал безопасность данного лечения. Выраженные побочные эффекты на фоне терапии соматроп</w:t>
      </w:r>
      <w:r>
        <w:rPr>
          <w:rFonts w:ascii="Times New Roman" w:eastAsia="Times New Roman" w:hAnsi="Times New Roman" w:cs="Times New Roman"/>
          <w:sz w:val="20"/>
        </w:rPr>
        <w:t>ином у детей очень редки [23, 24]. Они включают отеки, артралгию, доброкачественную внутричерепную гипертензию [25], препубертатную гинекомастию, сколиоз [26] и эпифизеолиз головки бедренной кости [27, 28]. Как правило, побочные явления наблюдаются через 2</w:t>
      </w:r>
      <w:r>
        <w:rPr>
          <w:rFonts w:ascii="Times New Roman" w:eastAsia="Times New Roman" w:hAnsi="Times New Roman" w:cs="Times New Roman"/>
          <w:sz w:val="20"/>
        </w:rPr>
        <w:t xml:space="preserve"> нед после начала терапии соматропином. При развитии побочных явлений может быть уменьшена доза соматропина (на 30–50%) либо лечение временно отменено (зависит от выраженности клинической картины) до полного исчезновения нежелательных симпт омов.</w:t>
      </w:r>
    </w:p>
    <w:p w:rsidR="000415D0" w:rsidRDefault="008E2CEA">
      <w:pPr>
        <w:spacing w:after="4" w:line="257" w:lineRule="auto"/>
        <w:ind w:left="-15" w:right="36" w:firstLine="330"/>
        <w:jc w:val="both"/>
      </w:pPr>
      <w:r>
        <w:rPr>
          <w:rFonts w:ascii="Times New Roman" w:eastAsia="Times New Roman" w:hAnsi="Times New Roman" w:cs="Times New Roman"/>
          <w:sz w:val="20"/>
        </w:rPr>
        <w:t>При отеке</w:t>
      </w:r>
      <w:r>
        <w:rPr>
          <w:rFonts w:ascii="Times New Roman" w:eastAsia="Times New Roman" w:hAnsi="Times New Roman" w:cs="Times New Roman"/>
          <w:sz w:val="20"/>
        </w:rPr>
        <w:t xml:space="preserve"> зрительного нерва лечение временно прекращают до полной нормализации картины глазного дна.</w:t>
      </w:r>
    </w:p>
    <w:p w:rsidR="000415D0" w:rsidRDefault="008E2CEA">
      <w:pPr>
        <w:spacing w:after="4" w:line="257" w:lineRule="auto"/>
        <w:ind w:left="-15" w:right="36" w:firstLine="330"/>
        <w:jc w:val="both"/>
      </w:pPr>
      <w:r>
        <w:rPr>
          <w:rFonts w:ascii="Times New Roman" w:eastAsia="Times New Roman" w:hAnsi="Times New Roman" w:cs="Times New Roman"/>
          <w:sz w:val="20"/>
        </w:rPr>
        <w:t>Если терапия была временно прекращена, лечение возобновляют в меньших дозах (50% от исходной) с постепенным (в течение 1–3 мес) возвращением к оптимальной.</w:t>
      </w:r>
    </w:p>
    <w:p w:rsidR="000415D0" w:rsidRDefault="008E2CEA">
      <w:pPr>
        <w:spacing w:after="333" w:line="257" w:lineRule="auto"/>
        <w:ind w:left="-15" w:right="36" w:firstLine="330"/>
        <w:jc w:val="both"/>
      </w:pPr>
      <w:r>
        <w:rPr>
          <w:rFonts w:ascii="Times New Roman" w:eastAsia="Times New Roman" w:hAnsi="Times New Roman" w:cs="Times New Roman"/>
          <w:sz w:val="20"/>
        </w:rPr>
        <w:t xml:space="preserve">Терапия </w:t>
      </w:r>
      <w:r>
        <w:rPr>
          <w:rFonts w:ascii="Times New Roman" w:eastAsia="Times New Roman" w:hAnsi="Times New Roman" w:cs="Times New Roman"/>
          <w:sz w:val="20"/>
        </w:rPr>
        <w:t>соматропином не увеличивает онкориски у детей, не имеющих дополнительных факторов онко-риска; может обладать легким или отсутствующим эффектом на увеличение частоты или ускорение развития вторичных опухолей у пациентов, ранее лечившихся по поводу рака, осо</w:t>
      </w:r>
      <w:r>
        <w:rPr>
          <w:rFonts w:ascii="Times New Roman" w:eastAsia="Times New Roman" w:hAnsi="Times New Roman" w:cs="Times New Roman"/>
          <w:sz w:val="20"/>
        </w:rPr>
        <w:t>бенно в случаях применения краниального облучения [23, 29–34].</w:t>
      </w:r>
    </w:p>
    <w:p w:rsidR="000415D0" w:rsidRDefault="008E2CEA">
      <w:pPr>
        <w:pStyle w:val="Heading2"/>
        <w:ind w:left="335" w:right="359"/>
      </w:pPr>
      <w:r>
        <w:t>Мониторинг детским эндокринологом</w:t>
      </w:r>
    </w:p>
    <w:p w:rsidR="000415D0" w:rsidRDefault="008E2CEA">
      <w:pPr>
        <w:spacing w:after="4" w:line="257" w:lineRule="auto"/>
        <w:ind w:left="-15" w:right="36" w:firstLine="330"/>
        <w:jc w:val="both"/>
      </w:pPr>
      <w:r>
        <w:rPr>
          <w:rFonts w:ascii="Times New Roman" w:eastAsia="Times New Roman" w:hAnsi="Times New Roman" w:cs="Times New Roman"/>
          <w:sz w:val="20"/>
        </w:rPr>
        <w:t>Мониторинг детей и подростков с ГП, получающих лечение соматропином, должен осуществляться регулярно детским эндокринологом по месту жительства. Кратность осмо</w:t>
      </w:r>
      <w:r>
        <w:rPr>
          <w:rFonts w:ascii="Times New Roman" w:eastAsia="Times New Roman" w:hAnsi="Times New Roman" w:cs="Times New Roman"/>
          <w:sz w:val="20"/>
        </w:rPr>
        <w:t>тра врача 1 раз в 3 мес (первые 6 мес), затем 1 раз в 6 мес. Основными параметрами мониторинга являются:</w:t>
      </w:r>
    </w:p>
    <w:p w:rsidR="000415D0" w:rsidRDefault="008E2CEA">
      <w:pPr>
        <w:spacing w:after="4" w:line="257" w:lineRule="auto"/>
        <w:ind w:left="-15" w:right="36" w:firstLine="330"/>
        <w:jc w:val="both"/>
      </w:pPr>
      <w:r>
        <w:rPr>
          <w:rFonts w:ascii="Times New Roman" w:eastAsia="Times New Roman" w:hAnsi="Times New Roman" w:cs="Times New Roman"/>
          <w:sz w:val="20"/>
        </w:rPr>
        <w:t>— определение ростового ответа на лечение соматропином;</w:t>
      </w:r>
    </w:p>
    <w:p w:rsidR="000415D0" w:rsidRDefault="008E2CEA">
      <w:pPr>
        <w:spacing w:after="4" w:line="257" w:lineRule="auto"/>
        <w:ind w:left="340" w:right="36"/>
        <w:jc w:val="both"/>
      </w:pPr>
      <w:r>
        <w:rPr>
          <w:rFonts w:ascii="Times New Roman" w:eastAsia="Times New Roman" w:hAnsi="Times New Roman" w:cs="Times New Roman"/>
          <w:sz w:val="20"/>
        </w:rPr>
        <w:t>— коррекция дозы соматропина;</w:t>
      </w:r>
    </w:p>
    <w:p w:rsidR="000415D0" w:rsidRDefault="008E2CEA">
      <w:pPr>
        <w:spacing w:after="4" w:line="257" w:lineRule="auto"/>
        <w:ind w:left="-15" w:right="36" w:firstLine="330"/>
        <w:jc w:val="both"/>
      </w:pPr>
      <w:r>
        <w:rPr>
          <w:rFonts w:ascii="Times New Roman" w:eastAsia="Times New Roman" w:hAnsi="Times New Roman" w:cs="Times New Roman"/>
          <w:sz w:val="20"/>
        </w:rPr>
        <w:t>— мониторинг за возможным присоединением дополнительных тропных н</w:t>
      </w:r>
      <w:r>
        <w:rPr>
          <w:rFonts w:ascii="Times New Roman" w:eastAsia="Times New Roman" w:hAnsi="Times New Roman" w:cs="Times New Roman"/>
          <w:sz w:val="20"/>
        </w:rPr>
        <w:t>едостаточностей, а при их наличии контроль их компенсации; — оценка побочных эффектов.</w:t>
      </w:r>
    </w:p>
    <w:p w:rsidR="000415D0" w:rsidRDefault="008E2CEA">
      <w:pPr>
        <w:spacing w:after="4" w:line="257" w:lineRule="auto"/>
        <w:ind w:left="-15" w:right="36" w:firstLine="330"/>
        <w:jc w:val="both"/>
      </w:pPr>
      <w:r>
        <w:rPr>
          <w:rFonts w:ascii="Times New Roman" w:eastAsia="Times New Roman" w:hAnsi="Times New Roman" w:cs="Times New Roman"/>
          <w:b/>
          <w:i/>
          <w:sz w:val="20"/>
        </w:rPr>
        <w:t>Антропометрия</w:t>
      </w:r>
      <w:r>
        <w:rPr>
          <w:rFonts w:ascii="Times New Roman" w:eastAsia="Times New Roman" w:hAnsi="Times New Roman" w:cs="Times New Roman"/>
          <w:i/>
          <w:sz w:val="20"/>
        </w:rPr>
        <w:t>.</w:t>
      </w:r>
      <w:r>
        <w:rPr>
          <w:rFonts w:ascii="Times New Roman" w:eastAsia="Times New Roman" w:hAnsi="Times New Roman" w:cs="Times New Roman"/>
          <w:sz w:val="20"/>
        </w:rPr>
        <w:t xml:space="preserve"> Антропометрические параметры мониторинга включают определение ростового ответа на лечение соматропином:</w:t>
      </w:r>
    </w:p>
    <w:p w:rsidR="000415D0" w:rsidRDefault="008E2CEA">
      <w:pPr>
        <w:spacing w:after="4" w:line="257" w:lineRule="auto"/>
        <w:ind w:left="340" w:right="36"/>
        <w:jc w:val="both"/>
      </w:pPr>
      <w:r>
        <w:rPr>
          <w:rFonts w:ascii="Times New Roman" w:eastAsia="Times New Roman" w:hAnsi="Times New Roman" w:cs="Times New Roman"/>
          <w:sz w:val="20"/>
        </w:rPr>
        <w:t>— увеличение абсолютных показателей роста;</w:t>
      </w:r>
    </w:p>
    <w:p w:rsidR="000415D0" w:rsidRDefault="008E2CEA">
      <w:pPr>
        <w:spacing w:after="4" w:line="257" w:lineRule="auto"/>
        <w:ind w:left="340" w:right="1841"/>
        <w:jc w:val="both"/>
      </w:pPr>
      <w:r>
        <w:rPr>
          <w:rFonts w:ascii="Times New Roman" w:eastAsia="Times New Roman" w:hAnsi="Times New Roman" w:cs="Times New Roman"/>
          <w:sz w:val="20"/>
        </w:rPr>
        <w:t>— динам</w:t>
      </w:r>
      <w:r>
        <w:rPr>
          <w:rFonts w:ascii="Times New Roman" w:eastAsia="Times New Roman" w:hAnsi="Times New Roman" w:cs="Times New Roman"/>
          <w:sz w:val="20"/>
        </w:rPr>
        <w:t>ика SDS роста; — динамика скорости роста.</w:t>
      </w:r>
    </w:p>
    <w:p w:rsidR="000415D0" w:rsidRDefault="008E2CEA">
      <w:pPr>
        <w:spacing w:after="4" w:line="257" w:lineRule="auto"/>
        <w:ind w:left="-15" w:right="36" w:firstLine="330"/>
        <w:jc w:val="both"/>
      </w:pPr>
      <w:r>
        <w:rPr>
          <w:rFonts w:ascii="Times New Roman" w:eastAsia="Times New Roman" w:hAnsi="Times New Roman" w:cs="Times New Roman"/>
          <w:b/>
          <w:i/>
          <w:sz w:val="20"/>
        </w:rPr>
        <w:t>Гормональный статус</w:t>
      </w:r>
      <w:r>
        <w:rPr>
          <w:rFonts w:ascii="Times New Roman" w:eastAsia="Times New Roman" w:hAnsi="Times New Roman" w:cs="Times New Roman"/>
          <w:i/>
          <w:sz w:val="20"/>
        </w:rPr>
        <w:t>.</w:t>
      </w:r>
      <w:r>
        <w:rPr>
          <w:rFonts w:ascii="Times New Roman" w:eastAsia="Times New Roman" w:hAnsi="Times New Roman" w:cs="Times New Roman"/>
          <w:sz w:val="20"/>
        </w:rPr>
        <w:t xml:space="preserve"> Гормональный мониторинг с частотой 1 раз в 6–12 мес включает контроль в крови уровней:</w:t>
      </w:r>
    </w:p>
    <w:p w:rsidR="000415D0" w:rsidRDefault="008E2CEA">
      <w:pPr>
        <w:spacing w:after="4" w:line="257" w:lineRule="auto"/>
        <w:ind w:left="340" w:right="36"/>
        <w:jc w:val="both"/>
      </w:pPr>
      <w:r>
        <w:rPr>
          <w:noProof/>
        </w:rPr>
        <mc:AlternateContent>
          <mc:Choice Requires="wpg">
            <w:drawing>
              <wp:anchor distT="0" distB="0" distL="114300" distR="114300" simplePos="0" relativeHeight="251661312" behindDoc="0" locked="0" layoutInCell="1" allowOverlap="1">
                <wp:simplePos x="0" y="0"/>
                <wp:positionH relativeFrom="page">
                  <wp:posOffset>478504</wp:posOffset>
                </wp:positionH>
                <wp:positionV relativeFrom="page">
                  <wp:posOffset>9641522</wp:posOffset>
                </wp:positionV>
                <wp:extent cx="6120003" cy="6350"/>
                <wp:effectExtent l="0" t="0" r="0" b="0"/>
                <wp:wrapTopAndBottom/>
                <wp:docPr id="17296" name="Group 17296"/>
                <wp:cNvGraphicFramePr/>
                <a:graphic xmlns:a="http://schemas.openxmlformats.org/drawingml/2006/main">
                  <a:graphicData uri="http://schemas.microsoft.com/office/word/2010/wordprocessingGroup">
                    <wpg:wgp>
                      <wpg:cNvGrpSpPr/>
                      <wpg:grpSpPr>
                        <a:xfrm>
                          <a:off x="0" y="0"/>
                          <a:ext cx="6120003" cy="6350"/>
                          <a:chOff x="0" y="0"/>
                          <a:chExt cx="6120003" cy="6350"/>
                        </a:xfrm>
                      </wpg:grpSpPr>
                      <wps:wsp>
                        <wps:cNvPr id="945" name="Shape 945"/>
                        <wps:cNvSpPr/>
                        <wps:spPr>
                          <a:xfrm>
                            <a:off x="0" y="0"/>
                            <a:ext cx="6120003" cy="0"/>
                          </a:xfrm>
                          <a:custGeom>
                            <a:avLst/>
                            <a:gdLst/>
                            <a:ahLst/>
                            <a:cxnLst/>
                            <a:rect l="0" t="0" r="0" b="0"/>
                            <a:pathLst>
                              <a:path w="6120003">
                                <a:moveTo>
                                  <a:pt x="0" y="0"/>
                                </a:moveTo>
                                <a:lnTo>
                                  <a:pt x="6120003"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7296" style="width:481.89pt;height:0.5pt;position:absolute;mso-position-horizontal-relative:page;mso-position-horizontal:absolute;margin-left:37.6775pt;mso-position-vertical-relative:page;margin-top:759.175pt;" coordsize="61200,63">
                <v:shape id="Shape 945" style="position:absolute;width:61200;height:0;left:0;top:0;" coordsize="6120003,0" path="m0,0l6120003,0">
                  <v:stroke weight="0.5pt" endcap="flat" joinstyle="miter" miterlimit="4" on="true" color="#000000"/>
                  <v:fill on="false" color="#000000" opacity="0"/>
                </v:shape>
                <w10:wrap type="topAndBottom"/>
              </v:group>
            </w:pict>
          </mc:Fallback>
        </mc:AlternateContent>
      </w:r>
      <w:r>
        <w:rPr>
          <w:rFonts w:ascii="Times New Roman" w:eastAsia="Times New Roman" w:hAnsi="Times New Roman" w:cs="Times New Roman"/>
          <w:sz w:val="20"/>
        </w:rPr>
        <w:t>— свободного Т4;</w:t>
      </w:r>
    </w:p>
    <w:p w:rsidR="000415D0" w:rsidRDefault="008E2CEA">
      <w:pPr>
        <w:spacing w:after="4" w:line="257" w:lineRule="auto"/>
        <w:ind w:left="-15" w:right="402" w:firstLine="330"/>
        <w:jc w:val="both"/>
      </w:pPr>
      <w:r>
        <w:rPr>
          <w:rFonts w:ascii="Times New Roman" w:eastAsia="Times New Roman" w:hAnsi="Times New Roman" w:cs="Times New Roman"/>
          <w:sz w:val="20"/>
        </w:rPr>
        <w:t>— кортизола (за исключением пациентов с диагностированным гипокортицизмом и получающих заместительную терапию глюкокортикоидами);</w:t>
      </w:r>
    </w:p>
    <w:p w:rsidR="000415D0" w:rsidRDefault="008E2CEA">
      <w:pPr>
        <w:spacing w:after="4" w:line="257" w:lineRule="auto"/>
        <w:ind w:left="-15" w:right="401" w:firstLine="330"/>
        <w:jc w:val="both"/>
      </w:pPr>
      <w:r>
        <w:rPr>
          <w:rFonts w:ascii="Times New Roman" w:eastAsia="Times New Roman" w:hAnsi="Times New Roman" w:cs="Times New Roman"/>
          <w:sz w:val="20"/>
        </w:rPr>
        <w:t>— эстрадиола/тестостерона (у пациентов с диагностированным гипогонадизмом, получающих заместительную терапию половыми стероида</w:t>
      </w:r>
      <w:r>
        <w:rPr>
          <w:rFonts w:ascii="Times New Roman" w:eastAsia="Times New Roman" w:hAnsi="Times New Roman" w:cs="Times New Roman"/>
          <w:sz w:val="20"/>
        </w:rPr>
        <w:t>ми);</w:t>
      </w:r>
    </w:p>
    <w:p w:rsidR="000415D0" w:rsidRDefault="008E2CEA">
      <w:pPr>
        <w:spacing w:after="4" w:line="257" w:lineRule="auto"/>
        <w:ind w:left="-15" w:right="36" w:firstLine="330"/>
        <w:jc w:val="both"/>
      </w:pPr>
      <w:r>
        <w:rPr>
          <w:rFonts w:ascii="Times New Roman" w:eastAsia="Times New Roman" w:hAnsi="Times New Roman" w:cs="Times New Roman"/>
          <w:sz w:val="20"/>
        </w:rPr>
        <w:t>— инсулина (у подростков с избыточной массой тела) [35, 36];</w:t>
      </w:r>
    </w:p>
    <w:p w:rsidR="000415D0" w:rsidRDefault="008E2CEA">
      <w:pPr>
        <w:spacing w:after="4" w:line="257" w:lineRule="auto"/>
        <w:ind w:left="-15" w:right="399" w:firstLine="330"/>
        <w:jc w:val="both"/>
      </w:pPr>
      <w:r>
        <w:rPr>
          <w:rFonts w:ascii="Times New Roman" w:eastAsia="Times New Roman" w:hAnsi="Times New Roman" w:cs="Times New Roman"/>
          <w:sz w:val="20"/>
        </w:rPr>
        <w:t>— ИФР-I (целевой уровень на фоне терапии соматропином не должен превышать верхней границы референсных значений для соответствующего возраста и пола) [26, 37].</w:t>
      </w:r>
    </w:p>
    <w:p w:rsidR="000415D0" w:rsidRDefault="008E2CEA">
      <w:pPr>
        <w:spacing w:after="0"/>
        <w:ind w:left="340"/>
      </w:pPr>
      <w:r>
        <w:rPr>
          <w:rFonts w:ascii="Times New Roman" w:eastAsia="Times New Roman" w:hAnsi="Times New Roman" w:cs="Times New Roman"/>
          <w:b/>
          <w:i/>
          <w:sz w:val="20"/>
        </w:rPr>
        <w:t>Биохимические показатели:</w:t>
      </w:r>
    </w:p>
    <w:p w:rsidR="000415D0" w:rsidRDefault="008E2CEA">
      <w:pPr>
        <w:spacing w:after="4" w:line="257" w:lineRule="auto"/>
        <w:ind w:left="-15" w:right="36" w:firstLine="330"/>
        <w:jc w:val="both"/>
      </w:pPr>
      <w:r>
        <w:rPr>
          <w:rFonts w:ascii="Times New Roman" w:eastAsia="Times New Roman" w:hAnsi="Times New Roman" w:cs="Times New Roman"/>
          <w:sz w:val="20"/>
        </w:rPr>
        <w:t>— глю</w:t>
      </w:r>
      <w:r>
        <w:rPr>
          <w:rFonts w:ascii="Times New Roman" w:eastAsia="Times New Roman" w:hAnsi="Times New Roman" w:cs="Times New Roman"/>
          <w:sz w:val="20"/>
        </w:rPr>
        <w:t>коза, АЛТ, АСТ, общий билирубин, белок — 1 раз в 12 мес;</w:t>
      </w:r>
    </w:p>
    <w:p w:rsidR="000415D0" w:rsidRDefault="008E2CEA">
      <w:pPr>
        <w:spacing w:after="5" w:line="249" w:lineRule="auto"/>
        <w:ind w:left="-15" w:right="219" w:firstLine="330"/>
      </w:pPr>
      <w:r>
        <w:rPr>
          <w:rFonts w:ascii="Times New Roman" w:eastAsia="Times New Roman" w:hAnsi="Times New Roman" w:cs="Times New Roman"/>
          <w:sz w:val="20"/>
        </w:rPr>
        <w:t>— гликированный гемоглобин — у пациентов, находящихся в группе риска развития сахарного диабета (имеющих нарушенную толерантность к глюкозе, избыточную массу тела/ожирение, отягощенную наследственнос</w:t>
      </w:r>
      <w:r>
        <w:rPr>
          <w:rFonts w:ascii="Times New Roman" w:eastAsia="Times New Roman" w:hAnsi="Times New Roman" w:cs="Times New Roman"/>
          <w:sz w:val="20"/>
        </w:rPr>
        <w:t>ть) — 1 раз в 12 мес [23, 38, 39].</w:t>
      </w:r>
    </w:p>
    <w:p w:rsidR="000415D0" w:rsidRDefault="008E2CEA">
      <w:pPr>
        <w:spacing w:after="0"/>
        <w:ind w:right="284"/>
        <w:jc w:val="center"/>
      </w:pPr>
      <w:r>
        <w:rPr>
          <w:rFonts w:ascii="Times New Roman" w:eastAsia="Times New Roman" w:hAnsi="Times New Roman" w:cs="Times New Roman"/>
          <w:b/>
          <w:i/>
          <w:sz w:val="20"/>
        </w:rPr>
        <w:t>Клинический анализ крови, мочи</w:t>
      </w:r>
      <w:r>
        <w:rPr>
          <w:rFonts w:ascii="Times New Roman" w:eastAsia="Times New Roman" w:hAnsi="Times New Roman" w:cs="Times New Roman"/>
          <w:sz w:val="20"/>
        </w:rPr>
        <w:t>: 1 раз в 12 мес.</w:t>
      </w:r>
    </w:p>
    <w:p w:rsidR="000415D0" w:rsidRDefault="008E2CEA">
      <w:pPr>
        <w:spacing w:after="4" w:line="257" w:lineRule="auto"/>
        <w:ind w:left="-15" w:right="399" w:firstLine="330"/>
        <w:jc w:val="both"/>
      </w:pPr>
      <w:r>
        <w:rPr>
          <w:rFonts w:ascii="Times New Roman" w:eastAsia="Times New Roman" w:hAnsi="Times New Roman" w:cs="Times New Roman"/>
          <w:b/>
          <w:i/>
          <w:sz w:val="20"/>
        </w:rPr>
        <w:t>Глазное дно</w:t>
      </w:r>
      <w:r>
        <w:rPr>
          <w:rFonts w:ascii="Times New Roman" w:eastAsia="Times New Roman" w:hAnsi="Times New Roman" w:cs="Times New Roman"/>
          <w:i/>
          <w:sz w:val="20"/>
        </w:rPr>
        <w:t>.</w:t>
      </w:r>
      <w:r>
        <w:rPr>
          <w:rFonts w:ascii="Times New Roman" w:eastAsia="Times New Roman" w:hAnsi="Times New Roman" w:cs="Times New Roman"/>
          <w:sz w:val="20"/>
        </w:rPr>
        <w:t xml:space="preserve"> Консультация офтальмолога с осмотром глазного дна показана до и в процессе лечения соматропином (1 раз в 12 мес). При появлении симптомов доброкачественной внут</w:t>
      </w:r>
      <w:r>
        <w:rPr>
          <w:rFonts w:ascii="Times New Roman" w:eastAsia="Times New Roman" w:hAnsi="Times New Roman" w:cs="Times New Roman"/>
          <w:sz w:val="20"/>
        </w:rPr>
        <w:t>ричерепной гипертензии (головная боль, тошнота, рвота, нарушение зрения: двоение в глазах, расплывчатое видение) консультация офтальмолога проводится внепланово [25].</w:t>
      </w:r>
    </w:p>
    <w:p w:rsidR="000415D0" w:rsidRDefault="008E2CEA">
      <w:pPr>
        <w:spacing w:after="4" w:line="257" w:lineRule="auto"/>
        <w:ind w:left="-15" w:right="400" w:firstLine="330"/>
        <w:jc w:val="both"/>
      </w:pPr>
      <w:r>
        <w:rPr>
          <w:rFonts w:ascii="Times New Roman" w:eastAsia="Times New Roman" w:hAnsi="Times New Roman" w:cs="Times New Roman"/>
          <w:b/>
          <w:i/>
          <w:sz w:val="20"/>
        </w:rPr>
        <w:t>МРТ головного мозга</w:t>
      </w:r>
      <w:r>
        <w:rPr>
          <w:rFonts w:ascii="Times New Roman" w:eastAsia="Times New Roman" w:hAnsi="Times New Roman" w:cs="Times New Roman"/>
          <w:i/>
          <w:sz w:val="20"/>
        </w:rPr>
        <w:t>.</w:t>
      </w:r>
      <w:r>
        <w:rPr>
          <w:rFonts w:ascii="Times New Roman" w:eastAsia="Times New Roman" w:hAnsi="Times New Roman" w:cs="Times New Roman"/>
          <w:sz w:val="20"/>
        </w:rPr>
        <w:t xml:space="preserve"> Детям с опухолями головного мозга в анамнезе МРТ головного мозга проводят не реже 1 раза в 12 мес. Детям с врожденным гипопитуитаризмом —1 раз в 4–5 лет.</w:t>
      </w:r>
    </w:p>
    <w:p w:rsidR="000415D0" w:rsidRDefault="008E2CEA">
      <w:pPr>
        <w:spacing w:after="174" w:line="257" w:lineRule="auto"/>
        <w:ind w:left="-15" w:right="399" w:firstLine="330"/>
        <w:jc w:val="both"/>
      </w:pPr>
      <w:r>
        <w:rPr>
          <w:rFonts w:ascii="Times New Roman" w:eastAsia="Times New Roman" w:hAnsi="Times New Roman" w:cs="Times New Roman"/>
          <w:b/>
          <w:i/>
          <w:sz w:val="20"/>
        </w:rPr>
        <w:t>Костный возраст</w:t>
      </w:r>
      <w:r>
        <w:rPr>
          <w:rFonts w:ascii="Times New Roman" w:eastAsia="Times New Roman" w:hAnsi="Times New Roman" w:cs="Times New Roman"/>
          <w:i/>
          <w:sz w:val="20"/>
        </w:rPr>
        <w:t>.</w:t>
      </w:r>
      <w:r>
        <w:rPr>
          <w:rFonts w:ascii="Times New Roman" w:eastAsia="Times New Roman" w:hAnsi="Times New Roman" w:cs="Times New Roman"/>
          <w:sz w:val="20"/>
        </w:rPr>
        <w:t xml:space="preserve"> Мониторинг костного возраста (1 раз в 12 мес) используется для определения оставшего</w:t>
      </w:r>
      <w:r>
        <w:rPr>
          <w:rFonts w:ascii="Times New Roman" w:eastAsia="Times New Roman" w:hAnsi="Times New Roman" w:cs="Times New Roman"/>
          <w:sz w:val="20"/>
        </w:rPr>
        <w:t>ся ростового потенциала в достижении пациентом конечного роста и сроков начала заместительной терапии половыми стероидами при вторичном гипогонадизме. При закрывающихся зонах роста частота определения костного возраста 1 раз в 6 мес.</w:t>
      </w:r>
    </w:p>
    <w:p w:rsidR="000415D0" w:rsidRDefault="008E2CEA">
      <w:pPr>
        <w:pStyle w:val="Heading2"/>
        <w:ind w:left="335" w:right="359"/>
      </w:pPr>
      <w:r>
        <w:t>Лечение сопутствующих тропных недостаточностей</w:t>
      </w:r>
    </w:p>
    <w:p w:rsidR="000415D0" w:rsidRDefault="008E2CEA">
      <w:pPr>
        <w:spacing w:after="4" w:line="257" w:lineRule="auto"/>
        <w:ind w:left="-15" w:right="400" w:firstLine="330"/>
        <w:jc w:val="both"/>
      </w:pPr>
      <w:r>
        <w:rPr>
          <w:rFonts w:ascii="Times New Roman" w:eastAsia="Times New Roman" w:hAnsi="Times New Roman" w:cs="Times New Roman"/>
          <w:sz w:val="20"/>
        </w:rPr>
        <w:t>При наличии гипопитуитаризма необходимо замещение соответствующих тропных функций гипофиза. Заместительная терапия включает:</w:t>
      </w:r>
    </w:p>
    <w:p w:rsidR="000415D0" w:rsidRDefault="008E2CEA">
      <w:pPr>
        <w:spacing w:after="4" w:line="257" w:lineRule="auto"/>
        <w:ind w:left="-15" w:right="399" w:firstLine="330"/>
        <w:jc w:val="both"/>
      </w:pPr>
      <w:r>
        <w:rPr>
          <w:rFonts w:ascii="Times New Roman" w:eastAsia="Times New Roman" w:hAnsi="Times New Roman" w:cs="Times New Roman"/>
          <w:sz w:val="20"/>
        </w:rPr>
        <w:t>— Левотироксин при вторичном гипотиреозе (пожизненно), критерий компенсации — нормал</w:t>
      </w:r>
      <w:r>
        <w:rPr>
          <w:rFonts w:ascii="Times New Roman" w:eastAsia="Times New Roman" w:hAnsi="Times New Roman" w:cs="Times New Roman"/>
          <w:sz w:val="20"/>
        </w:rPr>
        <w:t>ьный уровень свободного Т4 в крови;</w:t>
      </w:r>
    </w:p>
    <w:p w:rsidR="000415D0" w:rsidRDefault="008E2CEA">
      <w:pPr>
        <w:spacing w:after="4" w:line="257" w:lineRule="auto"/>
        <w:ind w:left="-15" w:right="401" w:firstLine="330"/>
        <w:jc w:val="both"/>
      </w:pPr>
      <w:r>
        <w:rPr>
          <w:rFonts w:ascii="Times New Roman" w:eastAsia="Times New Roman" w:hAnsi="Times New Roman" w:cs="Times New Roman"/>
          <w:sz w:val="20"/>
        </w:rPr>
        <w:t>— Гидрокортизон (кортеф) при вторичном гипокортицизме (пожизненно), критерии компенсации: общее самочувствие, нормальное АД;</w:t>
      </w:r>
    </w:p>
    <w:p w:rsidR="000415D0" w:rsidRDefault="008E2CEA">
      <w:pPr>
        <w:spacing w:after="4" w:line="257" w:lineRule="auto"/>
        <w:ind w:left="-15" w:right="401" w:firstLine="330"/>
        <w:jc w:val="both"/>
      </w:pPr>
      <w:r>
        <w:rPr>
          <w:rFonts w:ascii="Times New Roman" w:eastAsia="Times New Roman" w:hAnsi="Times New Roman" w:cs="Times New Roman"/>
          <w:sz w:val="20"/>
        </w:rPr>
        <w:t>— половые стероиды при гипогонадизме (до возраста андро- или менопаузы), критерии компенсации —</w:t>
      </w:r>
      <w:r>
        <w:rPr>
          <w:rFonts w:ascii="Times New Roman" w:eastAsia="Times New Roman" w:hAnsi="Times New Roman" w:cs="Times New Roman"/>
          <w:sz w:val="20"/>
        </w:rPr>
        <w:t xml:space="preserve"> нормальный для соответствующего возраста и пола уровень эстрадиола/тестостерона в крови.</w:t>
      </w:r>
    </w:p>
    <w:p w:rsidR="000415D0" w:rsidRDefault="000415D0">
      <w:pPr>
        <w:sectPr w:rsidR="000415D0">
          <w:type w:val="continuous"/>
          <w:pgSz w:w="11542" w:h="16474"/>
          <w:pgMar w:top="498" w:right="750" w:bottom="1424" w:left="754" w:header="720" w:footer="720" w:gutter="0"/>
          <w:cols w:num="2" w:space="185"/>
        </w:sectPr>
      </w:pPr>
    </w:p>
    <w:p w:rsidR="000415D0" w:rsidRDefault="000415D0">
      <w:pPr>
        <w:spacing w:after="0"/>
        <w:ind w:left="-1440" w:right="10102"/>
      </w:pPr>
    </w:p>
    <w:tbl>
      <w:tblPr>
        <w:tblStyle w:val="TableGrid"/>
        <w:tblW w:w="9638" w:type="dxa"/>
        <w:tblInd w:w="-290" w:type="dxa"/>
        <w:tblCellMar>
          <w:top w:w="78" w:type="dxa"/>
          <w:left w:w="0" w:type="dxa"/>
          <w:bottom w:w="28" w:type="dxa"/>
          <w:right w:w="0" w:type="dxa"/>
        </w:tblCellMar>
        <w:tblLook w:val="04A0" w:firstRow="1" w:lastRow="0" w:firstColumn="1" w:lastColumn="0" w:noHBand="0" w:noVBand="1"/>
      </w:tblPr>
      <w:tblGrid>
        <w:gridCol w:w="4932"/>
        <w:gridCol w:w="4706"/>
      </w:tblGrid>
      <w:tr w:rsidR="000415D0">
        <w:trPr>
          <w:trHeight w:val="283"/>
        </w:trPr>
        <w:tc>
          <w:tcPr>
            <w:tcW w:w="4932" w:type="dxa"/>
            <w:tcBorders>
              <w:top w:val="nil"/>
              <w:left w:val="nil"/>
              <w:bottom w:val="nil"/>
              <w:right w:val="nil"/>
            </w:tcBorders>
            <w:shd w:val="clear" w:color="auto" w:fill="D0D0D0"/>
          </w:tcPr>
          <w:p w:rsidR="000415D0" w:rsidRDefault="008E2CEA">
            <w:pPr>
              <w:spacing w:after="0"/>
              <w:ind w:left="113"/>
            </w:pPr>
            <w:r>
              <w:rPr>
                <w:rFonts w:ascii="Times New Roman" w:eastAsia="Times New Roman" w:hAnsi="Times New Roman" w:cs="Times New Roman"/>
                <w:b/>
                <w:i/>
                <w:sz w:val="18"/>
              </w:rPr>
              <w:t xml:space="preserve">DOI: </w:t>
            </w:r>
            <w:r>
              <w:rPr>
                <w:rFonts w:ascii="Times New Roman" w:eastAsia="Times New Roman" w:hAnsi="Times New Roman" w:cs="Times New Roman"/>
                <w:i/>
                <w:sz w:val="18"/>
              </w:rPr>
              <w:t>https://doi.org/10.14341/probl</w:t>
            </w:r>
            <w:r>
              <w:rPr>
                <w:i/>
                <w:sz w:val="18"/>
              </w:rPr>
              <w:t>1</w:t>
            </w:r>
            <w:r>
              <w:rPr>
                <w:rFonts w:ascii="Times New Roman" w:eastAsia="Times New Roman" w:hAnsi="Times New Roman" w:cs="Times New Roman"/>
                <w:i/>
                <w:sz w:val="18"/>
              </w:rPr>
              <w:t>0091</w:t>
            </w:r>
          </w:p>
        </w:tc>
        <w:tc>
          <w:tcPr>
            <w:tcW w:w="4706" w:type="dxa"/>
            <w:tcBorders>
              <w:top w:val="nil"/>
              <w:left w:val="nil"/>
              <w:bottom w:val="nil"/>
              <w:right w:val="nil"/>
            </w:tcBorders>
            <w:shd w:val="clear" w:color="auto" w:fill="D0D0D0"/>
          </w:tcPr>
          <w:p w:rsidR="000415D0" w:rsidRDefault="008E2CEA">
            <w:pPr>
              <w:spacing w:after="0"/>
              <w:ind w:right="113"/>
              <w:jc w:val="right"/>
            </w:pPr>
            <w:r>
              <w:rPr>
                <w:rFonts w:ascii="Times New Roman" w:eastAsia="Times New Roman" w:hAnsi="Times New Roman" w:cs="Times New Roman"/>
                <w:i/>
                <w:sz w:val="18"/>
              </w:rPr>
              <w:t>CONSENSUS</w:t>
            </w:r>
          </w:p>
        </w:tc>
      </w:tr>
      <w:tr w:rsidR="000415D0">
        <w:trPr>
          <w:trHeight w:val="14412"/>
        </w:trPr>
        <w:tc>
          <w:tcPr>
            <w:tcW w:w="4932" w:type="dxa"/>
            <w:tcBorders>
              <w:top w:val="nil"/>
              <w:left w:val="nil"/>
              <w:bottom w:val="single" w:sz="4" w:space="0" w:color="000000"/>
              <w:right w:val="nil"/>
            </w:tcBorders>
            <w:vAlign w:val="bottom"/>
          </w:tcPr>
          <w:p w:rsidR="000415D0" w:rsidRDefault="008E2CEA">
            <w:pPr>
              <w:spacing w:after="161" w:line="249" w:lineRule="auto"/>
              <w:ind w:right="226" w:firstLine="340"/>
              <w:jc w:val="both"/>
            </w:pPr>
            <w:r>
              <w:rPr>
                <w:rFonts w:ascii="Times New Roman" w:eastAsia="Times New Roman" w:hAnsi="Times New Roman" w:cs="Times New Roman"/>
                <w:i/>
                <w:sz w:val="16"/>
              </w:rPr>
              <w:t>Примечание</w:t>
            </w:r>
            <w:r>
              <w:rPr>
                <w:rFonts w:ascii="Times New Roman" w:eastAsia="Times New Roman" w:hAnsi="Times New Roman" w:cs="Times New Roman"/>
                <w:sz w:val="16"/>
              </w:rPr>
              <w:t>: заместительная терапия гипогонадизма начинается по достижении костного возраста 12 лет у девочек и 14 лет у мальчиков. При наличии мутаций генов, ассоциированных с развитием множественного дефицита гормонов гипофиза (</w:t>
            </w:r>
            <w:r>
              <w:rPr>
                <w:rFonts w:ascii="Times New Roman" w:eastAsia="Times New Roman" w:hAnsi="Times New Roman" w:cs="Times New Roman"/>
                <w:i/>
                <w:sz w:val="16"/>
              </w:rPr>
              <w:t>PROP1</w:t>
            </w:r>
            <w:r>
              <w:rPr>
                <w:rFonts w:ascii="Times New Roman" w:eastAsia="Times New Roman" w:hAnsi="Times New Roman" w:cs="Times New Roman"/>
                <w:sz w:val="16"/>
              </w:rPr>
              <w:t>,</w:t>
            </w:r>
            <w:r>
              <w:rPr>
                <w:rFonts w:ascii="Times New Roman" w:eastAsia="Times New Roman" w:hAnsi="Times New Roman" w:cs="Times New Roman"/>
                <w:i/>
                <w:sz w:val="16"/>
              </w:rPr>
              <w:t xml:space="preserve"> HESX1</w:t>
            </w:r>
            <w:r>
              <w:rPr>
                <w:rFonts w:ascii="Times New Roman" w:eastAsia="Times New Roman" w:hAnsi="Times New Roman" w:cs="Times New Roman"/>
                <w:sz w:val="16"/>
              </w:rPr>
              <w:t>;</w:t>
            </w:r>
            <w:r>
              <w:rPr>
                <w:rFonts w:ascii="Times New Roman" w:eastAsia="Times New Roman" w:hAnsi="Times New Roman" w:cs="Times New Roman"/>
                <w:i/>
                <w:sz w:val="16"/>
              </w:rPr>
              <w:t xml:space="preserve"> LHX3</w:t>
            </w:r>
            <w:r>
              <w:rPr>
                <w:rFonts w:ascii="Times New Roman" w:eastAsia="Times New Roman" w:hAnsi="Times New Roman" w:cs="Times New Roman"/>
                <w:sz w:val="16"/>
              </w:rPr>
              <w:t xml:space="preserve"> и др.) в случае до</w:t>
            </w:r>
            <w:r>
              <w:rPr>
                <w:rFonts w:ascii="Times New Roman" w:eastAsia="Times New Roman" w:hAnsi="Times New Roman" w:cs="Times New Roman"/>
                <w:sz w:val="16"/>
              </w:rPr>
              <w:t>стижения подростком (мальчики старше 12 лет, девочки старше 11 лет) линейного роста, соответствующего перцентильной кривой средне-родительского роста, возможна индукция пубертата малыми дозами половых стероидов независимо от костного возраста.</w:t>
            </w:r>
          </w:p>
          <w:p w:rsidR="000415D0" w:rsidRDefault="008E2CEA">
            <w:pPr>
              <w:spacing w:after="181" w:line="249" w:lineRule="auto"/>
              <w:ind w:right="227" w:firstLine="340"/>
              <w:jc w:val="both"/>
            </w:pPr>
            <w:r>
              <w:rPr>
                <w:rFonts w:ascii="Times New Roman" w:eastAsia="Times New Roman" w:hAnsi="Times New Roman" w:cs="Times New Roman"/>
                <w:sz w:val="20"/>
              </w:rPr>
              <w:t>— Десмопресс</w:t>
            </w:r>
            <w:r>
              <w:rPr>
                <w:rFonts w:ascii="Times New Roman" w:eastAsia="Times New Roman" w:hAnsi="Times New Roman" w:cs="Times New Roman"/>
                <w:sz w:val="20"/>
              </w:rPr>
              <w:t>ин при несахарном диабете (пожизненно), критерии компенсации: нормальный суточный диурез, нормальная относительная плотность мочи.</w:t>
            </w:r>
          </w:p>
          <w:p w:rsidR="000415D0" w:rsidRDefault="008E2CEA">
            <w:pPr>
              <w:spacing w:after="46"/>
              <w:ind w:left="340"/>
            </w:pPr>
            <w:r>
              <w:rPr>
                <w:rFonts w:ascii="Times New Roman" w:eastAsia="Times New Roman" w:hAnsi="Times New Roman" w:cs="Times New Roman"/>
                <w:b/>
                <w:sz w:val="20"/>
              </w:rPr>
              <w:t>Сроки прекращения терапии Соматропином</w:t>
            </w:r>
          </w:p>
          <w:p w:rsidR="000415D0" w:rsidRDefault="008E2CEA">
            <w:pPr>
              <w:spacing w:after="0" w:line="249" w:lineRule="auto"/>
              <w:ind w:firstLine="340"/>
              <w:jc w:val="both"/>
            </w:pPr>
            <w:r>
              <w:rPr>
                <w:rFonts w:ascii="Times New Roman" w:eastAsia="Times New Roman" w:hAnsi="Times New Roman" w:cs="Times New Roman"/>
                <w:sz w:val="20"/>
              </w:rPr>
              <w:t>Ростстимулирующая терапия соматропином прекращается при [15–18, 22]:</w:t>
            </w:r>
          </w:p>
          <w:p w:rsidR="000415D0" w:rsidRDefault="008E2CEA">
            <w:pPr>
              <w:spacing w:after="1" w:line="249" w:lineRule="auto"/>
              <w:ind w:firstLine="340"/>
              <w:jc w:val="both"/>
            </w:pPr>
            <w:r>
              <w:rPr>
                <w:rFonts w:ascii="Times New Roman" w:eastAsia="Times New Roman" w:hAnsi="Times New Roman" w:cs="Times New Roman"/>
                <w:sz w:val="20"/>
              </w:rPr>
              <w:t>— снижении скорос</w:t>
            </w:r>
            <w:r>
              <w:rPr>
                <w:rFonts w:ascii="Times New Roman" w:eastAsia="Times New Roman" w:hAnsi="Times New Roman" w:cs="Times New Roman"/>
                <w:sz w:val="20"/>
              </w:rPr>
              <w:t>ти роста менее 2 см/год на фоне лечения;</w:t>
            </w:r>
          </w:p>
          <w:p w:rsidR="000415D0" w:rsidRDefault="008E2CEA">
            <w:pPr>
              <w:spacing w:after="0" w:line="249" w:lineRule="auto"/>
              <w:ind w:right="227" w:firstLine="340"/>
              <w:jc w:val="both"/>
            </w:pPr>
            <w:r>
              <w:rPr>
                <w:rFonts w:ascii="Times New Roman" w:eastAsia="Times New Roman" w:hAnsi="Times New Roman" w:cs="Times New Roman"/>
                <w:sz w:val="20"/>
              </w:rPr>
              <w:t>— закрытии эпифизарных зон роста:</w:t>
            </w:r>
            <w:r>
              <w:rPr>
                <w:rFonts w:ascii="Times New Roman" w:eastAsia="Times New Roman" w:hAnsi="Times New Roman" w:cs="Times New Roman"/>
                <w:b/>
                <w:sz w:val="20"/>
              </w:rPr>
              <w:t xml:space="preserve"> </w:t>
            </w:r>
            <w:r>
              <w:rPr>
                <w:rFonts w:ascii="Times New Roman" w:eastAsia="Times New Roman" w:hAnsi="Times New Roman" w:cs="Times New Roman"/>
                <w:sz w:val="20"/>
              </w:rPr>
              <w:t>достижении костного возраста 14–15 лет у девочек и 16–17 лет у мальчиков.</w:t>
            </w:r>
          </w:p>
          <w:p w:rsidR="000415D0" w:rsidRDefault="008E2CEA">
            <w:pPr>
              <w:spacing w:after="0" w:line="249" w:lineRule="auto"/>
              <w:ind w:firstLine="340"/>
              <w:jc w:val="both"/>
            </w:pPr>
            <w:r>
              <w:rPr>
                <w:rFonts w:ascii="Times New Roman" w:eastAsia="Times New Roman" w:hAnsi="Times New Roman" w:cs="Times New Roman"/>
                <w:sz w:val="20"/>
              </w:rPr>
              <w:t>Ростстимулирующая терапия соматропином прекращается в более ранние сроки при:</w:t>
            </w:r>
          </w:p>
          <w:p w:rsidR="000415D0" w:rsidRDefault="008E2CEA">
            <w:pPr>
              <w:spacing w:after="0" w:line="249" w:lineRule="auto"/>
              <w:ind w:firstLine="340"/>
            </w:pPr>
            <w:r>
              <w:rPr>
                <w:rFonts w:ascii="Times New Roman" w:eastAsia="Times New Roman" w:hAnsi="Times New Roman" w:cs="Times New Roman"/>
                <w:sz w:val="20"/>
              </w:rPr>
              <w:t>— достижении генетически прогнозируемого роста, но не выше 170 см у девочек, 180 см у мальчиков;</w:t>
            </w:r>
          </w:p>
          <w:p w:rsidR="000415D0" w:rsidRDefault="008E2CEA">
            <w:pPr>
              <w:spacing w:after="181" w:line="249" w:lineRule="auto"/>
              <w:ind w:right="224" w:firstLine="340"/>
              <w:jc w:val="both"/>
            </w:pPr>
            <w:r>
              <w:rPr>
                <w:rFonts w:ascii="Times New Roman" w:eastAsia="Times New Roman" w:hAnsi="Times New Roman" w:cs="Times New Roman"/>
                <w:sz w:val="20"/>
              </w:rPr>
              <w:t>— желании пациента и его родителей/законных представителей, удовлетворенных достигнутым результатом конечного роста.</w:t>
            </w:r>
          </w:p>
          <w:p w:rsidR="000415D0" w:rsidRDefault="008E2CEA">
            <w:pPr>
              <w:spacing w:after="46"/>
              <w:ind w:left="340"/>
            </w:pPr>
            <w:r>
              <w:rPr>
                <w:rFonts w:ascii="Times New Roman" w:eastAsia="Times New Roman" w:hAnsi="Times New Roman" w:cs="Times New Roman"/>
                <w:b/>
                <w:sz w:val="20"/>
              </w:rPr>
              <w:t>Ре-диагностика СТГ-дефицита</w:t>
            </w:r>
          </w:p>
          <w:p w:rsidR="000415D0" w:rsidRDefault="008E2CEA">
            <w:pPr>
              <w:spacing w:after="0" w:line="249" w:lineRule="auto"/>
              <w:ind w:right="226" w:firstLine="340"/>
              <w:jc w:val="both"/>
            </w:pPr>
            <w:r>
              <w:rPr>
                <w:rFonts w:ascii="Times New Roman" w:eastAsia="Times New Roman" w:hAnsi="Times New Roman" w:cs="Times New Roman"/>
                <w:sz w:val="20"/>
              </w:rPr>
              <w:t>Ре-диагностику</w:t>
            </w:r>
            <w:r>
              <w:rPr>
                <w:rFonts w:ascii="Times New Roman" w:eastAsia="Times New Roman" w:hAnsi="Times New Roman" w:cs="Times New Roman"/>
                <w:sz w:val="20"/>
              </w:rPr>
              <w:t xml:space="preserve"> следует проводить после достижения конечного роста, через 1–3 мес перерыва в лечении соматропином [40].</w:t>
            </w:r>
          </w:p>
          <w:p w:rsidR="000415D0" w:rsidRDefault="008E2CEA">
            <w:pPr>
              <w:spacing w:after="0"/>
              <w:ind w:left="340"/>
            </w:pPr>
            <w:r>
              <w:rPr>
                <w:rFonts w:ascii="Times New Roman" w:eastAsia="Times New Roman" w:hAnsi="Times New Roman" w:cs="Times New Roman"/>
                <w:b/>
                <w:sz w:val="20"/>
              </w:rPr>
              <w:t>Нуждаются в ре-диагностике пациенты</w:t>
            </w:r>
            <w:r>
              <w:rPr>
                <w:rFonts w:ascii="Times New Roman" w:eastAsia="Times New Roman" w:hAnsi="Times New Roman" w:cs="Times New Roman"/>
                <w:sz w:val="20"/>
              </w:rPr>
              <w:t xml:space="preserve"> [41–44]:</w:t>
            </w:r>
          </w:p>
          <w:p w:rsidR="000415D0" w:rsidRDefault="008E2CEA">
            <w:pPr>
              <w:spacing w:after="386" w:line="249" w:lineRule="auto"/>
              <w:ind w:right="223" w:firstLine="340"/>
              <w:jc w:val="both"/>
            </w:pPr>
            <w:r>
              <w:rPr>
                <w:rFonts w:ascii="Times New Roman" w:eastAsia="Times New Roman" w:hAnsi="Times New Roman" w:cs="Times New Roman"/>
                <w:sz w:val="20"/>
              </w:rPr>
              <w:t>— с изолированным СТГ-дефицитом, при наличии нормального уровня ИФР-I (на фоне отмены соматропина) и не им</w:t>
            </w:r>
            <w:r>
              <w:rPr>
                <w:rFonts w:ascii="Times New Roman" w:eastAsia="Times New Roman" w:hAnsi="Times New Roman" w:cs="Times New Roman"/>
                <w:sz w:val="20"/>
              </w:rPr>
              <w:t>еющие молекулярно-генетического подтверждения диагноза</w:t>
            </w:r>
          </w:p>
          <w:p w:rsidR="000415D0" w:rsidRDefault="008E2CEA">
            <w:pPr>
              <w:spacing w:after="76"/>
              <w:ind w:right="117"/>
              <w:jc w:val="right"/>
            </w:pPr>
            <w:r>
              <w:rPr>
                <w:b/>
                <w:sz w:val="24"/>
              </w:rPr>
              <w:t>ЛИТЕРАТУРА</w:t>
            </w:r>
          </w:p>
          <w:p w:rsidR="000415D0" w:rsidRDefault="008E2CEA">
            <w:pPr>
              <w:numPr>
                <w:ilvl w:val="0"/>
                <w:numId w:val="4"/>
              </w:numPr>
              <w:spacing w:after="184" w:line="251" w:lineRule="auto"/>
              <w:ind w:right="224" w:hanging="340"/>
              <w:jc w:val="both"/>
            </w:pPr>
            <w:r>
              <w:rPr>
                <w:rFonts w:ascii="Times New Roman" w:eastAsia="Times New Roman" w:hAnsi="Times New Roman" w:cs="Times New Roman"/>
                <w:sz w:val="16"/>
              </w:rPr>
              <w:t xml:space="preserve">Российская академия медицинских наук, Министерство здравоохранения и социального развития РФ, Российская ассоциация эндокринологов. </w:t>
            </w:r>
            <w:r>
              <w:rPr>
                <w:rFonts w:ascii="Times New Roman" w:eastAsia="Times New Roman" w:hAnsi="Times New Roman" w:cs="Times New Roman"/>
                <w:i/>
                <w:sz w:val="16"/>
              </w:rPr>
              <w:t>Диагностика и лечение соматотропной недостаточности у детей. Национальный Консенсус</w:t>
            </w:r>
            <w:r>
              <w:rPr>
                <w:rFonts w:ascii="Times New Roman" w:eastAsia="Times New Roman" w:hAnsi="Times New Roman" w:cs="Times New Roman"/>
                <w:sz w:val="16"/>
              </w:rPr>
              <w:t xml:space="preserve">. — М. 2005. [Russian Academy Of Medical Sciences, Ministry Of Health And Social Development Of The Russian Federation, Russian Association Of Endocrinologists. </w:t>
            </w:r>
            <w:r>
              <w:rPr>
                <w:rFonts w:ascii="Times New Roman" w:eastAsia="Times New Roman" w:hAnsi="Times New Roman" w:cs="Times New Roman"/>
                <w:i/>
                <w:sz w:val="16"/>
              </w:rPr>
              <w:t xml:space="preserve">Diagnostika </w:t>
            </w:r>
            <w:r>
              <w:rPr>
                <w:rFonts w:ascii="Times New Roman" w:eastAsia="Times New Roman" w:hAnsi="Times New Roman" w:cs="Times New Roman"/>
                <w:i/>
                <w:sz w:val="16"/>
              </w:rPr>
              <w:t>i lechenie somatotropnoy nedostatochnosti u detey. Natsional’nyy Konsensus</w:t>
            </w:r>
            <w:r>
              <w:rPr>
                <w:rFonts w:ascii="Times New Roman" w:eastAsia="Times New Roman" w:hAnsi="Times New Roman" w:cs="Times New Roman"/>
                <w:sz w:val="16"/>
              </w:rPr>
              <w:t>. Moscow. 2005. (In Russ.)].</w:t>
            </w:r>
          </w:p>
          <w:p w:rsidR="000415D0" w:rsidRDefault="008E2CEA">
            <w:pPr>
              <w:numPr>
                <w:ilvl w:val="0"/>
                <w:numId w:val="4"/>
              </w:numPr>
              <w:spacing w:after="0" w:line="255" w:lineRule="auto"/>
              <w:ind w:right="224" w:hanging="340"/>
              <w:jc w:val="both"/>
            </w:pPr>
            <w:r>
              <w:rPr>
                <w:rFonts w:ascii="Times New Roman" w:eastAsia="Times New Roman" w:hAnsi="Times New Roman" w:cs="Times New Roman"/>
                <w:sz w:val="16"/>
              </w:rPr>
              <w:t xml:space="preserve">Growth Hormone Research S. Consensus guidelines for the diagnosis and treatment of growth hormone (GH) defi ciency in childhood and adolescence: summary statement of the GH Research Society. </w:t>
            </w:r>
          </w:p>
          <w:p w:rsidR="000415D0" w:rsidRDefault="008E2CEA">
            <w:pPr>
              <w:spacing w:after="0"/>
              <w:ind w:left="340"/>
            </w:pPr>
            <w:r>
              <w:rPr>
                <w:rFonts w:ascii="Times New Roman" w:eastAsia="Times New Roman" w:hAnsi="Times New Roman" w:cs="Times New Roman"/>
                <w:sz w:val="16"/>
              </w:rPr>
              <w:t xml:space="preserve">GH Research Society. </w:t>
            </w:r>
            <w:r>
              <w:rPr>
                <w:rFonts w:ascii="Times New Roman" w:eastAsia="Times New Roman" w:hAnsi="Times New Roman" w:cs="Times New Roman"/>
                <w:i/>
                <w:sz w:val="16"/>
              </w:rPr>
              <w:t>J Clin Endocrinol Metab</w:t>
            </w:r>
            <w:r>
              <w:rPr>
                <w:rFonts w:ascii="Times New Roman" w:eastAsia="Times New Roman" w:hAnsi="Times New Roman" w:cs="Times New Roman"/>
                <w:sz w:val="16"/>
              </w:rPr>
              <w:t>. 2000;85(11):3990-</w:t>
            </w:r>
          </w:p>
          <w:p w:rsidR="000415D0" w:rsidRDefault="008E2CEA">
            <w:pPr>
              <w:spacing w:after="178"/>
              <w:ind w:left="340"/>
            </w:pPr>
            <w:r>
              <w:rPr>
                <w:rFonts w:ascii="Times New Roman" w:eastAsia="Times New Roman" w:hAnsi="Times New Roman" w:cs="Times New Roman"/>
                <w:sz w:val="16"/>
              </w:rPr>
              <w:t>3993. doi: https://doi.org/10.1210/jcem.85.11.6984</w:t>
            </w:r>
          </w:p>
          <w:p w:rsidR="000415D0" w:rsidRDefault="008E2CEA">
            <w:pPr>
              <w:numPr>
                <w:ilvl w:val="0"/>
                <w:numId w:val="4"/>
              </w:numPr>
              <w:spacing w:after="0"/>
              <w:ind w:right="224" w:hanging="340"/>
              <w:jc w:val="both"/>
            </w:pPr>
            <w:r>
              <w:rPr>
                <w:rFonts w:ascii="Times New Roman" w:eastAsia="Times New Roman" w:hAnsi="Times New Roman" w:cs="Times New Roman"/>
                <w:sz w:val="16"/>
              </w:rPr>
              <w:t xml:space="preserve">Molitch ME, Clemmons DR, Malozowski S, et al. Evaluation and treatment of adult growth hormone deficiency: an endocrine society clinical practice guideline. </w:t>
            </w:r>
            <w:r>
              <w:rPr>
                <w:rFonts w:ascii="Times New Roman" w:eastAsia="Times New Roman" w:hAnsi="Times New Roman" w:cs="Times New Roman"/>
                <w:i/>
                <w:sz w:val="16"/>
              </w:rPr>
              <w:t>J Clin Endocrinol Metab</w:t>
            </w:r>
            <w:r>
              <w:rPr>
                <w:rFonts w:ascii="Times New Roman" w:eastAsia="Times New Roman" w:hAnsi="Times New Roman" w:cs="Times New Roman"/>
                <w:sz w:val="16"/>
              </w:rPr>
              <w:t>. 2011;96(6):1587-1609. d</w:t>
            </w:r>
            <w:r>
              <w:rPr>
                <w:rFonts w:ascii="Times New Roman" w:eastAsia="Times New Roman" w:hAnsi="Times New Roman" w:cs="Times New Roman"/>
                <w:sz w:val="16"/>
              </w:rPr>
              <w:t>oi: https://doi.org/10.1210/jc.2011-0179</w:t>
            </w:r>
          </w:p>
        </w:tc>
        <w:tc>
          <w:tcPr>
            <w:tcW w:w="4706" w:type="dxa"/>
            <w:tcBorders>
              <w:top w:val="nil"/>
              <w:left w:val="nil"/>
              <w:bottom w:val="single" w:sz="4" w:space="0" w:color="000000"/>
              <w:right w:val="nil"/>
            </w:tcBorders>
            <w:vAlign w:val="bottom"/>
          </w:tcPr>
          <w:p w:rsidR="000415D0" w:rsidRDefault="008E2CEA">
            <w:pPr>
              <w:spacing w:after="0" w:line="249" w:lineRule="auto"/>
              <w:ind w:right="-1" w:firstLine="340"/>
              <w:jc w:val="both"/>
            </w:pPr>
            <w:r>
              <w:rPr>
                <w:rFonts w:ascii="Times New Roman" w:eastAsia="Times New Roman" w:hAnsi="Times New Roman" w:cs="Times New Roman"/>
                <w:sz w:val="20"/>
              </w:rPr>
              <w:t>— имеющие 1 (помимо СТГ) тропную недостаточность при наличии нормального уровня ИФР-I (на фоне отмены соматропина) и не имеющие молекулярно-генетического подтверждения диагноза.</w:t>
            </w:r>
          </w:p>
          <w:p w:rsidR="000415D0" w:rsidRDefault="008E2CEA">
            <w:pPr>
              <w:spacing w:after="0" w:line="249" w:lineRule="auto"/>
              <w:ind w:right="1" w:firstLine="340"/>
              <w:jc w:val="both"/>
            </w:pPr>
            <w:r>
              <w:rPr>
                <w:rFonts w:ascii="Times New Roman" w:eastAsia="Times New Roman" w:hAnsi="Times New Roman" w:cs="Times New Roman"/>
                <w:sz w:val="20"/>
              </w:rPr>
              <w:t>В ре-тестировании используется проба с инсулином; диагностический уровень СТГ составляет менее 5 нг/мл [45–47].</w:t>
            </w:r>
          </w:p>
          <w:p w:rsidR="000415D0" w:rsidRDefault="008E2CEA">
            <w:pPr>
              <w:spacing w:after="0" w:line="249" w:lineRule="auto"/>
              <w:ind w:right="-1" w:firstLine="340"/>
              <w:jc w:val="both"/>
            </w:pPr>
            <w:r>
              <w:rPr>
                <w:rFonts w:ascii="Times New Roman" w:eastAsia="Times New Roman" w:hAnsi="Times New Roman" w:cs="Times New Roman"/>
                <w:sz w:val="20"/>
              </w:rPr>
              <w:t>При наличии дополнительной (помимо СТГ) тропной недостаточности ре-тест должен проводиться на фоне ее компенсации.</w:t>
            </w:r>
          </w:p>
          <w:p w:rsidR="000415D0" w:rsidRDefault="008E2CEA">
            <w:pPr>
              <w:spacing w:after="0" w:line="249" w:lineRule="auto"/>
              <w:ind w:firstLine="340"/>
              <w:jc w:val="both"/>
            </w:pPr>
            <w:r>
              <w:rPr>
                <w:rFonts w:ascii="Times New Roman" w:eastAsia="Times New Roman" w:hAnsi="Times New Roman" w:cs="Times New Roman"/>
                <w:b/>
                <w:sz w:val="20"/>
              </w:rPr>
              <w:t>Не нуждаются в ре-диагностике</w:t>
            </w:r>
            <w:r>
              <w:rPr>
                <w:rFonts w:ascii="Times New Roman" w:eastAsia="Times New Roman" w:hAnsi="Times New Roman" w:cs="Times New Roman"/>
                <w:b/>
                <w:sz w:val="20"/>
              </w:rPr>
              <w:t xml:space="preserve"> пациенты с</w:t>
            </w:r>
            <w:r>
              <w:rPr>
                <w:rFonts w:ascii="Times New Roman" w:eastAsia="Times New Roman" w:hAnsi="Times New Roman" w:cs="Times New Roman"/>
                <w:sz w:val="20"/>
              </w:rPr>
              <w:t xml:space="preserve"> [41, 42, 45, 48]:</w:t>
            </w:r>
          </w:p>
          <w:p w:rsidR="000415D0" w:rsidRDefault="008E2CEA">
            <w:pPr>
              <w:spacing w:after="0" w:line="249" w:lineRule="auto"/>
              <w:ind w:firstLine="340"/>
              <w:jc w:val="both"/>
            </w:pPr>
            <w:r>
              <w:rPr>
                <w:rFonts w:ascii="Times New Roman" w:eastAsia="Times New Roman" w:hAnsi="Times New Roman" w:cs="Times New Roman"/>
                <w:sz w:val="20"/>
              </w:rPr>
              <w:t>— двумя (помимо СТГ) тропными недостаточностями и более;</w:t>
            </w:r>
          </w:p>
          <w:p w:rsidR="000415D0" w:rsidRDefault="008E2CEA">
            <w:pPr>
              <w:spacing w:after="0" w:line="249" w:lineRule="auto"/>
              <w:ind w:right="-3" w:firstLine="340"/>
              <w:jc w:val="both"/>
            </w:pPr>
            <w:r>
              <w:rPr>
                <w:rFonts w:ascii="Times New Roman" w:eastAsia="Times New Roman" w:hAnsi="Times New Roman" w:cs="Times New Roman"/>
                <w:sz w:val="20"/>
              </w:rPr>
              <w:t xml:space="preserve">— приобретенными гипоталамо-гипофизарными повреждениями вследствие операций на гипофизе и облучения гипоталамо-гипофизарной области (при условии низкого уровня ИФР-I на </w:t>
            </w:r>
            <w:r>
              <w:rPr>
                <w:rFonts w:ascii="Times New Roman" w:eastAsia="Times New Roman" w:hAnsi="Times New Roman" w:cs="Times New Roman"/>
                <w:sz w:val="20"/>
              </w:rPr>
              <w:t>фоне отмены соматропина);</w:t>
            </w:r>
          </w:p>
          <w:p w:rsidR="000415D0" w:rsidRDefault="008E2CEA">
            <w:pPr>
              <w:spacing w:after="0"/>
              <w:ind w:left="340"/>
            </w:pPr>
            <w:r>
              <w:rPr>
                <w:rFonts w:ascii="Times New Roman" w:eastAsia="Times New Roman" w:hAnsi="Times New Roman" w:cs="Times New Roman"/>
                <w:sz w:val="20"/>
              </w:rPr>
              <w:t>— «триадой» на МРТ;</w:t>
            </w:r>
          </w:p>
          <w:p w:rsidR="000415D0" w:rsidRDefault="008E2CEA">
            <w:pPr>
              <w:spacing w:after="0"/>
              <w:ind w:left="340"/>
            </w:pPr>
            <w:r>
              <w:rPr>
                <w:rFonts w:ascii="Times New Roman" w:eastAsia="Times New Roman" w:hAnsi="Times New Roman" w:cs="Times New Roman"/>
                <w:sz w:val="20"/>
              </w:rPr>
              <w:t>— дефектами генов системы «СТГ-ИФР-I».</w:t>
            </w:r>
          </w:p>
          <w:p w:rsidR="000415D0" w:rsidRDefault="008E2CEA">
            <w:pPr>
              <w:spacing w:after="303" w:line="249" w:lineRule="auto"/>
              <w:ind w:right="-1" w:firstLine="340"/>
              <w:jc w:val="both"/>
            </w:pPr>
            <w:r>
              <w:rPr>
                <w:rFonts w:ascii="Times New Roman" w:eastAsia="Times New Roman" w:hAnsi="Times New Roman" w:cs="Times New Roman"/>
                <w:sz w:val="20"/>
              </w:rPr>
              <w:t>В случае подтверждения дефицита СТГ лечение соматропином возобновляется в метаболических дозах, составляющих 0,01–0,003 мг/кг/сут под контролем уровня ИФР-I в крови (измер</w:t>
            </w:r>
            <w:r>
              <w:rPr>
                <w:rFonts w:ascii="Times New Roman" w:eastAsia="Times New Roman" w:hAnsi="Times New Roman" w:cs="Times New Roman"/>
                <w:sz w:val="20"/>
              </w:rPr>
              <w:t>ение 1 раз в 6 мес), показатель не должен превышать верхней границы референсного значения для соответствующего возраста и пола.</w:t>
            </w:r>
          </w:p>
          <w:p w:rsidR="000415D0" w:rsidRDefault="008E2CEA">
            <w:pPr>
              <w:spacing w:after="38"/>
              <w:ind w:left="340"/>
            </w:pPr>
            <w:r>
              <w:rPr>
                <w:b/>
                <w:sz w:val="24"/>
              </w:rPr>
              <w:t>Дополнительная информация</w:t>
            </w:r>
          </w:p>
          <w:p w:rsidR="000415D0" w:rsidRDefault="008E2CEA">
            <w:pPr>
              <w:spacing w:after="1" w:line="249" w:lineRule="auto"/>
              <w:ind w:right="-1"/>
              <w:jc w:val="both"/>
            </w:pPr>
            <w:r>
              <w:rPr>
                <w:rFonts w:ascii="Times New Roman" w:eastAsia="Times New Roman" w:hAnsi="Times New Roman" w:cs="Times New Roman"/>
                <w:b/>
                <w:sz w:val="20"/>
              </w:rPr>
              <w:t xml:space="preserve">Конфликт интересов. </w:t>
            </w:r>
            <w:r>
              <w:rPr>
                <w:rFonts w:ascii="Times New Roman" w:eastAsia="Times New Roman" w:hAnsi="Times New Roman" w:cs="Times New Roman"/>
                <w:sz w:val="20"/>
              </w:rPr>
              <w:t>Авторы декларируют отсутствие явных и потенциальных конфликтов интересов, связанных с разработкой данного консенсуса и его публикацией.</w:t>
            </w:r>
          </w:p>
          <w:p w:rsidR="000415D0" w:rsidRDefault="008E2CEA">
            <w:pPr>
              <w:spacing w:after="387" w:line="249" w:lineRule="auto"/>
              <w:ind w:right="-1"/>
              <w:jc w:val="both"/>
            </w:pPr>
            <w:r>
              <w:rPr>
                <w:rFonts w:ascii="Times New Roman" w:eastAsia="Times New Roman" w:hAnsi="Times New Roman" w:cs="Times New Roman"/>
                <w:b/>
                <w:sz w:val="20"/>
              </w:rPr>
              <w:t xml:space="preserve">Участие авторов. </w:t>
            </w:r>
            <w:r>
              <w:rPr>
                <w:rFonts w:ascii="Times New Roman" w:eastAsia="Times New Roman" w:hAnsi="Times New Roman" w:cs="Times New Roman"/>
                <w:sz w:val="20"/>
              </w:rPr>
              <w:t>Все авторы внесли существенный вклад в подготовку статьи, прочли и одобрили финальную версию до публика</w:t>
            </w:r>
            <w:r>
              <w:rPr>
                <w:rFonts w:ascii="Times New Roman" w:eastAsia="Times New Roman" w:hAnsi="Times New Roman" w:cs="Times New Roman"/>
                <w:sz w:val="20"/>
              </w:rPr>
              <w:t>ции.</w:t>
            </w:r>
          </w:p>
          <w:p w:rsidR="000415D0" w:rsidRDefault="008E2CEA">
            <w:pPr>
              <w:spacing w:after="76"/>
              <w:ind w:left="-117"/>
            </w:pPr>
            <w:r>
              <w:rPr>
                <w:b/>
                <w:sz w:val="24"/>
              </w:rPr>
              <w:t>│REFERENCES</w:t>
            </w:r>
          </w:p>
          <w:p w:rsidR="000415D0" w:rsidRDefault="008E2CEA">
            <w:pPr>
              <w:numPr>
                <w:ilvl w:val="0"/>
                <w:numId w:val="5"/>
              </w:numPr>
              <w:spacing w:after="0" w:line="252" w:lineRule="auto"/>
              <w:ind w:right="-2" w:hanging="340"/>
              <w:jc w:val="both"/>
            </w:pPr>
            <w:r>
              <w:rPr>
                <w:rFonts w:ascii="Times New Roman" w:eastAsia="Times New Roman" w:hAnsi="Times New Roman" w:cs="Times New Roman"/>
                <w:sz w:val="16"/>
              </w:rPr>
              <w:t xml:space="preserve">Нагаева Е.В. Федеральные клинические рекомендации по диагностике и лечению гипопитуитаризма у детей и подростков. // </w:t>
            </w:r>
            <w:r>
              <w:rPr>
                <w:rFonts w:ascii="Times New Roman" w:eastAsia="Times New Roman" w:hAnsi="Times New Roman" w:cs="Times New Roman"/>
                <w:i/>
                <w:sz w:val="16"/>
              </w:rPr>
              <w:t>Проблемы эндокринологии</w:t>
            </w:r>
            <w:r>
              <w:rPr>
                <w:rFonts w:ascii="Times New Roman" w:eastAsia="Times New Roman" w:hAnsi="Times New Roman" w:cs="Times New Roman"/>
                <w:sz w:val="16"/>
              </w:rPr>
              <w:t>. — 2013. — Т. 59. — № 6. — С. 27-43. [Nagaeva EV. Clinical guidelines on diagnostics and treatment</w:t>
            </w:r>
            <w:r>
              <w:rPr>
                <w:rFonts w:ascii="Times New Roman" w:eastAsia="Times New Roman" w:hAnsi="Times New Roman" w:cs="Times New Roman"/>
                <w:sz w:val="16"/>
              </w:rPr>
              <w:t xml:space="preserve"> of hypopituitarism in children and adolescences.</w:t>
            </w:r>
          </w:p>
          <w:p w:rsidR="000415D0" w:rsidRDefault="008E2CEA">
            <w:pPr>
              <w:spacing w:after="0"/>
              <w:ind w:left="340"/>
            </w:pPr>
            <w:r>
              <w:rPr>
                <w:rFonts w:ascii="Times New Roman" w:eastAsia="Times New Roman" w:hAnsi="Times New Roman" w:cs="Times New Roman"/>
                <w:i/>
                <w:sz w:val="16"/>
              </w:rPr>
              <w:t>Problems of Endocrinology</w:t>
            </w:r>
            <w:r>
              <w:rPr>
                <w:rFonts w:ascii="Times New Roman" w:eastAsia="Times New Roman" w:hAnsi="Times New Roman" w:cs="Times New Roman"/>
                <w:sz w:val="16"/>
              </w:rPr>
              <w:t>. 2013;59(6):27-43. (In Russ.)].</w:t>
            </w:r>
          </w:p>
          <w:p w:rsidR="000415D0" w:rsidRDefault="008E2CEA">
            <w:pPr>
              <w:spacing w:after="64"/>
              <w:ind w:left="340"/>
            </w:pPr>
            <w:r>
              <w:rPr>
                <w:rFonts w:ascii="Times New Roman" w:eastAsia="Times New Roman" w:hAnsi="Times New Roman" w:cs="Times New Roman"/>
                <w:sz w:val="16"/>
              </w:rPr>
              <w:t>doi: https://doi.org/10.14341/probl201359627-43</w:t>
            </w:r>
          </w:p>
          <w:p w:rsidR="000415D0" w:rsidRDefault="008E2CEA">
            <w:pPr>
              <w:numPr>
                <w:ilvl w:val="0"/>
                <w:numId w:val="5"/>
              </w:numPr>
              <w:spacing w:after="0" w:line="253" w:lineRule="auto"/>
              <w:ind w:right="-2" w:hanging="340"/>
              <w:jc w:val="both"/>
            </w:pPr>
            <w:r>
              <w:rPr>
                <w:rFonts w:ascii="Times New Roman" w:eastAsia="Times New Roman" w:hAnsi="Times New Roman" w:cs="Times New Roman"/>
                <w:sz w:val="16"/>
              </w:rPr>
              <w:t>Grimberg A, Divall SA, Polychronakos C, et al. Guidelines for growth hormone and insulin-like growth</w:t>
            </w:r>
            <w:r>
              <w:rPr>
                <w:rFonts w:ascii="Times New Roman" w:eastAsia="Times New Roman" w:hAnsi="Times New Roman" w:cs="Times New Roman"/>
                <w:sz w:val="16"/>
              </w:rPr>
              <w:t xml:space="preserve"> factor-I treatment in children and adolescents: growth hormone defi ciency, idiopathic short stature, and primary insulin-like growth factor-I defi ciency. </w:t>
            </w:r>
            <w:r>
              <w:rPr>
                <w:rFonts w:ascii="Times New Roman" w:eastAsia="Times New Roman" w:hAnsi="Times New Roman" w:cs="Times New Roman"/>
                <w:i/>
                <w:sz w:val="16"/>
              </w:rPr>
              <w:t>Horm Res Paediatr</w:t>
            </w:r>
            <w:r>
              <w:rPr>
                <w:rFonts w:ascii="Times New Roman" w:eastAsia="Times New Roman" w:hAnsi="Times New Roman" w:cs="Times New Roman"/>
                <w:sz w:val="16"/>
              </w:rPr>
              <w:t>. 2016;86(6):361-397.</w:t>
            </w:r>
          </w:p>
          <w:p w:rsidR="000415D0" w:rsidRDefault="008E2CEA">
            <w:pPr>
              <w:spacing w:after="64"/>
              <w:ind w:left="340"/>
            </w:pPr>
            <w:r>
              <w:rPr>
                <w:rFonts w:ascii="Times New Roman" w:eastAsia="Times New Roman" w:hAnsi="Times New Roman" w:cs="Times New Roman"/>
                <w:sz w:val="16"/>
              </w:rPr>
              <w:t>doi: https://doi.org/10.1159/000452150</w:t>
            </w:r>
          </w:p>
          <w:p w:rsidR="000415D0" w:rsidRDefault="008E2CEA">
            <w:pPr>
              <w:numPr>
                <w:ilvl w:val="0"/>
                <w:numId w:val="5"/>
              </w:numPr>
              <w:spacing w:after="0" w:line="261" w:lineRule="auto"/>
              <w:ind w:right="-2" w:hanging="340"/>
              <w:jc w:val="both"/>
            </w:pPr>
            <w:r>
              <w:rPr>
                <w:rFonts w:ascii="Times New Roman" w:eastAsia="Times New Roman" w:hAnsi="Times New Roman" w:cs="Times New Roman"/>
                <w:sz w:val="16"/>
              </w:rPr>
              <w:t xml:space="preserve">Дедов И.И., Петеркова В.А. </w:t>
            </w:r>
            <w:r>
              <w:rPr>
                <w:rFonts w:ascii="Times New Roman" w:eastAsia="Times New Roman" w:hAnsi="Times New Roman" w:cs="Times New Roman"/>
                <w:i/>
                <w:sz w:val="16"/>
              </w:rPr>
              <w:t>Детская эндокринология.</w:t>
            </w:r>
            <w:r>
              <w:rPr>
                <w:rFonts w:ascii="Times New Roman" w:eastAsia="Times New Roman" w:hAnsi="Times New Roman" w:cs="Times New Roman"/>
                <w:sz w:val="16"/>
              </w:rPr>
              <w:t xml:space="preserve"> — Москва: Универсум Паблишинг; 2006. [Dedov II, Peterkova VA.</w:t>
            </w:r>
          </w:p>
          <w:p w:rsidR="000415D0" w:rsidRDefault="008E2CEA">
            <w:pPr>
              <w:spacing w:after="72" w:line="249" w:lineRule="auto"/>
              <w:ind w:left="340" w:right="-2"/>
            </w:pPr>
            <w:r>
              <w:rPr>
                <w:rFonts w:ascii="Times New Roman" w:eastAsia="Times New Roman" w:hAnsi="Times New Roman" w:cs="Times New Roman"/>
                <w:i/>
                <w:sz w:val="16"/>
              </w:rPr>
              <w:t>Detskaya Endokrinologiya</w:t>
            </w:r>
            <w:r>
              <w:rPr>
                <w:rFonts w:ascii="Times New Roman" w:eastAsia="Times New Roman" w:hAnsi="Times New Roman" w:cs="Times New Roman"/>
                <w:sz w:val="16"/>
              </w:rPr>
              <w:t>. Moscow: Universum Publishing; 2006. (In Russ.)].</w:t>
            </w:r>
          </w:p>
          <w:p w:rsidR="000415D0" w:rsidRDefault="008E2CEA">
            <w:pPr>
              <w:numPr>
                <w:ilvl w:val="0"/>
                <w:numId w:val="5"/>
              </w:numPr>
              <w:spacing w:after="0"/>
              <w:ind w:right="-2" w:hanging="340"/>
              <w:jc w:val="both"/>
            </w:pPr>
            <w:r>
              <w:rPr>
                <w:rFonts w:ascii="Times New Roman" w:eastAsia="Times New Roman" w:hAnsi="Times New Roman" w:cs="Times New Roman"/>
                <w:sz w:val="16"/>
              </w:rPr>
              <w:t>Rose SR, Ross JL, Uriarte M, et al. The advantage of measuring stimu</w:t>
            </w:r>
            <w:r>
              <w:rPr>
                <w:rFonts w:ascii="Times New Roman" w:eastAsia="Times New Roman" w:hAnsi="Times New Roman" w:cs="Times New Roman"/>
                <w:sz w:val="16"/>
              </w:rPr>
              <w:t>lated as compared with spontaneous growth hormone lev-</w:t>
            </w:r>
          </w:p>
        </w:tc>
      </w:tr>
    </w:tbl>
    <w:p w:rsidR="000415D0" w:rsidRDefault="000415D0">
      <w:pPr>
        <w:sectPr w:rsidR="000415D0">
          <w:headerReference w:type="even" r:id="rId12"/>
          <w:headerReference w:type="default" r:id="rId13"/>
          <w:footerReference w:type="even" r:id="rId14"/>
          <w:footerReference w:type="default" r:id="rId15"/>
          <w:headerReference w:type="first" r:id="rId16"/>
          <w:footerReference w:type="first" r:id="rId17"/>
          <w:pgSz w:w="11542" w:h="16474"/>
          <w:pgMar w:top="498" w:right="1440" w:bottom="1281" w:left="1440" w:header="720" w:footer="827" w:gutter="0"/>
          <w:cols w:space="720"/>
        </w:sectPr>
      </w:pPr>
    </w:p>
    <w:p w:rsidR="000415D0" w:rsidRDefault="008E2CEA">
      <w:pPr>
        <w:spacing w:after="3" w:line="260" w:lineRule="auto"/>
        <w:ind w:left="350" w:hanging="10"/>
        <w:jc w:val="both"/>
      </w:pPr>
      <w:r>
        <w:rPr>
          <w:rFonts w:ascii="Times New Roman" w:eastAsia="Times New Roman" w:hAnsi="Times New Roman" w:cs="Times New Roman"/>
          <w:sz w:val="16"/>
        </w:rPr>
        <w:t xml:space="preserve">els in the diagnosis of growth hormone defi ciency. </w:t>
      </w:r>
      <w:r>
        <w:rPr>
          <w:rFonts w:ascii="Times New Roman" w:eastAsia="Times New Roman" w:hAnsi="Times New Roman" w:cs="Times New Roman"/>
          <w:i/>
          <w:sz w:val="16"/>
        </w:rPr>
        <w:t>N Engl J Med</w:t>
      </w:r>
      <w:r>
        <w:rPr>
          <w:rFonts w:ascii="Times New Roman" w:eastAsia="Times New Roman" w:hAnsi="Times New Roman" w:cs="Times New Roman"/>
          <w:sz w:val="16"/>
        </w:rPr>
        <w:t xml:space="preserve">. </w:t>
      </w:r>
    </w:p>
    <w:p w:rsidR="000415D0" w:rsidRDefault="008E2CEA">
      <w:pPr>
        <w:spacing w:after="66" w:line="260" w:lineRule="auto"/>
        <w:ind w:left="350" w:right="881" w:hanging="10"/>
        <w:jc w:val="both"/>
      </w:pPr>
      <w:r>
        <w:rPr>
          <w:rFonts w:ascii="Times New Roman" w:eastAsia="Times New Roman" w:hAnsi="Times New Roman" w:cs="Times New Roman"/>
          <w:sz w:val="16"/>
        </w:rPr>
        <w:t>1988;319(4):201-207. doi: https://doi.org/10.1056/Nejm198807283190403</w:t>
      </w:r>
    </w:p>
    <w:p w:rsidR="000415D0" w:rsidRDefault="008E2CEA">
      <w:pPr>
        <w:numPr>
          <w:ilvl w:val="0"/>
          <w:numId w:val="2"/>
        </w:numPr>
        <w:spacing w:after="3" w:line="260" w:lineRule="auto"/>
        <w:ind w:hanging="340"/>
        <w:jc w:val="both"/>
      </w:pPr>
      <w:r>
        <w:rPr>
          <w:rFonts w:ascii="Times New Roman" w:eastAsia="Times New Roman" w:hAnsi="Times New Roman" w:cs="Times New Roman"/>
          <w:sz w:val="16"/>
        </w:rPr>
        <w:t>Secco A, Di Iorgi N, Napoli F, e</w:t>
      </w:r>
      <w:r>
        <w:rPr>
          <w:rFonts w:ascii="Times New Roman" w:eastAsia="Times New Roman" w:hAnsi="Times New Roman" w:cs="Times New Roman"/>
          <w:sz w:val="16"/>
        </w:rPr>
        <w:t xml:space="preserve">t al. The glucagon test in the diagnosis of growth hormone defi ciency in children with short stature younger than 6 years. </w:t>
      </w:r>
      <w:r>
        <w:rPr>
          <w:rFonts w:ascii="Times New Roman" w:eastAsia="Times New Roman" w:hAnsi="Times New Roman" w:cs="Times New Roman"/>
          <w:i/>
          <w:sz w:val="16"/>
        </w:rPr>
        <w:t>J Clin Endocrinol Metab</w:t>
      </w:r>
      <w:r>
        <w:rPr>
          <w:rFonts w:ascii="Times New Roman" w:eastAsia="Times New Roman" w:hAnsi="Times New Roman" w:cs="Times New Roman"/>
          <w:sz w:val="16"/>
        </w:rPr>
        <w:t>. 2009;94(11):4251-</w:t>
      </w:r>
    </w:p>
    <w:p w:rsidR="000415D0" w:rsidRDefault="008E2CEA">
      <w:pPr>
        <w:spacing w:after="50" w:line="260" w:lineRule="auto"/>
        <w:ind w:left="350" w:hanging="10"/>
        <w:jc w:val="both"/>
      </w:pPr>
      <w:r>
        <w:rPr>
          <w:rFonts w:ascii="Times New Roman" w:eastAsia="Times New Roman" w:hAnsi="Times New Roman" w:cs="Times New Roman"/>
          <w:sz w:val="16"/>
        </w:rPr>
        <w:t>4257. doi: https://doi.org/10.1210/Jc.209-0779</w:t>
      </w:r>
    </w:p>
    <w:p w:rsidR="000415D0" w:rsidRDefault="008E2CEA">
      <w:pPr>
        <w:numPr>
          <w:ilvl w:val="0"/>
          <w:numId w:val="2"/>
        </w:numPr>
        <w:spacing w:after="3" w:line="260" w:lineRule="auto"/>
        <w:ind w:hanging="340"/>
        <w:jc w:val="both"/>
      </w:pPr>
      <w:r>
        <w:rPr>
          <w:rFonts w:ascii="Times New Roman" w:eastAsia="Times New Roman" w:hAnsi="Times New Roman" w:cs="Times New Roman"/>
          <w:sz w:val="16"/>
        </w:rPr>
        <w:t>Butenandt O, Kunze D. Growth velocity in c</w:t>
      </w:r>
      <w:r>
        <w:rPr>
          <w:rFonts w:ascii="Times New Roman" w:eastAsia="Times New Roman" w:hAnsi="Times New Roman" w:cs="Times New Roman"/>
          <w:sz w:val="16"/>
        </w:rPr>
        <w:t xml:space="preserve">onstitutional delay of growth and development. </w:t>
      </w:r>
      <w:r>
        <w:rPr>
          <w:rFonts w:ascii="Times New Roman" w:eastAsia="Times New Roman" w:hAnsi="Times New Roman" w:cs="Times New Roman"/>
          <w:i/>
          <w:sz w:val="16"/>
        </w:rPr>
        <w:t>Journal of Pediatric Endocrinology and Metabolism</w:t>
      </w:r>
      <w:r>
        <w:rPr>
          <w:rFonts w:ascii="Times New Roman" w:eastAsia="Times New Roman" w:hAnsi="Times New Roman" w:cs="Times New Roman"/>
          <w:sz w:val="16"/>
        </w:rPr>
        <w:t>. 2010;23(1-2).</w:t>
      </w:r>
    </w:p>
    <w:p w:rsidR="000415D0" w:rsidRDefault="008E2CEA">
      <w:pPr>
        <w:spacing w:after="66" w:line="260" w:lineRule="auto"/>
        <w:ind w:left="350" w:hanging="10"/>
        <w:jc w:val="both"/>
      </w:pPr>
      <w:r>
        <w:rPr>
          <w:rFonts w:ascii="Times New Roman" w:eastAsia="Times New Roman" w:hAnsi="Times New Roman" w:cs="Times New Roman"/>
          <w:sz w:val="16"/>
        </w:rPr>
        <w:t>doi: https://doi.org/10.1515/Jpem.2010.23.1-9.12</w:t>
      </w:r>
    </w:p>
    <w:p w:rsidR="000415D0" w:rsidRDefault="008E2CEA">
      <w:pPr>
        <w:numPr>
          <w:ilvl w:val="0"/>
          <w:numId w:val="2"/>
        </w:numPr>
        <w:spacing w:after="50" w:line="260" w:lineRule="auto"/>
        <w:ind w:hanging="340"/>
        <w:jc w:val="both"/>
      </w:pPr>
      <w:r>
        <w:rPr>
          <w:rFonts w:ascii="Times New Roman" w:eastAsia="Times New Roman" w:hAnsi="Times New Roman" w:cs="Times New Roman"/>
          <w:sz w:val="16"/>
        </w:rPr>
        <w:t>Saggese G, Cesaretti G, Giannessi N, et al. Stimulated Growth hormone (GH) secretion in childre</w:t>
      </w:r>
      <w:r>
        <w:rPr>
          <w:rFonts w:ascii="Times New Roman" w:eastAsia="Times New Roman" w:hAnsi="Times New Roman" w:cs="Times New Roman"/>
          <w:sz w:val="16"/>
        </w:rPr>
        <w:t xml:space="preserve">n with delays in pubertal development before and after the onset of puberty: relationship with peripheral plasma GH-releasing hormone and somatostatin levels. </w:t>
      </w:r>
      <w:r>
        <w:rPr>
          <w:rFonts w:ascii="Times New Roman" w:eastAsia="Times New Roman" w:hAnsi="Times New Roman" w:cs="Times New Roman"/>
          <w:i/>
          <w:sz w:val="16"/>
        </w:rPr>
        <w:t>J Clin Endocrinol Metab</w:t>
      </w:r>
      <w:r>
        <w:rPr>
          <w:rFonts w:ascii="Times New Roman" w:eastAsia="Times New Roman" w:hAnsi="Times New Roman" w:cs="Times New Roman"/>
          <w:sz w:val="16"/>
        </w:rPr>
        <w:t>. 1992;74(2):272-278. doi: https://doi.org/10.1210/jcem.74.2.1346143</w:t>
      </w:r>
    </w:p>
    <w:p w:rsidR="000415D0" w:rsidRDefault="008E2CEA">
      <w:pPr>
        <w:numPr>
          <w:ilvl w:val="0"/>
          <w:numId w:val="2"/>
        </w:numPr>
        <w:spacing w:after="3" w:line="260" w:lineRule="auto"/>
        <w:ind w:hanging="340"/>
        <w:jc w:val="both"/>
      </w:pPr>
      <w:r>
        <w:rPr>
          <w:rFonts w:ascii="Times New Roman" w:eastAsia="Times New Roman" w:hAnsi="Times New Roman" w:cs="Times New Roman"/>
          <w:sz w:val="16"/>
        </w:rPr>
        <w:t>Marti</w:t>
      </w:r>
      <w:r>
        <w:rPr>
          <w:rFonts w:ascii="Times New Roman" w:eastAsia="Times New Roman" w:hAnsi="Times New Roman" w:cs="Times New Roman"/>
          <w:sz w:val="16"/>
        </w:rPr>
        <w:t xml:space="preserve">nez AS, Domene HM, Ropelato MG, et al. Estrogen priming eff ect on growth hormone (GH) provocative test: a useful tool for the diagnosis of GH defi ciency. </w:t>
      </w:r>
      <w:r>
        <w:rPr>
          <w:rFonts w:ascii="Times New Roman" w:eastAsia="Times New Roman" w:hAnsi="Times New Roman" w:cs="Times New Roman"/>
          <w:i/>
          <w:sz w:val="16"/>
        </w:rPr>
        <w:t>J Clin Endocrinol Metab</w:t>
      </w:r>
      <w:r>
        <w:rPr>
          <w:rFonts w:ascii="Times New Roman" w:eastAsia="Times New Roman" w:hAnsi="Times New Roman" w:cs="Times New Roman"/>
          <w:sz w:val="16"/>
        </w:rPr>
        <w:t xml:space="preserve">. </w:t>
      </w:r>
    </w:p>
    <w:p w:rsidR="000415D0" w:rsidRDefault="008E2CEA">
      <w:pPr>
        <w:spacing w:after="51" w:line="260" w:lineRule="auto"/>
        <w:ind w:left="350" w:right="1367" w:hanging="10"/>
        <w:jc w:val="both"/>
      </w:pPr>
      <w:r>
        <w:rPr>
          <w:rFonts w:ascii="Times New Roman" w:eastAsia="Times New Roman" w:hAnsi="Times New Roman" w:cs="Times New Roman"/>
          <w:sz w:val="16"/>
        </w:rPr>
        <w:t>2000;85(11):4168-4172. doi: https://doi.org/10.1210/jcem.85.11.6928</w:t>
      </w:r>
    </w:p>
    <w:p w:rsidR="000415D0" w:rsidRDefault="008E2CEA">
      <w:pPr>
        <w:numPr>
          <w:ilvl w:val="0"/>
          <w:numId w:val="2"/>
        </w:numPr>
        <w:spacing w:after="71" w:line="255" w:lineRule="auto"/>
        <w:ind w:hanging="340"/>
        <w:jc w:val="both"/>
      </w:pPr>
      <w:r>
        <w:rPr>
          <w:rFonts w:ascii="Times New Roman" w:eastAsia="Times New Roman" w:hAnsi="Times New Roman" w:cs="Times New Roman"/>
          <w:sz w:val="16"/>
        </w:rPr>
        <w:t xml:space="preserve">Marin G, Domene Hm, Barnes Km, et al. The eff ects of estrogen priming and puberty on the growth hormone response to standardized treadmill exercise and arginine-insulin in normal girls and boys. </w:t>
      </w:r>
      <w:r>
        <w:rPr>
          <w:rFonts w:ascii="Times New Roman" w:eastAsia="Times New Roman" w:hAnsi="Times New Roman" w:cs="Times New Roman"/>
          <w:i/>
          <w:sz w:val="16"/>
        </w:rPr>
        <w:t>J Clin Endocrinol Metab</w:t>
      </w:r>
      <w:r>
        <w:rPr>
          <w:rFonts w:ascii="Times New Roman" w:eastAsia="Times New Roman" w:hAnsi="Times New Roman" w:cs="Times New Roman"/>
          <w:sz w:val="16"/>
        </w:rPr>
        <w:t>. 1994;79(2):537-541. doi: https://do</w:t>
      </w:r>
      <w:r>
        <w:rPr>
          <w:rFonts w:ascii="Times New Roman" w:eastAsia="Times New Roman" w:hAnsi="Times New Roman" w:cs="Times New Roman"/>
          <w:sz w:val="16"/>
        </w:rPr>
        <w:t>i.org/10.1210/jcem.79.2.8045974</w:t>
      </w:r>
    </w:p>
    <w:p w:rsidR="000415D0" w:rsidRDefault="008E2CEA">
      <w:pPr>
        <w:numPr>
          <w:ilvl w:val="0"/>
          <w:numId w:val="2"/>
        </w:numPr>
        <w:spacing w:after="66" w:line="260" w:lineRule="auto"/>
        <w:ind w:hanging="340"/>
        <w:jc w:val="both"/>
      </w:pPr>
      <w:r>
        <w:rPr>
          <w:rFonts w:ascii="Times New Roman" w:eastAsia="Times New Roman" w:hAnsi="Times New Roman" w:cs="Times New Roman"/>
          <w:sz w:val="16"/>
        </w:rPr>
        <w:t xml:space="preserve">Gone EN, Kandemir N, Ozon A, Alikasifoglu A. Final heights of boys with normal growth hormone responses to provocative tests following priming. </w:t>
      </w:r>
      <w:r>
        <w:rPr>
          <w:rFonts w:ascii="Times New Roman" w:eastAsia="Times New Roman" w:hAnsi="Times New Roman" w:cs="Times New Roman"/>
          <w:i/>
          <w:sz w:val="16"/>
        </w:rPr>
        <w:t>J Pediatr Endocrinol Metab</w:t>
      </w:r>
      <w:r>
        <w:rPr>
          <w:rFonts w:ascii="Times New Roman" w:eastAsia="Times New Roman" w:hAnsi="Times New Roman" w:cs="Times New Roman"/>
          <w:sz w:val="16"/>
        </w:rPr>
        <w:t>. 2008;21(10). doi: https://doi.org/10.1515/jpem.2008.</w:t>
      </w:r>
      <w:r>
        <w:rPr>
          <w:rFonts w:ascii="Times New Roman" w:eastAsia="Times New Roman" w:hAnsi="Times New Roman" w:cs="Times New Roman"/>
          <w:sz w:val="16"/>
        </w:rPr>
        <w:t>21.10.963</w:t>
      </w:r>
    </w:p>
    <w:p w:rsidR="000415D0" w:rsidRDefault="008E2CEA">
      <w:pPr>
        <w:numPr>
          <w:ilvl w:val="0"/>
          <w:numId w:val="2"/>
        </w:numPr>
        <w:spacing w:after="3" w:line="260" w:lineRule="auto"/>
        <w:ind w:hanging="340"/>
        <w:jc w:val="both"/>
      </w:pPr>
      <w:r>
        <w:rPr>
          <w:rFonts w:ascii="Times New Roman" w:eastAsia="Times New Roman" w:hAnsi="Times New Roman" w:cs="Times New Roman"/>
          <w:sz w:val="16"/>
        </w:rPr>
        <w:t xml:space="preserve">Kelly A, Tang R, Becker S, Stanley CA. Poor specifi city of low growth hormone and cortisol levels during fasting hypoglycemia for the diagnoses of growth hormone defi ciency and adrenal insuffi ciency. </w:t>
      </w:r>
      <w:r>
        <w:rPr>
          <w:rFonts w:ascii="Times New Roman" w:eastAsia="Times New Roman" w:hAnsi="Times New Roman" w:cs="Times New Roman"/>
          <w:i/>
          <w:sz w:val="16"/>
        </w:rPr>
        <w:t>Pediatrics</w:t>
      </w:r>
      <w:r>
        <w:rPr>
          <w:rFonts w:ascii="Times New Roman" w:eastAsia="Times New Roman" w:hAnsi="Times New Roman" w:cs="Times New Roman"/>
          <w:sz w:val="16"/>
        </w:rPr>
        <w:t>. 2008;122(3):E522-E528.</w:t>
      </w:r>
    </w:p>
    <w:p w:rsidR="000415D0" w:rsidRDefault="008E2CEA">
      <w:pPr>
        <w:spacing w:after="66" w:line="260" w:lineRule="auto"/>
        <w:ind w:left="350" w:hanging="10"/>
        <w:jc w:val="both"/>
      </w:pPr>
      <w:r>
        <w:rPr>
          <w:rFonts w:ascii="Times New Roman" w:eastAsia="Times New Roman" w:hAnsi="Times New Roman" w:cs="Times New Roman"/>
          <w:sz w:val="16"/>
        </w:rPr>
        <w:t>doi: https://doi.org/10.1542/peds.2008-0806</w:t>
      </w:r>
    </w:p>
    <w:p w:rsidR="000415D0" w:rsidRDefault="008E2CEA">
      <w:pPr>
        <w:numPr>
          <w:ilvl w:val="0"/>
          <w:numId w:val="2"/>
        </w:numPr>
        <w:spacing w:after="66" w:line="260" w:lineRule="auto"/>
        <w:ind w:hanging="340"/>
        <w:jc w:val="both"/>
      </w:pPr>
      <w:r>
        <w:rPr>
          <w:rFonts w:ascii="Times New Roman" w:eastAsia="Times New Roman" w:hAnsi="Times New Roman" w:cs="Times New Roman"/>
          <w:sz w:val="16"/>
        </w:rPr>
        <w:t xml:space="preserve">Root AW, Dana K, Lippe B. Treatment of growth hormone-defi cient infants with recombinant human growth hormone to nearadult height: patterns of growth. </w:t>
      </w:r>
      <w:r>
        <w:rPr>
          <w:rFonts w:ascii="Times New Roman" w:eastAsia="Times New Roman" w:hAnsi="Times New Roman" w:cs="Times New Roman"/>
          <w:i/>
          <w:sz w:val="16"/>
        </w:rPr>
        <w:t>Horm Res Paediatr</w:t>
      </w:r>
      <w:r>
        <w:rPr>
          <w:rFonts w:ascii="Times New Roman" w:eastAsia="Times New Roman" w:hAnsi="Times New Roman" w:cs="Times New Roman"/>
          <w:sz w:val="16"/>
        </w:rPr>
        <w:t>. 2011;75(4):276283. doi: https://doi.org/1</w:t>
      </w:r>
      <w:r>
        <w:rPr>
          <w:rFonts w:ascii="Times New Roman" w:eastAsia="Times New Roman" w:hAnsi="Times New Roman" w:cs="Times New Roman"/>
          <w:sz w:val="16"/>
        </w:rPr>
        <w:t xml:space="preserve">0.1159/000322881 </w:t>
      </w:r>
    </w:p>
    <w:p w:rsidR="000415D0" w:rsidRDefault="008E2CEA">
      <w:pPr>
        <w:numPr>
          <w:ilvl w:val="0"/>
          <w:numId w:val="2"/>
        </w:numPr>
        <w:spacing w:after="3" w:line="260" w:lineRule="auto"/>
        <w:ind w:hanging="340"/>
        <w:jc w:val="both"/>
      </w:pPr>
      <w:r>
        <w:rPr>
          <w:rFonts w:ascii="Times New Roman" w:eastAsia="Times New Roman" w:hAnsi="Times New Roman" w:cs="Times New Roman"/>
          <w:sz w:val="16"/>
        </w:rPr>
        <w:t xml:space="preserve">Reiter EO, Price DA, Wilton P, et al. Eff ect of growth hormone (GH) treatment on the near-fi nal height of 1258 patients with idiopathic GH defi ciency: analysis of a large international database. </w:t>
      </w:r>
    </w:p>
    <w:p w:rsidR="000415D0" w:rsidRDefault="008E2CEA">
      <w:pPr>
        <w:spacing w:after="51" w:line="260" w:lineRule="auto"/>
        <w:ind w:left="350" w:right="951" w:hanging="10"/>
        <w:jc w:val="both"/>
      </w:pPr>
      <w:r>
        <w:rPr>
          <w:rFonts w:ascii="Times New Roman" w:eastAsia="Times New Roman" w:hAnsi="Times New Roman" w:cs="Times New Roman"/>
          <w:i/>
          <w:sz w:val="16"/>
        </w:rPr>
        <w:t>J Clin Endocrinol Metab</w:t>
      </w:r>
      <w:r>
        <w:rPr>
          <w:rFonts w:ascii="Times New Roman" w:eastAsia="Times New Roman" w:hAnsi="Times New Roman" w:cs="Times New Roman"/>
          <w:sz w:val="16"/>
        </w:rPr>
        <w:t>. 2006;91(6):204</w:t>
      </w:r>
      <w:r>
        <w:rPr>
          <w:rFonts w:ascii="Times New Roman" w:eastAsia="Times New Roman" w:hAnsi="Times New Roman" w:cs="Times New Roman"/>
          <w:sz w:val="16"/>
        </w:rPr>
        <w:t>7-2054. doi: https://doi.org/10.1210/jc.2005-2284</w:t>
      </w:r>
    </w:p>
    <w:p w:rsidR="000415D0" w:rsidRDefault="008E2CEA">
      <w:pPr>
        <w:numPr>
          <w:ilvl w:val="0"/>
          <w:numId w:val="2"/>
        </w:numPr>
        <w:spacing w:after="67" w:line="260" w:lineRule="auto"/>
        <w:ind w:hanging="340"/>
        <w:jc w:val="both"/>
      </w:pPr>
      <w:r>
        <w:rPr>
          <w:rFonts w:ascii="Times New Roman" w:eastAsia="Times New Roman" w:hAnsi="Times New Roman" w:cs="Times New Roman"/>
          <w:sz w:val="16"/>
        </w:rPr>
        <w:t xml:space="preserve">Carel JC. Adult height after long-term treatment with recombinant growth hormone for idiopathic isolated growth hormone defi ciency: observational follow up study of the French population based registry. </w:t>
      </w:r>
      <w:r>
        <w:rPr>
          <w:rFonts w:ascii="Times New Roman" w:eastAsia="Times New Roman" w:hAnsi="Times New Roman" w:cs="Times New Roman"/>
          <w:i/>
          <w:sz w:val="16"/>
        </w:rPr>
        <w:t>BM</w:t>
      </w:r>
      <w:r>
        <w:rPr>
          <w:rFonts w:ascii="Times New Roman" w:eastAsia="Times New Roman" w:hAnsi="Times New Roman" w:cs="Times New Roman"/>
          <w:i/>
          <w:sz w:val="16"/>
        </w:rPr>
        <w:t>J</w:t>
      </w:r>
      <w:r>
        <w:rPr>
          <w:rFonts w:ascii="Times New Roman" w:eastAsia="Times New Roman" w:hAnsi="Times New Roman" w:cs="Times New Roman"/>
          <w:sz w:val="16"/>
        </w:rPr>
        <w:t>. 2002;325(7355):70-70. doi: https://doi.org/10.1136/bmj.325.7355.70</w:t>
      </w:r>
    </w:p>
    <w:p w:rsidR="000415D0" w:rsidRDefault="008E2CEA">
      <w:pPr>
        <w:numPr>
          <w:ilvl w:val="0"/>
          <w:numId w:val="2"/>
        </w:numPr>
        <w:spacing w:after="50" w:line="260" w:lineRule="auto"/>
        <w:ind w:hanging="340"/>
        <w:jc w:val="both"/>
      </w:pPr>
      <w:r>
        <w:rPr>
          <w:rFonts w:ascii="Times New Roman" w:eastAsia="Times New Roman" w:hAnsi="Times New Roman" w:cs="Times New Roman"/>
          <w:sz w:val="16"/>
        </w:rPr>
        <w:t xml:space="preserve">Radetti G, Buzi F, Paganini C, et al. Treatment of GH-defi cient children with two diff erent GH doses: eff ect on fi nal height and cost-benefi t implications. </w:t>
      </w:r>
      <w:r>
        <w:rPr>
          <w:rFonts w:ascii="Times New Roman" w:eastAsia="Times New Roman" w:hAnsi="Times New Roman" w:cs="Times New Roman"/>
          <w:i/>
          <w:sz w:val="16"/>
        </w:rPr>
        <w:t>Eur J Endocrinol</w:t>
      </w:r>
      <w:r>
        <w:rPr>
          <w:rFonts w:ascii="Times New Roman" w:eastAsia="Times New Roman" w:hAnsi="Times New Roman" w:cs="Times New Roman"/>
          <w:sz w:val="16"/>
        </w:rPr>
        <w:t>. 2003;14</w:t>
      </w:r>
      <w:r>
        <w:rPr>
          <w:rFonts w:ascii="Times New Roman" w:eastAsia="Times New Roman" w:hAnsi="Times New Roman" w:cs="Times New Roman"/>
          <w:sz w:val="16"/>
        </w:rPr>
        <w:t>8(5):515-518. doi: https://doi.org/10.1530/eje.0.1480515</w:t>
      </w:r>
    </w:p>
    <w:p w:rsidR="000415D0" w:rsidRDefault="008E2CEA">
      <w:pPr>
        <w:numPr>
          <w:ilvl w:val="0"/>
          <w:numId w:val="2"/>
        </w:numPr>
        <w:spacing w:after="3" w:line="260" w:lineRule="auto"/>
        <w:ind w:hanging="340"/>
        <w:jc w:val="both"/>
      </w:pPr>
      <w:r>
        <w:rPr>
          <w:rFonts w:ascii="Times New Roman" w:eastAsia="Times New Roman" w:hAnsi="Times New Roman" w:cs="Times New Roman"/>
          <w:sz w:val="16"/>
        </w:rPr>
        <w:t xml:space="preserve">Juul A, Bernasconi S, Clayton PE, et al. European audit of current practice in diagnosis and treatment of childhood growth hormone defi ciency. </w:t>
      </w:r>
      <w:r>
        <w:rPr>
          <w:rFonts w:ascii="Times New Roman" w:eastAsia="Times New Roman" w:hAnsi="Times New Roman" w:cs="Times New Roman"/>
          <w:i/>
          <w:sz w:val="16"/>
        </w:rPr>
        <w:t>Horm Res</w:t>
      </w:r>
      <w:r>
        <w:rPr>
          <w:rFonts w:ascii="Times New Roman" w:eastAsia="Times New Roman" w:hAnsi="Times New Roman" w:cs="Times New Roman"/>
          <w:sz w:val="16"/>
        </w:rPr>
        <w:t>. 2002;58(5):233-241.</w:t>
      </w:r>
    </w:p>
    <w:p w:rsidR="000415D0" w:rsidRDefault="008E2CEA">
      <w:pPr>
        <w:spacing w:after="66" w:line="260" w:lineRule="auto"/>
        <w:ind w:left="350" w:hanging="10"/>
        <w:jc w:val="both"/>
      </w:pPr>
      <w:r>
        <w:rPr>
          <w:rFonts w:ascii="Times New Roman" w:eastAsia="Times New Roman" w:hAnsi="Times New Roman" w:cs="Times New Roman"/>
          <w:sz w:val="16"/>
        </w:rPr>
        <w:t>doi: https://doi.org/10.1</w:t>
      </w:r>
      <w:r>
        <w:rPr>
          <w:rFonts w:ascii="Times New Roman" w:eastAsia="Times New Roman" w:hAnsi="Times New Roman" w:cs="Times New Roman"/>
          <w:sz w:val="16"/>
        </w:rPr>
        <w:t>4341/probl201359627-43</w:t>
      </w:r>
    </w:p>
    <w:p w:rsidR="000415D0" w:rsidRDefault="008E2CEA">
      <w:pPr>
        <w:numPr>
          <w:ilvl w:val="0"/>
          <w:numId w:val="2"/>
        </w:numPr>
        <w:spacing w:after="71" w:line="255" w:lineRule="auto"/>
        <w:ind w:hanging="340"/>
        <w:jc w:val="both"/>
      </w:pPr>
      <w:r>
        <w:rPr>
          <w:rFonts w:ascii="Times New Roman" w:eastAsia="Times New Roman" w:hAnsi="Times New Roman" w:cs="Times New Roman"/>
          <w:sz w:val="16"/>
        </w:rPr>
        <w:t xml:space="preserve">Sas TC, De Ridder MA, Wit JM, et al Adult height in children with growth hormone defi ciency: a randomized, controlled, growth hormone dose-response trial. </w:t>
      </w:r>
      <w:r>
        <w:rPr>
          <w:rFonts w:ascii="Times New Roman" w:eastAsia="Times New Roman" w:hAnsi="Times New Roman" w:cs="Times New Roman"/>
          <w:i/>
          <w:sz w:val="16"/>
        </w:rPr>
        <w:t>Horm Res Paediatr</w:t>
      </w:r>
      <w:r>
        <w:rPr>
          <w:rFonts w:ascii="Times New Roman" w:eastAsia="Times New Roman" w:hAnsi="Times New Roman" w:cs="Times New Roman"/>
          <w:sz w:val="16"/>
        </w:rPr>
        <w:t>. 2010;74(3):172-181. doi: https://doi.org/10.1159/000281323</w:t>
      </w:r>
    </w:p>
    <w:p w:rsidR="000415D0" w:rsidRDefault="008E2CEA">
      <w:pPr>
        <w:numPr>
          <w:ilvl w:val="0"/>
          <w:numId w:val="2"/>
        </w:numPr>
        <w:spacing w:after="3" w:line="260" w:lineRule="auto"/>
        <w:ind w:hanging="340"/>
        <w:jc w:val="both"/>
      </w:pPr>
      <w:r>
        <w:rPr>
          <w:rFonts w:ascii="Times New Roman" w:eastAsia="Times New Roman" w:hAnsi="Times New Roman" w:cs="Times New Roman"/>
          <w:sz w:val="16"/>
        </w:rPr>
        <w:t xml:space="preserve">Kristrom B, Aronson AS, Dahlgren J, et al. Growth hormone (GH) dosing during catch-up growth guided by individual responsiveness decreases growth response variability in prepubertal children with GH defi ciency or idiopathic short stature. </w:t>
      </w:r>
      <w:r>
        <w:rPr>
          <w:rFonts w:ascii="Times New Roman" w:eastAsia="Times New Roman" w:hAnsi="Times New Roman" w:cs="Times New Roman"/>
          <w:i/>
          <w:sz w:val="16"/>
        </w:rPr>
        <w:t>J Clin Endocrin</w:t>
      </w:r>
      <w:r>
        <w:rPr>
          <w:rFonts w:ascii="Times New Roman" w:eastAsia="Times New Roman" w:hAnsi="Times New Roman" w:cs="Times New Roman"/>
          <w:i/>
          <w:sz w:val="16"/>
        </w:rPr>
        <w:t>ol Metab</w:t>
      </w:r>
      <w:r>
        <w:rPr>
          <w:rFonts w:ascii="Times New Roman" w:eastAsia="Times New Roman" w:hAnsi="Times New Roman" w:cs="Times New Roman"/>
          <w:sz w:val="16"/>
        </w:rPr>
        <w:t xml:space="preserve">. </w:t>
      </w:r>
    </w:p>
    <w:p w:rsidR="000415D0" w:rsidRDefault="008E2CEA">
      <w:pPr>
        <w:spacing w:after="3" w:line="260" w:lineRule="auto"/>
        <w:ind w:left="350" w:hanging="10"/>
        <w:jc w:val="both"/>
      </w:pPr>
      <w:r>
        <w:rPr>
          <w:rFonts w:ascii="Times New Roman" w:eastAsia="Times New Roman" w:hAnsi="Times New Roman" w:cs="Times New Roman"/>
          <w:sz w:val="16"/>
        </w:rPr>
        <w:t>2009;94(2):483-490. doi: https://doi.org/10.1210/jc.2008-1503</w:t>
      </w:r>
    </w:p>
    <w:p w:rsidR="000415D0" w:rsidRDefault="008E2CEA">
      <w:pPr>
        <w:numPr>
          <w:ilvl w:val="0"/>
          <w:numId w:val="2"/>
        </w:numPr>
        <w:spacing w:after="3" w:line="260" w:lineRule="auto"/>
        <w:ind w:hanging="340"/>
        <w:jc w:val="both"/>
      </w:pPr>
      <w:r>
        <w:rPr>
          <w:rFonts w:ascii="Times New Roman" w:eastAsia="Times New Roman" w:hAnsi="Times New Roman" w:cs="Times New Roman"/>
          <w:sz w:val="16"/>
        </w:rPr>
        <w:t xml:space="preserve">Mauras N, Attie KM, Reiter EO, et al. High dose recombinant human growth hormone (GH) treatment of GH-defi cient patients in puberty increases near-fi nal height: s randomized, multicenter trial. Genentech, Inc., Cooperative Study Group. </w:t>
      </w:r>
      <w:r>
        <w:rPr>
          <w:rFonts w:ascii="Times New Roman" w:eastAsia="Times New Roman" w:hAnsi="Times New Roman" w:cs="Times New Roman"/>
          <w:i/>
          <w:sz w:val="16"/>
        </w:rPr>
        <w:t xml:space="preserve">J Clin Endocrinol </w:t>
      </w:r>
      <w:r>
        <w:rPr>
          <w:rFonts w:ascii="Times New Roman" w:eastAsia="Times New Roman" w:hAnsi="Times New Roman" w:cs="Times New Roman"/>
          <w:i/>
          <w:sz w:val="16"/>
        </w:rPr>
        <w:t>Metab</w:t>
      </w:r>
      <w:r>
        <w:rPr>
          <w:rFonts w:ascii="Times New Roman" w:eastAsia="Times New Roman" w:hAnsi="Times New Roman" w:cs="Times New Roman"/>
          <w:sz w:val="16"/>
        </w:rPr>
        <w:t>. 2000;85(10):3653-3660.</w:t>
      </w:r>
    </w:p>
    <w:p w:rsidR="000415D0" w:rsidRDefault="008E2CEA">
      <w:pPr>
        <w:spacing w:after="69" w:line="260" w:lineRule="auto"/>
        <w:ind w:left="350" w:hanging="10"/>
        <w:jc w:val="both"/>
      </w:pPr>
      <w:r>
        <w:rPr>
          <w:rFonts w:ascii="Times New Roman" w:eastAsia="Times New Roman" w:hAnsi="Times New Roman" w:cs="Times New Roman"/>
          <w:sz w:val="16"/>
        </w:rPr>
        <w:t>doi: https://doi.org/10.1210/jcem.85.10.6906</w:t>
      </w:r>
    </w:p>
    <w:p w:rsidR="000415D0" w:rsidRDefault="008E2CEA">
      <w:pPr>
        <w:numPr>
          <w:ilvl w:val="0"/>
          <w:numId w:val="2"/>
        </w:numPr>
        <w:spacing w:after="3" w:line="260" w:lineRule="auto"/>
        <w:ind w:hanging="340"/>
        <w:jc w:val="both"/>
      </w:pPr>
      <w:r>
        <w:rPr>
          <w:rFonts w:ascii="Times New Roman" w:eastAsia="Times New Roman" w:hAnsi="Times New Roman" w:cs="Times New Roman"/>
          <w:sz w:val="16"/>
        </w:rPr>
        <w:t xml:space="preserve">Bell J, Parker Kl, Swinford Rd, Et Al. Long-term safety of recombinant human growth hormone in children. </w:t>
      </w:r>
      <w:r>
        <w:rPr>
          <w:rFonts w:ascii="Times New Roman" w:eastAsia="Times New Roman" w:hAnsi="Times New Roman" w:cs="Times New Roman"/>
          <w:i/>
          <w:sz w:val="16"/>
        </w:rPr>
        <w:t>J Clin Endocrinol Metab</w:t>
      </w:r>
      <w:r>
        <w:rPr>
          <w:rFonts w:ascii="Times New Roman" w:eastAsia="Times New Roman" w:hAnsi="Times New Roman" w:cs="Times New Roman"/>
          <w:sz w:val="16"/>
        </w:rPr>
        <w:t xml:space="preserve">. </w:t>
      </w:r>
    </w:p>
    <w:p w:rsidR="000415D0" w:rsidRDefault="008E2CEA">
      <w:pPr>
        <w:spacing w:after="70" w:line="260" w:lineRule="auto"/>
        <w:ind w:left="350" w:hanging="10"/>
        <w:jc w:val="both"/>
      </w:pPr>
      <w:r>
        <w:rPr>
          <w:rFonts w:ascii="Times New Roman" w:eastAsia="Times New Roman" w:hAnsi="Times New Roman" w:cs="Times New Roman"/>
          <w:sz w:val="16"/>
        </w:rPr>
        <w:t>2010;95(1):167-177. doi: https://doi.org/10.1210/j</w:t>
      </w:r>
      <w:r>
        <w:rPr>
          <w:rFonts w:ascii="Times New Roman" w:eastAsia="Times New Roman" w:hAnsi="Times New Roman" w:cs="Times New Roman"/>
          <w:sz w:val="16"/>
        </w:rPr>
        <w:t>c.2009-0178</w:t>
      </w:r>
    </w:p>
    <w:p w:rsidR="000415D0" w:rsidRDefault="008E2CEA">
      <w:pPr>
        <w:numPr>
          <w:ilvl w:val="0"/>
          <w:numId w:val="2"/>
        </w:numPr>
        <w:spacing w:after="4" w:line="255" w:lineRule="auto"/>
        <w:ind w:hanging="340"/>
        <w:jc w:val="both"/>
      </w:pPr>
      <w:r>
        <w:rPr>
          <w:rFonts w:ascii="Times New Roman" w:eastAsia="Times New Roman" w:hAnsi="Times New Roman" w:cs="Times New Roman"/>
          <w:sz w:val="16"/>
        </w:rPr>
        <w:t xml:space="preserve">Darendeliler F, Karagiannis G, Wilton P. Headache, idiopathic intracranial hypertension and slipped capital femoral epiphysis during growth hormone treatment: a safety update from the KIGSs database. </w:t>
      </w:r>
      <w:r>
        <w:rPr>
          <w:rFonts w:ascii="Times New Roman" w:eastAsia="Times New Roman" w:hAnsi="Times New Roman" w:cs="Times New Roman"/>
          <w:i/>
          <w:sz w:val="16"/>
        </w:rPr>
        <w:t>Horm Res</w:t>
      </w:r>
      <w:r>
        <w:rPr>
          <w:rFonts w:ascii="Times New Roman" w:eastAsia="Times New Roman" w:hAnsi="Times New Roman" w:cs="Times New Roman"/>
          <w:sz w:val="16"/>
        </w:rPr>
        <w:t>. 2007;68 Suppl 5:41-47.</w:t>
      </w:r>
    </w:p>
    <w:p w:rsidR="000415D0" w:rsidRDefault="008E2CEA">
      <w:pPr>
        <w:spacing w:after="69" w:line="260" w:lineRule="auto"/>
        <w:ind w:left="350" w:hanging="10"/>
        <w:jc w:val="both"/>
      </w:pPr>
      <w:r>
        <w:rPr>
          <w:rFonts w:ascii="Times New Roman" w:eastAsia="Times New Roman" w:hAnsi="Times New Roman" w:cs="Times New Roman"/>
          <w:sz w:val="16"/>
        </w:rPr>
        <w:t>doi: https:</w:t>
      </w:r>
      <w:r>
        <w:rPr>
          <w:rFonts w:ascii="Times New Roman" w:eastAsia="Times New Roman" w:hAnsi="Times New Roman" w:cs="Times New Roman"/>
          <w:sz w:val="16"/>
        </w:rPr>
        <w:t>//doi.org/10.1159/000110474</w:t>
      </w:r>
    </w:p>
    <w:p w:rsidR="000415D0" w:rsidRDefault="008E2CEA">
      <w:pPr>
        <w:numPr>
          <w:ilvl w:val="0"/>
          <w:numId w:val="2"/>
        </w:numPr>
        <w:spacing w:after="3" w:line="260" w:lineRule="auto"/>
        <w:ind w:hanging="340"/>
        <w:jc w:val="both"/>
      </w:pPr>
      <w:r>
        <w:rPr>
          <w:rFonts w:ascii="Times New Roman" w:eastAsia="Times New Roman" w:hAnsi="Times New Roman" w:cs="Times New Roman"/>
          <w:sz w:val="16"/>
        </w:rPr>
        <w:t xml:space="preserve">Malozowski S, Tanner LA, Wysowski DK, et al. Benign intracranial hypertension in children with growth hormone defi ciency treated with growth hormone. </w:t>
      </w:r>
      <w:r>
        <w:rPr>
          <w:rFonts w:ascii="Times New Roman" w:eastAsia="Times New Roman" w:hAnsi="Times New Roman" w:cs="Times New Roman"/>
          <w:i/>
          <w:sz w:val="16"/>
        </w:rPr>
        <w:t>J Pediatr</w:t>
      </w:r>
      <w:r>
        <w:rPr>
          <w:rFonts w:ascii="Times New Roman" w:eastAsia="Times New Roman" w:hAnsi="Times New Roman" w:cs="Times New Roman"/>
          <w:sz w:val="16"/>
        </w:rPr>
        <w:t>. 1995;126(6):996-999.</w:t>
      </w:r>
    </w:p>
    <w:p w:rsidR="000415D0" w:rsidRDefault="008E2CEA">
      <w:pPr>
        <w:spacing w:after="70" w:line="260" w:lineRule="auto"/>
        <w:ind w:left="350" w:hanging="10"/>
        <w:jc w:val="both"/>
      </w:pPr>
      <w:r>
        <w:rPr>
          <w:rFonts w:ascii="Times New Roman" w:eastAsia="Times New Roman" w:hAnsi="Times New Roman" w:cs="Times New Roman"/>
          <w:sz w:val="16"/>
        </w:rPr>
        <w:t>doi: https://doi.org/10.1016/s0022-3476(95)70</w:t>
      </w:r>
      <w:r>
        <w:rPr>
          <w:rFonts w:ascii="Times New Roman" w:eastAsia="Times New Roman" w:hAnsi="Times New Roman" w:cs="Times New Roman"/>
          <w:sz w:val="16"/>
        </w:rPr>
        <w:t>232-6</w:t>
      </w:r>
    </w:p>
    <w:p w:rsidR="000415D0" w:rsidRDefault="008E2CEA">
      <w:pPr>
        <w:numPr>
          <w:ilvl w:val="0"/>
          <w:numId w:val="2"/>
        </w:numPr>
        <w:spacing w:after="69" w:line="260" w:lineRule="auto"/>
        <w:ind w:hanging="340"/>
        <w:jc w:val="both"/>
      </w:pPr>
      <w:r>
        <w:rPr>
          <w:rFonts w:ascii="Times New Roman" w:eastAsia="Times New Roman" w:hAnsi="Times New Roman" w:cs="Times New Roman"/>
          <w:sz w:val="16"/>
        </w:rPr>
        <w:t xml:space="preserve">Cohen P, Bright GM, Rogol AD, et al. Eff ects of dose and gender on the growth and growth factor response to GH in GH-defi cient children: implications for effi  cacy and safety. </w:t>
      </w:r>
      <w:r>
        <w:rPr>
          <w:rFonts w:ascii="Times New Roman" w:eastAsia="Times New Roman" w:hAnsi="Times New Roman" w:cs="Times New Roman"/>
          <w:i/>
          <w:sz w:val="16"/>
        </w:rPr>
        <w:t>J Clin Endocrinol Metab</w:t>
      </w:r>
      <w:r>
        <w:rPr>
          <w:rFonts w:ascii="Times New Roman" w:eastAsia="Times New Roman" w:hAnsi="Times New Roman" w:cs="Times New Roman"/>
          <w:sz w:val="16"/>
        </w:rPr>
        <w:t>. 2002;87(1):90-98. doi: https://doi.org/10.1210</w:t>
      </w:r>
      <w:r>
        <w:rPr>
          <w:rFonts w:ascii="Times New Roman" w:eastAsia="Times New Roman" w:hAnsi="Times New Roman" w:cs="Times New Roman"/>
          <w:sz w:val="16"/>
        </w:rPr>
        <w:t>/jcem.87.1.8150</w:t>
      </w:r>
    </w:p>
    <w:p w:rsidR="000415D0" w:rsidRDefault="008E2CEA">
      <w:pPr>
        <w:numPr>
          <w:ilvl w:val="0"/>
          <w:numId w:val="2"/>
        </w:numPr>
        <w:spacing w:after="71" w:line="255" w:lineRule="auto"/>
        <w:ind w:hanging="340"/>
        <w:jc w:val="both"/>
      </w:pPr>
      <w:r>
        <w:rPr>
          <w:rFonts w:ascii="Times New Roman" w:eastAsia="Times New Roman" w:hAnsi="Times New Roman" w:cs="Times New Roman"/>
          <w:sz w:val="16"/>
        </w:rPr>
        <w:t xml:space="preserve">Mostoufi -Moab S, Isaacoff  EJ, Spiegel D, et al. Childhood cancer survivors exposed to total body irradiation are at signifi cant risk for slipped capital femoral epiphysis during recombinant growth hormone therapy. </w:t>
      </w:r>
      <w:r>
        <w:rPr>
          <w:rFonts w:ascii="Times New Roman" w:eastAsia="Times New Roman" w:hAnsi="Times New Roman" w:cs="Times New Roman"/>
          <w:i/>
          <w:sz w:val="16"/>
        </w:rPr>
        <w:t>Pediatr Blood Cancer</w:t>
      </w:r>
      <w:r>
        <w:rPr>
          <w:rFonts w:ascii="Times New Roman" w:eastAsia="Times New Roman" w:hAnsi="Times New Roman" w:cs="Times New Roman"/>
          <w:sz w:val="16"/>
        </w:rPr>
        <w:t>. 2</w:t>
      </w:r>
      <w:r>
        <w:rPr>
          <w:rFonts w:ascii="Times New Roman" w:eastAsia="Times New Roman" w:hAnsi="Times New Roman" w:cs="Times New Roman"/>
          <w:sz w:val="16"/>
        </w:rPr>
        <w:t>013;60(11):1766-1771. doi: https://doi.org/10.1002/pbc.24667</w:t>
      </w:r>
    </w:p>
    <w:p w:rsidR="000415D0" w:rsidRDefault="008E2CEA">
      <w:pPr>
        <w:numPr>
          <w:ilvl w:val="0"/>
          <w:numId w:val="2"/>
        </w:numPr>
        <w:spacing w:after="3" w:line="260" w:lineRule="auto"/>
        <w:ind w:hanging="340"/>
        <w:jc w:val="both"/>
      </w:pPr>
      <w:r>
        <w:rPr>
          <w:rFonts w:ascii="Times New Roman" w:eastAsia="Times New Roman" w:hAnsi="Times New Roman" w:cs="Times New Roman"/>
          <w:sz w:val="16"/>
        </w:rPr>
        <w:t xml:space="preserve">Vedi A, Neville K, Johnston K, et al. Slipped capital femoral epiphyses after total body irradiation. </w:t>
      </w:r>
      <w:r>
        <w:rPr>
          <w:rFonts w:ascii="Times New Roman" w:eastAsia="Times New Roman" w:hAnsi="Times New Roman" w:cs="Times New Roman"/>
          <w:i/>
          <w:sz w:val="16"/>
        </w:rPr>
        <w:t>Pediatr Blood Cancer</w:t>
      </w:r>
      <w:r>
        <w:rPr>
          <w:rFonts w:ascii="Times New Roman" w:eastAsia="Times New Roman" w:hAnsi="Times New Roman" w:cs="Times New Roman"/>
          <w:sz w:val="16"/>
        </w:rPr>
        <w:t xml:space="preserve">. </w:t>
      </w:r>
    </w:p>
    <w:p w:rsidR="000415D0" w:rsidRDefault="008E2CEA">
      <w:pPr>
        <w:spacing w:after="70" w:line="260" w:lineRule="auto"/>
        <w:ind w:left="350" w:hanging="10"/>
        <w:jc w:val="both"/>
      </w:pPr>
      <w:r>
        <w:rPr>
          <w:rFonts w:ascii="Times New Roman" w:eastAsia="Times New Roman" w:hAnsi="Times New Roman" w:cs="Times New Roman"/>
          <w:sz w:val="16"/>
        </w:rPr>
        <w:t>2014;61(6):1140. doi: https://doi.org/10.1002/pbc.24895</w:t>
      </w:r>
    </w:p>
    <w:p w:rsidR="000415D0" w:rsidRDefault="008E2CEA">
      <w:pPr>
        <w:numPr>
          <w:ilvl w:val="0"/>
          <w:numId w:val="2"/>
        </w:numPr>
        <w:spacing w:after="70" w:line="260" w:lineRule="auto"/>
        <w:ind w:hanging="340"/>
        <w:jc w:val="both"/>
      </w:pPr>
      <w:r>
        <w:rPr>
          <w:rFonts w:ascii="Times New Roman" w:eastAsia="Times New Roman" w:hAnsi="Times New Roman" w:cs="Times New Roman"/>
          <w:sz w:val="16"/>
        </w:rPr>
        <w:t xml:space="preserve">Carel JC, Ecosse E, Landier F, et al. Long-term mortality after recombinant growth hormone treatment for isolated growth hormone defi ciency or childhood short stature: preliminary report of the French SAGhE Study. </w:t>
      </w:r>
      <w:r>
        <w:rPr>
          <w:rFonts w:ascii="Times New Roman" w:eastAsia="Times New Roman" w:hAnsi="Times New Roman" w:cs="Times New Roman"/>
          <w:i/>
          <w:sz w:val="16"/>
        </w:rPr>
        <w:t>J Clin Endocrinol Metab</w:t>
      </w:r>
      <w:r>
        <w:rPr>
          <w:rFonts w:ascii="Times New Roman" w:eastAsia="Times New Roman" w:hAnsi="Times New Roman" w:cs="Times New Roman"/>
          <w:sz w:val="16"/>
        </w:rPr>
        <w:t>. 2012;97(2):41642</w:t>
      </w:r>
      <w:r>
        <w:rPr>
          <w:rFonts w:ascii="Times New Roman" w:eastAsia="Times New Roman" w:hAnsi="Times New Roman" w:cs="Times New Roman"/>
          <w:sz w:val="16"/>
        </w:rPr>
        <w:t>5. doi: https://doi.org/10.1210/jc.2011-1995</w:t>
      </w:r>
    </w:p>
    <w:p w:rsidR="000415D0" w:rsidRDefault="008E2CEA">
      <w:pPr>
        <w:numPr>
          <w:ilvl w:val="0"/>
          <w:numId w:val="2"/>
        </w:numPr>
        <w:spacing w:after="69" w:line="260" w:lineRule="auto"/>
        <w:ind w:hanging="340"/>
        <w:jc w:val="both"/>
      </w:pPr>
      <w:r>
        <w:rPr>
          <w:rFonts w:ascii="Times New Roman" w:eastAsia="Times New Roman" w:hAnsi="Times New Roman" w:cs="Times New Roman"/>
          <w:sz w:val="16"/>
        </w:rPr>
        <w:t>Savendahl L, Maes M, Albertsson-Wikland K, Et Al. Long-term mortality and causes of death in isolated GHD, ISS, and SGA patients treated with recombinant growth hormone during childhood in Belgium, The Netherlan</w:t>
      </w:r>
      <w:r>
        <w:rPr>
          <w:rFonts w:ascii="Times New Roman" w:eastAsia="Times New Roman" w:hAnsi="Times New Roman" w:cs="Times New Roman"/>
          <w:sz w:val="16"/>
        </w:rPr>
        <w:t xml:space="preserve">ds, and Sweden: preliminary report of 3 countries participating in the EU SAGhE Study. </w:t>
      </w:r>
      <w:r>
        <w:rPr>
          <w:rFonts w:ascii="Times New Roman" w:eastAsia="Times New Roman" w:hAnsi="Times New Roman" w:cs="Times New Roman"/>
          <w:i/>
          <w:sz w:val="16"/>
        </w:rPr>
        <w:t>J Clin Endocrinol Metab</w:t>
      </w:r>
      <w:r>
        <w:rPr>
          <w:rFonts w:ascii="Times New Roman" w:eastAsia="Times New Roman" w:hAnsi="Times New Roman" w:cs="Times New Roman"/>
          <w:sz w:val="16"/>
        </w:rPr>
        <w:t>. 2012;97(2):E213-2E17. doi: https://doi.org/10.1210/jc.2011-2882</w:t>
      </w:r>
    </w:p>
    <w:p w:rsidR="000415D0" w:rsidRDefault="008E2CEA">
      <w:pPr>
        <w:numPr>
          <w:ilvl w:val="0"/>
          <w:numId w:val="2"/>
        </w:numPr>
        <w:spacing w:after="53" w:line="260" w:lineRule="auto"/>
        <w:ind w:hanging="340"/>
        <w:jc w:val="both"/>
      </w:pPr>
      <w:r>
        <w:rPr>
          <w:rFonts w:ascii="Times New Roman" w:eastAsia="Times New Roman" w:hAnsi="Times New Roman" w:cs="Times New Roman"/>
          <w:sz w:val="16"/>
        </w:rPr>
        <w:t>Wilton P, Mattsson AF, Darendeliler F. Growth hormone treatment in children is n</w:t>
      </w:r>
      <w:r>
        <w:rPr>
          <w:rFonts w:ascii="Times New Roman" w:eastAsia="Times New Roman" w:hAnsi="Times New Roman" w:cs="Times New Roman"/>
          <w:sz w:val="16"/>
        </w:rPr>
        <w:t xml:space="preserve">ot associated with an increase in the incidence of cancer: experience from KIGS (Pfi zer International Growth Database). </w:t>
      </w:r>
      <w:r>
        <w:rPr>
          <w:rFonts w:ascii="Times New Roman" w:eastAsia="Times New Roman" w:hAnsi="Times New Roman" w:cs="Times New Roman"/>
          <w:i/>
          <w:sz w:val="16"/>
        </w:rPr>
        <w:t>J Pediatr</w:t>
      </w:r>
      <w:r>
        <w:rPr>
          <w:rFonts w:ascii="Times New Roman" w:eastAsia="Times New Roman" w:hAnsi="Times New Roman" w:cs="Times New Roman"/>
          <w:sz w:val="16"/>
        </w:rPr>
        <w:t>. 2010;157(2):265-270. doi: https://doi.org/10.1016/j.jpeds.2010.02.028</w:t>
      </w:r>
    </w:p>
    <w:p w:rsidR="000415D0" w:rsidRDefault="008E2CEA">
      <w:pPr>
        <w:numPr>
          <w:ilvl w:val="0"/>
          <w:numId w:val="2"/>
        </w:numPr>
        <w:spacing w:after="71" w:line="255" w:lineRule="auto"/>
        <w:ind w:hanging="340"/>
        <w:jc w:val="both"/>
      </w:pPr>
      <w:r>
        <w:rPr>
          <w:rFonts w:ascii="Times New Roman" w:eastAsia="Times New Roman" w:hAnsi="Times New Roman" w:cs="Times New Roman"/>
          <w:sz w:val="16"/>
        </w:rPr>
        <w:t>Albertsson-Wikland K, Martensson A, Savendahl L, et al</w:t>
      </w:r>
      <w:r>
        <w:rPr>
          <w:rFonts w:ascii="Times New Roman" w:eastAsia="Times New Roman" w:hAnsi="Times New Roman" w:cs="Times New Roman"/>
          <w:sz w:val="16"/>
        </w:rPr>
        <w:t xml:space="preserve">. Mortality is not increased in recombinant human growth hormone-treated patients when adjusting for birth characteristics. </w:t>
      </w:r>
      <w:r>
        <w:rPr>
          <w:rFonts w:ascii="Times New Roman" w:eastAsia="Times New Roman" w:hAnsi="Times New Roman" w:cs="Times New Roman"/>
          <w:i/>
          <w:sz w:val="16"/>
        </w:rPr>
        <w:t>J Clin Endocrinol Metab</w:t>
      </w:r>
      <w:r>
        <w:rPr>
          <w:rFonts w:ascii="Times New Roman" w:eastAsia="Times New Roman" w:hAnsi="Times New Roman" w:cs="Times New Roman"/>
          <w:sz w:val="16"/>
        </w:rPr>
        <w:t>. 2016;101(5):2149-2159. doi: https://doi.org/10.1210/jc.2015-3951</w:t>
      </w:r>
    </w:p>
    <w:p w:rsidR="000415D0" w:rsidRDefault="008E2CEA">
      <w:pPr>
        <w:numPr>
          <w:ilvl w:val="0"/>
          <w:numId w:val="2"/>
        </w:numPr>
        <w:spacing w:after="54" w:line="260" w:lineRule="auto"/>
        <w:ind w:hanging="340"/>
        <w:jc w:val="both"/>
      </w:pPr>
      <w:r>
        <w:rPr>
          <w:rFonts w:ascii="Times New Roman" w:eastAsia="Times New Roman" w:hAnsi="Times New Roman" w:cs="Times New Roman"/>
          <w:sz w:val="16"/>
        </w:rPr>
        <w:t xml:space="preserve">Sklar CA, Mertens AC, Mitby P, et al. Risk of disease recurrence and second neoplasms in survivors of childhood cancer treated with growth hormone: a report from the childhood cancer survivor study. </w:t>
      </w:r>
      <w:r>
        <w:rPr>
          <w:rFonts w:ascii="Times New Roman" w:eastAsia="Times New Roman" w:hAnsi="Times New Roman" w:cs="Times New Roman"/>
          <w:i/>
          <w:sz w:val="16"/>
        </w:rPr>
        <w:t>J Clin Endocrinol Metab</w:t>
      </w:r>
      <w:r>
        <w:rPr>
          <w:rFonts w:ascii="Times New Roman" w:eastAsia="Times New Roman" w:hAnsi="Times New Roman" w:cs="Times New Roman"/>
          <w:sz w:val="16"/>
        </w:rPr>
        <w:t>. 2002;87(7):3136-3141. doi: https</w:t>
      </w:r>
      <w:r>
        <w:rPr>
          <w:rFonts w:ascii="Times New Roman" w:eastAsia="Times New Roman" w:hAnsi="Times New Roman" w:cs="Times New Roman"/>
          <w:sz w:val="16"/>
        </w:rPr>
        <w:t>://doi.org/10.1210/jcem.87.7.8606</w:t>
      </w:r>
    </w:p>
    <w:p w:rsidR="000415D0" w:rsidRDefault="008E2CEA">
      <w:pPr>
        <w:numPr>
          <w:ilvl w:val="0"/>
          <w:numId w:val="2"/>
        </w:numPr>
        <w:spacing w:after="71" w:line="255" w:lineRule="auto"/>
        <w:ind w:hanging="340"/>
        <w:jc w:val="both"/>
      </w:pPr>
      <w:r>
        <w:rPr>
          <w:rFonts w:ascii="Times New Roman" w:eastAsia="Times New Roman" w:hAnsi="Times New Roman" w:cs="Times New Roman"/>
          <w:sz w:val="16"/>
        </w:rPr>
        <w:t xml:space="preserve">Karavitaki N, Warner JT, Marland A, et al. GH replacement does not increase the risk of recurrence in patients with craniopharyngioma. </w:t>
      </w:r>
      <w:r>
        <w:rPr>
          <w:rFonts w:ascii="Times New Roman" w:eastAsia="Times New Roman" w:hAnsi="Times New Roman" w:cs="Times New Roman"/>
          <w:i/>
          <w:sz w:val="16"/>
        </w:rPr>
        <w:t>Clin Endocrinol (Oxf)</w:t>
      </w:r>
      <w:r>
        <w:rPr>
          <w:rFonts w:ascii="Times New Roman" w:eastAsia="Times New Roman" w:hAnsi="Times New Roman" w:cs="Times New Roman"/>
          <w:sz w:val="16"/>
        </w:rPr>
        <w:t>. 2006;64(5):556-560. doi: https://doi.org/10.1111/j.1365-2265.200</w:t>
      </w:r>
      <w:r>
        <w:rPr>
          <w:rFonts w:ascii="Times New Roman" w:eastAsia="Times New Roman" w:hAnsi="Times New Roman" w:cs="Times New Roman"/>
          <w:sz w:val="16"/>
        </w:rPr>
        <w:t>6.02508.x</w:t>
      </w:r>
    </w:p>
    <w:p w:rsidR="000415D0" w:rsidRDefault="008E2CEA">
      <w:pPr>
        <w:numPr>
          <w:ilvl w:val="0"/>
          <w:numId w:val="2"/>
        </w:numPr>
        <w:spacing w:after="3" w:line="260" w:lineRule="auto"/>
        <w:ind w:hanging="340"/>
        <w:jc w:val="both"/>
      </w:pPr>
      <w:r>
        <w:rPr>
          <w:rFonts w:ascii="Times New Roman" w:eastAsia="Times New Roman" w:hAnsi="Times New Roman" w:cs="Times New Roman"/>
          <w:sz w:val="16"/>
        </w:rPr>
        <w:t xml:space="preserve">Boulware SD, Caprio S, et al. Decreased insulin sensitivity and compensatory hyperinsulinemia after hormone treatment in children with short stature. </w:t>
      </w:r>
      <w:r>
        <w:rPr>
          <w:rFonts w:ascii="Times New Roman" w:eastAsia="Times New Roman" w:hAnsi="Times New Roman" w:cs="Times New Roman"/>
          <w:i/>
          <w:sz w:val="16"/>
        </w:rPr>
        <w:t>J Clin Endocrinol Metab</w:t>
      </w:r>
      <w:r>
        <w:rPr>
          <w:rFonts w:ascii="Times New Roman" w:eastAsia="Times New Roman" w:hAnsi="Times New Roman" w:cs="Times New Roman"/>
          <w:sz w:val="16"/>
        </w:rPr>
        <w:t>. 1997;82(10):3234-</w:t>
      </w:r>
    </w:p>
    <w:tbl>
      <w:tblPr>
        <w:tblStyle w:val="TableGrid"/>
        <w:tblpPr w:vertAnchor="text" w:horzAnchor="margin" w:tblpY="490"/>
        <w:tblOverlap w:val="never"/>
        <w:tblW w:w="10086" w:type="dxa"/>
        <w:tblInd w:w="0" w:type="dxa"/>
        <w:tblCellMar>
          <w:top w:w="0" w:type="dxa"/>
          <w:left w:w="0" w:type="dxa"/>
          <w:bottom w:w="0" w:type="dxa"/>
          <w:right w:w="448" w:type="dxa"/>
        </w:tblCellMar>
        <w:tblLook w:val="04A0" w:firstRow="1" w:lastRow="0" w:firstColumn="1" w:lastColumn="0" w:noHBand="0" w:noVBand="1"/>
      </w:tblPr>
      <w:tblGrid>
        <w:gridCol w:w="5219"/>
      </w:tblGrid>
      <w:tr w:rsidR="000415D0">
        <w:trPr>
          <w:trHeight w:val="155"/>
        </w:trPr>
        <w:tc>
          <w:tcPr>
            <w:tcW w:w="5219" w:type="dxa"/>
            <w:tcBorders>
              <w:top w:val="nil"/>
              <w:left w:val="nil"/>
              <w:bottom w:val="nil"/>
              <w:right w:val="nil"/>
            </w:tcBorders>
            <w:vAlign w:val="bottom"/>
          </w:tcPr>
          <w:p w:rsidR="000415D0" w:rsidRDefault="008E2CEA">
            <w:pPr>
              <w:spacing w:after="260"/>
            </w:pPr>
            <w:r>
              <w:rPr>
                <w:noProof/>
              </w:rPr>
              <mc:AlternateContent>
                <mc:Choice Requires="wpg">
                  <w:drawing>
                    <wp:inline distT="0" distB="0" distL="0" distR="0">
                      <wp:extent cx="6120003" cy="6350"/>
                      <wp:effectExtent l="0" t="0" r="0" b="0"/>
                      <wp:docPr id="18155" name="Group 18155"/>
                      <wp:cNvGraphicFramePr/>
                      <a:graphic xmlns:a="http://schemas.openxmlformats.org/drawingml/2006/main">
                        <a:graphicData uri="http://schemas.microsoft.com/office/word/2010/wordprocessingGroup">
                          <wpg:wgp>
                            <wpg:cNvGrpSpPr/>
                            <wpg:grpSpPr>
                              <a:xfrm>
                                <a:off x="0" y="0"/>
                                <a:ext cx="6120003" cy="6350"/>
                                <a:chOff x="0" y="0"/>
                                <a:chExt cx="6120003" cy="6350"/>
                              </a:xfrm>
                            </wpg:grpSpPr>
                            <wps:wsp>
                              <wps:cNvPr id="1272" name="Shape 1272"/>
                              <wps:cNvSpPr/>
                              <wps:spPr>
                                <a:xfrm>
                                  <a:off x="0" y="0"/>
                                  <a:ext cx="6120003" cy="0"/>
                                </a:xfrm>
                                <a:custGeom>
                                  <a:avLst/>
                                  <a:gdLst/>
                                  <a:ahLst/>
                                  <a:cxnLst/>
                                  <a:rect l="0" t="0" r="0" b="0"/>
                                  <a:pathLst>
                                    <a:path w="6120003">
                                      <a:moveTo>
                                        <a:pt x="0" y="0"/>
                                      </a:moveTo>
                                      <a:lnTo>
                                        <a:pt x="6120003"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155" style="width:481.89pt;height:0.5pt;mso-position-horizontal-relative:char;mso-position-vertical-relative:line" coordsize="61200,63">
                      <v:shape id="Shape 1272" style="position:absolute;width:61200;height:0;left:0;top:0;" coordsize="6120003,0" path="m0,0l6120003,0">
                        <v:stroke weight="0.5pt" endcap="flat" joinstyle="miter" miterlimit="4" on="true" color="#000000"/>
                        <v:fill on="false" color="#000000" opacity="0"/>
                      </v:shape>
                    </v:group>
                  </w:pict>
                </mc:Fallback>
              </mc:AlternateContent>
            </w:r>
          </w:p>
          <w:p w:rsidR="000415D0" w:rsidRDefault="008E2CEA">
            <w:pPr>
              <w:spacing w:after="0"/>
              <w:ind w:left="4415"/>
              <w:jc w:val="both"/>
            </w:pPr>
            <w:r>
              <w:rPr>
                <w:rFonts w:ascii="Times New Roman" w:eastAsia="Times New Roman" w:hAnsi="Times New Roman" w:cs="Times New Roman"/>
                <w:i/>
                <w:sz w:val="16"/>
              </w:rPr>
              <w:t>ПРОБЛЕМЫ ЭНДОКРИНОЛОГИИ 2018. — Т. 64 — №6. — С. 40</w:t>
            </w:r>
            <w:r>
              <w:rPr>
                <w:rFonts w:ascii="Times New Roman" w:eastAsia="Times New Roman" w:hAnsi="Times New Roman" w:cs="Times New Roman"/>
                <w:i/>
                <w:sz w:val="16"/>
              </w:rPr>
              <w:t>2–411</w:t>
            </w:r>
          </w:p>
        </w:tc>
      </w:tr>
    </w:tbl>
    <w:p w:rsidR="000415D0" w:rsidRDefault="008E2CEA">
      <w:pPr>
        <w:spacing w:after="3" w:line="260" w:lineRule="auto"/>
        <w:ind w:left="350" w:hanging="10"/>
        <w:jc w:val="both"/>
      </w:pPr>
      <w:r>
        <w:rPr>
          <w:rFonts w:ascii="Times New Roman" w:eastAsia="Times New Roman" w:hAnsi="Times New Roman" w:cs="Times New Roman"/>
          <w:sz w:val="16"/>
        </w:rPr>
        <w:t>3238. doi: https://doi.org/10.1210/jcem.82.10.4302</w:t>
      </w:r>
    </w:p>
    <w:p w:rsidR="000415D0" w:rsidRDefault="008E2CEA">
      <w:pPr>
        <w:numPr>
          <w:ilvl w:val="0"/>
          <w:numId w:val="2"/>
        </w:numPr>
        <w:spacing w:after="3" w:line="260" w:lineRule="auto"/>
        <w:ind w:hanging="340"/>
        <w:jc w:val="both"/>
      </w:pPr>
      <w:r>
        <w:rPr>
          <w:rFonts w:ascii="Times New Roman" w:eastAsia="Times New Roman" w:hAnsi="Times New Roman" w:cs="Times New Roman"/>
          <w:sz w:val="16"/>
        </w:rPr>
        <w:t>Bareille P, Azcona C, Matthews DR, et al. Lipid profi le, glucose tolerance and insulin sensitivity after more than four years of growth hormone therapy in non-growth hormone defi cient adolescents.</w:t>
      </w:r>
    </w:p>
    <w:p w:rsidR="000415D0" w:rsidRDefault="008E2CEA">
      <w:pPr>
        <w:spacing w:after="3" w:line="260" w:lineRule="auto"/>
        <w:ind w:left="747" w:hanging="10"/>
        <w:jc w:val="both"/>
      </w:pPr>
      <w:r>
        <w:rPr>
          <w:rFonts w:ascii="Times New Roman" w:eastAsia="Times New Roman" w:hAnsi="Times New Roman" w:cs="Times New Roman"/>
          <w:i/>
          <w:sz w:val="16"/>
        </w:rPr>
        <w:t>Clin Endocrinol (Oxf)</w:t>
      </w:r>
      <w:r>
        <w:rPr>
          <w:rFonts w:ascii="Times New Roman" w:eastAsia="Times New Roman" w:hAnsi="Times New Roman" w:cs="Times New Roman"/>
          <w:sz w:val="16"/>
        </w:rPr>
        <w:t>. 1999;51(3):347-353.</w:t>
      </w:r>
    </w:p>
    <w:p w:rsidR="000415D0" w:rsidRDefault="008E2CEA">
      <w:pPr>
        <w:spacing w:after="48" w:line="260" w:lineRule="auto"/>
        <w:ind w:left="747" w:hanging="10"/>
        <w:jc w:val="both"/>
      </w:pPr>
      <w:r>
        <w:rPr>
          <w:rFonts w:ascii="Times New Roman" w:eastAsia="Times New Roman" w:hAnsi="Times New Roman" w:cs="Times New Roman"/>
          <w:sz w:val="16"/>
        </w:rPr>
        <w:t>doi: https://doi.org/10.1046/j.1365-2265.1999.00765.x</w:t>
      </w:r>
    </w:p>
    <w:p w:rsidR="000415D0" w:rsidRDefault="008E2CEA">
      <w:pPr>
        <w:numPr>
          <w:ilvl w:val="0"/>
          <w:numId w:val="2"/>
        </w:numPr>
        <w:spacing w:after="3" w:line="260" w:lineRule="auto"/>
        <w:ind w:hanging="340"/>
        <w:jc w:val="both"/>
      </w:pPr>
      <w:r>
        <w:rPr>
          <w:rFonts w:ascii="Times New Roman" w:eastAsia="Times New Roman" w:hAnsi="Times New Roman" w:cs="Times New Roman"/>
          <w:sz w:val="16"/>
        </w:rPr>
        <w:t xml:space="preserve">Burgers AM, Biermasz NR, Schoones JW, et al. Metaanalysis and dose-response metaregression: circulating insulin-like growth factor </w:t>
      </w:r>
    </w:p>
    <w:p w:rsidR="000415D0" w:rsidRDefault="008E2CEA">
      <w:pPr>
        <w:spacing w:after="3" w:line="260" w:lineRule="auto"/>
        <w:ind w:left="747" w:hanging="10"/>
        <w:jc w:val="both"/>
      </w:pPr>
      <w:r>
        <w:rPr>
          <w:rFonts w:ascii="Times New Roman" w:eastAsia="Times New Roman" w:hAnsi="Times New Roman" w:cs="Times New Roman"/>
          <w:sz w:val="16"/>
        </w:rPr>
        <w:t xml:space="preserve">I (IGF-I) and mortality. </w:t>
      </w:r>
      <w:r>
        <w:rPr>
          <w:rFonts w:ascii="Times New Roman" w:eastAsia="Times New Roman" w:hAnsi="Times New Roman" w:cs="Times New Roman"/>
          <w:i/>
          <w:sz w:val="16"/>
        </w:rPr>
        <w:t>J</w:t>
      </w:r>
      <w:r>
        <w:rPr>
          <w:rFonts w:ascii="Times New Roman" w:eastAsia="Times New Roman" w:hAnsi="Times New Roman" w:cs="Times New Roman"/>
          <w:i/>
          <w:sz w:val="16"/>
        </w:rPr>
        <w:t xml:space="preserve"> Clin Endocrinol Metab</w:t>
      </w:r>
      <w:r>
        <w:rPr>
          <w:rFonts w:ascii="Times New Roman" w:eastAsia="Times New Roman" w:hAnsi="Times New Roman" w:cs="Times New Roman"/>
          <w:sz w:val="16"/>
        </w:rPr>
        <w:t>. 2011;96(9):2912-</w:t>
      </w:r>
    </w:p>
    <w:p w:rsidR="000415D0" w:rsidRDefault="008E2CEA">
      <w:pPr>
        <w:spacing w:after="64" w:line="260" w:lineRule="auto"/>
        <w:ind w:left="747" w:hanging="10"/>
        <w:jc w:val="both"/>
      </w:pPr>
      <w:r>
        <w:rPr>
          <w:rFonts w:ascii="Times New Roman" w:eastAsia="Times New Roman" w:hAnsi="Times New Roman" w:cs="Times New Roman"/>
          <w:sz w:val="16"/>
        </w:rPr>
        <w:t>2920. doi: https://doi.org/10.1210/jc.2011-1377</w:t>
      </w:r>
    </w:p>
    <w:p w:rsidR="000415D0" w:rsidRDefault="008E2CEA">
      <w:pPr>
        <w:numPr>
          <w:ilvl w:val="0"/>
          <w:numId w:val="2"/>
        </w:numPr>
        <w:spacing w:after="71" w:line="255" w:lineRule="auto"/>
        <w:ind w:hanging="340"/>
        <w:jc w:val="both"/>
      </w:pPr>
      <w:r>
        <w:rPr>
          <w:rFonts w:ascii="Times New Roman" w:eastAsia="Times New Roman" w:hAnsi="Times New Roman" w:cs="Times New Roman"/>
          <w:sz w:val="16"/>
        </w:rPr>
        <w:t>Cutfi eld WS, Wilton P, Bennmarker H, et al. Incidence of diabetes mellitus and impaired glucose tolerance in children and adolescents receiving growth-hormone treatme</w:t>
      </w:r>
      <w:r>
        <w:rPr>
          <w:rFonts w:ascii="Times New Roman" w:eastAsia="Times New Roman" w:hAnsi="Times New Roman" w:cs="Times New Roman"/>
          <w:sz w:val="16"/>
        </w:rPr>
        <w:t>nt.</w:t>
      </w:r>
      <w:r>
        <w:rPr>
          <w:rFonts w:ascii="Times New Roman" w:eastAsia="Times New Roman" w:hAnsi="Times New Roman" w:cs="Times New Roman"/>
          <w:i/>
          <w:sz w:val="16"/>
        </w:rPr>
        <w:t xml:space="preserve"> Lancet</w:t>
      </w:r>
      <w:r>
        <w:rPr>
          <w:rFonts w:ascii="Times New Roman" w:eastAsia="Times New Roman" w:hAnsi="Times New Roman" w:cs="Times New Roman"/>
          <w:sz w:val="16"/>
        </w:rPr>
        <w:t>. 2000;355(9204):610613. doi: https://doi.org/10.1016/s0140-6736(99)04055-6</w:t>
      </w:r>
    </w:p>
    <w:p w:rsidR="000415D0" w:rsidRDefault="008E2CEA">
      <w:pPr>
        <w:numPr>
          <w:ilvl w:val="0"/>
          <w:numId w:val="2"/>
        </w:numPr>
        <w:spacing w:after="64" w:line="260" w:lineRule="auto"/>
        <w:ind w:hanging="340"/>
        <w:jc w:val="both"/>
      </w:pPr>
      <w:r>
        <w:rPr>
          <w:rFonts w:ascii="Times New Roman" w:eastAsia="Times New Roman" w:hAnsi="Times New Roman" w:cs="Times New Roman"/>
          <w:sz w:val="16"/>
        </w:rPr>
        <w:t xml:space="preserve">Dahlgren J. Metabolic benefi ts of growth hormone therapy in idiopathic short stature. </w:t>
      </w:r>
      <w:r>
        <w:rPr>
          <w:rFonts w:ascii="Times New Roman" w:eastAsia="Times New Roman" w:hAnsi="Times New Roman" w:cs="Times New Roman"/>
          <w:i/>
          <w:sz w:val="16"/>
        </w:rPr>
        <w:t>Horm Res Paediatr</w:t>
      </w:r>
      <w:r>
        <w:rPr>
          <w:rFonts w:ascii="Times New Roman" w:eastAsia="Times New Roman" w:hAnsi="Times New Roman" w:cs="Times New Roman"/>
          <w:sz w:val="16"/>
        </w:rPr>
        <w:t>. 2011;76 Suppl 3:56-58. doi: https://doi.org/10.1159/000330165</w:t>
      </w:r>
    </w:p>
    <w:p w:rsidR="000415D0" w:rsidRDefault="008E2CEA">
      <w:pPr>
        <w:numPr>
          <w:ilvl w:val="0"/>
          <w:numId w:val="2"/>
        </w:numPr>
        <w:spacing w:after="71" w:line="255" w:lineRule="auto"/>
        <w:ind w:hanging="340"/>
        <w:jc w:val="both"/>
      </w:pPr>
      <w:r>
        <w:rPr>
          <w:rFonts w:ascii="Times New Roman" w:eastAsia="Times New Roman" w:hAnsi="Times New Roman" w:cs="Times New Roman"/>
          <w:sz w:val="16"/>
        </w:rPr>
        <w:t xml:space="preserve">Loche S, Bizzarri C, Maghnie M, et al. Results of early reevaluation of growth hormone secretion in short children with apparent growth hormone defi ciency. </w:t>
      </w:r>
      <w:r>
        <w:rPr>
          <w:rFonts w:ascii="Times New Roman" w:eastAsia="Times New Roman" w:hAnsi="Times New Roman" w:cs="Times New Roman"/>
          <w:i/>
          <w:sz w:val="16"/>
        </w:rPr>
        <w:t>J Pediatr</w:t>
      </w:r>
      <w:r>
        <w:rPr>
          <w:rFonts w:ascii="Times New Roman" w:eastAsia="Times New Roman" w:hAnsi="Times New Roman" w:cs="Times New Roman"/>
          <w:sz w:val="16"/>
        </w:rPr>
        <w:t>. 2002;140(4):445-449. doi: https://doi.org/10.1067/mpd.2002.122729</w:t>
      </w:r>
    </w:p>
    <w:p w:rsidR="000415D0" w:rsidRDefault="008E2CEA">
      <w:pPr>
        <w:numPr>
          <w:ilvl w:val="0"/>
          <w:numId w:val="2"/>
        </w:numPr>
        <w:spacing w:after="65" w:line="260" w:lineRule="auto"/>
        <w:ind w:hanging="340"/>
        <w:jc w:val="both"/>
      </w:pPr>
      <w:r>
        <w:rPr>
          <w:rFonts w:ascii="Times New Roman" w:eastAsia="Times New Roman" w:hAnsi="Times New Roman" w:cs="Times New Roman"/>
          <w:sz w:val="16"/>
        </w:rPr>
        <w:t>Maghnie M, Strigazzi C</w:t>
      </w:r>
      <w:r>
        <w:rPr>
          <w:rFonts w:ascii="Times New Roman" w:eastAsia="Times New Roman" w:hAnsi="Times New Roman" w:cs="Times New Roman"/>
          <w:sz w:val="16"/>
        </w:rPr>
        <w:t xml:space="preserve">, Tinelli C, et al. Growth hormone (GH) defi ciency (GHD) of childhood onset: reassessment of GH status and evaluation of the predictive criteria for permanent GHD in young adults. </w:t>
      </w:r>
      <w:r>
        <w:rPr>
          <w:rFonts w:ascii="Times New Roman" w:eastAsia="Times New Roman" w:hAnsi="Times New Roman" w:cs="Times New Roman"/>
          <w:i/>
          <w:sz w:val="16"/>
        </w:rPr>
        <w:t>J Clin Endocrinol Metab</w:t>
      </w:r>
      <w:r>
        <w:rPr>
          <w:rFonts w:ascii="Times New Roman" w:eastAsia="Times New Roman" w:hAnsi="Times New Roman" w:cs="Times New Roman"/>
          <w:sz w:val="16"/>
        </w:rPr>
        <w:t>. 1999;84(4):1324-1328. doi: https://doi.org/10.1210</w:t>
      </w:r>
      <w:r>
        <w:rPr>
          <w:rFonts w:ascii="Times New Roman" w:eastAsia="Times New Roman" w:hAnsi="Times New Roman" w:cs="Times New Roman"/>
          <w:sz w:val="16"/>
        </w:rPr>
        <w:t>/jcem.84.4.5614</w:t>
      </w:r>
    </w:p>
    <w:p w:rsidR="000415D0" w:rsidRDefault="008E2CEA">
      <w:pPr>
        <w:numPr>
          <w:ilvl w:val="0"/>
          <w:numId w:val="2"/>
        </w:numPr>
        <w:spacing w:after="3" w:line="260" w:lineRule="auto"/>
        <w:ind w:hanging="340"/>
        <w:jc w:val="both"/>
      </w:pPr>
      <w:r>
        <w:rPr>
          <w:rFonts w:ascii="Times New Roman" w:eastAsia="Times New Roman" w:hAnsi="Times New Roman" w:cs="Times New Roman"/>
          <w:sz w:val="16"/>
        </w:rPr>
        <w:t xml:space="preserve">Hartman ML, Crowe BJ, Biller BM, et al. Which patients do not require a GH stimulation test for the diagnosis of adult GH defi ciency? </w:t>
      </w:r>
      <w:r>
        <w:rPr>
          <w:rFonts w:ascii="Times New Roman" w:eastAsia="Times New Roman" w:hAnsi="Times New Roman" w:cs="Times New Roman"/>
          <w:i/>
          <w:sz w:val="16"/>
        </w:rPr>
        <w:t>J Clin Endocrinol Metab</w:t>
      </w:r>
      <w:r>
        <w:rPr>
          <w:rFonts w:ascii="Times New Roman" w:eastAsia="Times New Roman" w:hAnsi="Times New Roman" w:cs="Times New Roman"/>
          <w:sz w:val="16"/>
        </w:rPr>
        <w:t>. 2002;87(2):477-485.</w:t>
      </w:r>
    </w:p>
    <w:p w:rsidR="000415D0" w:rsidRDefault="008E2CEA">
      <w:pPr>
        <w:spacing w:after="3" w:line="260" w:lineRule="auto"/>
        <w:ind w:left="747" w:hanging="10"/>
        <w:jc w:val="both"/>
      </w:pPr>
      <w:r>
        <w:rPr>
          <w:rFonts w:ascii="Times New Roman" w:eastAsia="Times New Roman" w:hAnsi="Times New Roman" w:cs="Times New Roman"/>
          <w:sz w:val="16"/>
        </w:rPr>
        <w:t>doi: https://doi.org/10.1210/jcem.87.2.8216</w:t>
      </w:r>
    </w:p>
    <w:p w:rsidR="000415D0" w:rsidRDefault="008E2CEA">
      <w:pPr>
        <w:numPr>
          <w:ilvl w:val="0"/>
          <w:numId w:val="2"/>
        </w:numPr>
        <w:spacing w:after="65" w:line="260" w:lineRule="auto"/>
        <w:ind w:hanging="340"/>
        <w:jc w:val="both"/>
      </w:pPr>
      <w:r>
        <w:rPr>
          <w:rFonts w:ascii="Times New Roman" w:eastAsia="Times New Roman" w:hAnsi="Times New Roman" w:cs="Times New Roman"/>
          <w:sz w:val="16"/>
        </w:rPr>
        <w:t>Toogood AA, Bear</w:t>
      </w:r>
      <w:r>
        <w:rPr>
          <w:rFonts w:ascii="Times New Roman" w:eastAsia="Times New Roman" w:hAnsi="Times New Roman" w:cs="Times New Roman"/>
          <w:sz w:val="16"/>
        </w:rPr>
        <w:t xml:space="preserve">dwell CG, Shalet SM. The severity of growth hormone defi ciency in adults with pituitary disease is related to the degree of hypopituitarism. </w:t>
      </w:r>
      <w:r>
        <w:rPr>
          <w:rFonts w:ascii="Times New Roman" w:eastAsia="Times New Roman" w:hAnsi="Times New Roman" w:cs="Times New Roman"/>
          <w:i/>
          <w:sz w:val="16"/>
        </w:rPr>
        <w:t>Clin Endocrinol (Oxf)</w:t>
      </w:r>
      <w:r>
        <w:rPr>
          <w:rFonts w:ascii="Times New Roman" w:eastAsia="Times New Roman" w:hAnsi="Times New Roman" w:cs="Times New Roman"/>
          <w:sz w:val="16"/>
        </w:rPr>
        <w:t>. 1994;41(4):511516. doi: https://doi.org/10.1111/j.1365-2265.1994.tb02583.x</w:t>
      </w:r>
    </w:p>
    <w:p w:rsidR="000415D0" w:rsidRDefault="008E2CEA">
      <w:pPr>
        <w:numPr>
          <w:ilvl w:val="0"/>
          <w:numId w:val="2"/>
        </w:numPr>
        <w:spacing w:after="65" w:line="260" w:lineRule="auto"/>
        <w:ind w:hanging="340"/>
        <w:jc w:val="both"/>
      </w:pPr>
      <w:r>
        <w:rPr>
          <w:rFonts w:ascii="Times New Roman" w:eastAsia="Times New Roman" w:hAnsi="Times New Roman" w:cs="Times New Roman"/>
          <w:sz w:val="16"/>
        </w:rPr>
        <w:t>Attanasio AF, Ho</w:t>
      </w:r>
      <w:r>
        <w:rPr>
          <w:rFonts w:ascii="Times New Roman" w:eastAsia="Times New Roman" w:hAnsi="Times New Roman" w:cs="Times New Roman"/>
          <w:sz w:val="16"/>
        </w:rPr>
        <w:t xml:space="preserve">well S, Bates PC, et al. Confi rmation of severe GH defi ciency after fi nal height in patients diagnosed as GH defi cient during childhood. </w:t>
      </w:r>
      <w:r>
        <w:rPr>
          <w:rFonts w:ascii="Times New Roman" w:eastAsia="Times New Roman" w:hAnsi="Times New Roman" w:cs="Times New Roman"/>
          <w:i/>
          <w:sz w:val="16"/>
        </w:rPr>
        <w:t>Clin Endocrinol (Oxf)</w:t>
      </w:r>
      <w:r>
        <w:rPr>
          <w:rFonts w:ascii="Times New Roman" w:eastAsia="Times New Roman" w:hAnsi="Times New Roman" w:cs="Times New Roman"/>
          <w:sz w:val="16"/>
        </w:rPr>
        <w:t>. 2002;56(4):503-507. doi: https://doi.org/10.1046/j.1365-2265.2002.01515.x</w:t>
      </w:r>
    </w:p>
    <w:p w:rsidR="000415D0" w:rsidRDefault="008E2CEA">
      <w:pPr>
        <w:numPr>
          <w:ilvl w:val="0"/>
          <w:numId w:val="2"/>
        </w:numPr>
        <w:spacing w:after="3" w:line="260" w:lineRule="auto"/>
        <w:ind w:hanging="340"/>
        <w:jc w:val="both"/>
      </w:pPr>
      <w:r>
        <w:rPr>
          <w:rFonts w:ascii="Times New Roman" w:eastAsia="Times New Roman" w:hAnsi="Times New Roman" w:cs="Times New Roman"/>
          <w:sz w:val="16"/>
        </w:rPr>
        <w:t xml:space="preserve">Secco A, Di Iorgi </w:t>
      </w:r>
      <w:r>
        <w:rPr>
          <w:rFonts w:ascii="Times New Roman" w:eastAsia="Times New Roman" w:hAnsi="Times New Roman" w:cs="Times New Roman"/>
          <w:sz w:val="16"/>
        </w:rPr>
        <w:t xml:space="preserve">N, Napoli F, et al. Reassessment of the growth hormone status in young adults with childhood-onset growth hormone defi ciency: reappraisal of insulin tolerance testing. </w:t>
      </w:r>
      <w:r>
        <w:rPr>
          <w:rFonts w:ascii="Times New Roman" w:eastAsia="Times New Roman" w:hAnsi="Times New Roman" w:cs="Times New Roman"/>
          <w:i/>
          <w:sz w:val="16"/>
        </w:rPr>
        <w:t>J Clin Endocrinol Metab</w:t>
      </w:r>
      <w:r>
        <w:rPr>
          <w:rFonts w:ascii="Times New Roman" w:eastAsia="Times New Roman" w:hAnsi="Times New Roman" w:cs="Times New Roman"/>
          <w:sz w:val="16"/>
        </w:rPr>
        <w:t>. 2009;94(11):4195-4204.</w:t>
      </w:r>
    </w:p>
    <w:p w:rsidR="000415D0" w:rsidRDefault="008E2CEA">
      <w:pPr>
        <w:spacing w:after="64" w:line="260" w:lineRule="auto"/>
        <w:ind w:left="350" w:hanging="10"/>
        <w:jc w:val="both"/>
      </w:pPr>
      <w:r>
        <w:rPr>
          <w:rFonts w:ascii="Times New Roman" w:eastAsia="Times New Roman" w:hAnsi="Times New Roman" w:cs="Times New Roman"/>
          <w:sz w:val="16"/>
        </w:rPr>
        <w:t>doi: https://doi.org/10.1210/jc.2009-06</w:t>
      </w:r>
      <w:r>
        <w:rPr>
          <w:rFonts w:ascii="Times New Roman" w:eastAsia="Times New Roman" w:hAnsi="Times New Roman" w:cs="Times New Roman"/>
          <w:sz w:val="16"/>
        </w:rPr>
        <w:t>02</w:t>
      </w:r>
    </w:p>
    <w:p w:rsidR="000415D0" w:rsidRDefault="008E2CEA">
      <w:pPr>
        <w:numPr>
          <w:ilvl w:val="0"/>
          <w:numId w:val="2"/>
        </w:numPr>
        <w:spacing w:after="3" w:line="260" w:lineRule="auto"/>
        <w:ind w:hanging="340"/>
        <w:jc w:val="both"/>
      </w:pPr>
      <w:r>
        <w:rPr>
          <w:rFonts w:ascii="Times New Roman" w:eastAsia="Times New Roman" w:hAnsi="Times New Roman" w:cs="Times New Roman"/>
          <w:sz w:val="16"/>
        </w:rPr>
        <w:t xml:space="preserve">Maghnie M, Aimaretti G, Bellone S, et al. Diagnosis of GH defi ciency in the transition period: accuracy of insulin tolerance test and insulin-like growth factor-I measurement. </w:t>
      </w:r>
      <w:r>
        <w:rPr>
          <w:rFonts w:ascii="Times New Roman" w:eastAsia="Times New Roman" w:hAnsi="Times New Roman" w:cs="Times New Roman"/>
          <w:i/>
          <w:sz w:val="16"/>
        </w:rPr>
        <w:t>Eur J Endocrinol</w:t>
      </w:r>
      <w:r>
        <w:rPr>
          <w:rFonts w:ascii="Times New Roman" w:eastAsia="Times New Roman" w:hAnsi="Times New Roman" w:cs="Times New Roman"/>
          <w:sz w:val="16"/>
        </w:rPr>
        <w:t xml:space="preserve">. </w:t>
      </w:r>
    </w:p>
    <w:p w:rsidR="000415D0" w:rsidRDefault="008E2CEA">
      <w:pPr>
        <w:spacing w:after="64"/>
        <w:ind w:left="84"/>
        <w:jc w:val="center"/>
      </w:pPr>
      <w:r>
        <w:rPr>
          <w:rFonts w:ascii="Times New Roman" w:eastAsia="Times New Roman" w:hAnsi="Times New Roman" w:cs="Times New Roman"/>
          <w:sz w:val="16"/>
        </w:rPr>
        <w:t>2005;152(4):589-596. doi: https://doi.org/10.1530/eje.1.0</w:t>
      </w:r>
      <w:r>
        <w:rPr>
          <w:rFonts w:ascii="Times New Roman" w:eastAsia="Times New Roman" w:hAnsi="Times New Roman" w:cs="Times New Roman"/>
          <w:sz w:val="16"/>
        </w:rPr>
        <w:t>1873</w:t>
      </w:r>
    </w:p>
    <w:tbl>
      <w:tblPr>
        <w:tblStyle w:val="TableGrid"/>
        <w:tblpPr w:vertAnchor="page" w:horzAnchor="page" w:tblpX="1150" w:tblpY="498"/>
        <w:tblOverlap w:val="never"/>
        <w:tblW w:w="9638" w:type="dxa"/>
        <w:tblInd w:w="0" w:type="dxa"/>
        <w:tblCellMar>
          <w:top w:w="78" w:type="dxa"/>
          <w:left w:w="113" w:type="dxa"/>
          <w:bottom w:w="0" w:type="dxa"/>
          <w:right w:w="113" w:type="dxa"/>
        </w:tblCellMar>
        <w:tblLook w:val="04A0" w:firstRow="1" w:lastRow="0" w:firstColumn="1" w:lastColumn="0" w:noHBand="0" w:noVBand="1"/>
      </w:tblPr>
      <w:tblGrid>
        <w:gridCol w:w="4944"/>
        <w:gridCol w:w="340"/>
        <w:gridCol w:w="4353"/>
      </w:tblGrid>
      <w:tr w:rsidR="000415D0">
        <w:trPr>
          <w:trHeight w:val="283"/>
        </w:trPr>
        <w:tc>
          <w:tcPr>
            <w:tcW w:w="4944" w:type="dxa"/>
            <w:tcBorders>
              <w:top w:val="nil"/>
              <w:left w:val="nil"/>
              <w:bottom w:val="nil"/>
              <w:right w:val="nil"/>
            </w:tcBorders>
            <w:shd w:val="clear" w:color="auto" w:fill="D0D0D0"/>
          </w:tcPr>
          <w:p w:rsidR="000415D0" w:rsidRDefault="008E2CEA">
            <w:pPr>
              <w:spacing w:after="0"/>
            </w:pPr>
            <w:r>
              <w:rPr>
                <w:rFonts w:ascii="Times New Roman" w:eastAsia="Times New Roman" w:hAnsi="Times New Roman" w:cs="Times New Roman"/>
                <w:b/>
                <w:i/>
                <w:sz w:val="18"/>
              </w:rPr>
              <w:t xml:space="preserve">DOI: </w:t>
            </w:r>
            <w:r>
              <w:rPr>
                <w:rFonts w:ascii="Times New Roman" w:eastAsia="Times New Roman" w:hAnsi="Times New Roman" w:cs="Times New Roman"/>
                <w:i/>
                <w:sz w:val="18"/>
              </w:rPr>
              <w:t>https://doi.org/10.14341/probl</w:t>
            </w:r>
            <w:r>
              <w:rPr>
                <w:i/>
                <w:sz w:val="18"/>
              </w:rPr>
              <w:t>1</w:t>
            </w:r>
            <w:r>
              <w:rPr>
                <w:rFonts w:ascii="Times New Roman" w:eastAsia="Times New Roman" w:hAnsi="Times New Roman" w:cs="Times New Roman"/>
                <w:i/>
                <w:sz w:val="18"/>
              </w:rPr>
              <w:t>0091</w:t>
            </w:r>
          </w:p>
        </w:tc>
        <w:tc>
          <w:tcPr>
            <w:tcW w:w="340" w:type="dxa"/>
            <w:tcBorders>
              <w:top w:val="nil"/>
              <w:left w:val="nil"/>
              <w:bottom w:val="nil"/>
              <w:right w:val="nil"/>
            </w:tcBorders>
            <w:shd w:val="clear" w:color="auto" w:fill="D0D0D0"/>
          </w:tcPr>
          <w:p w:rsidR="000415D0" w:rsidRDefault="000415D0"/>
        </w:tc>
        <w:tc>
          <w:tcPr>
            <w:tcW w:w="4353" w:type="dxa"/>
            <w:tcBorders>
              <w:top w:val="nil"/>
              <w:left w:val="nil"/>
              <w:bottom w:val="nil"/>
              <w:right w:val="nil"/>
            </w:tcBorders>
            <w:shd w:val="clear" w:color="auto" w:fill="D0D0D0"/>
          </w:tcPr>
          <w:p w:rsidR="000415D0" w:rsidRDefault="008E2CEA">
            <w:pPr>
              <w:spacing w:after="0"/>
              <w:jc w:val="right"/>
            </w:pPr>
            <w:r>
              <w:rPr>
                <w:rFonts w:ascii="Times New Roman" w:eastAsia="Times New Roman" w:hAnsi="Times New Roman" w:cs="Times New Roman"/>
                <w:i/>
                <w:sz w:val="18"/>
              </w:rPr>
              <w:t>CONSENSUS</w:t>
            </w:r>
          </w:p>
        </w:tc>
      </w:tr>
    </w:tbl>
    <w:p w:rsidR="000415D0" w:rsidRDefault="008E2CEA">
      <w:pPr>
        <w:numPr>
          <w:ilvl w:val="0"/>
          <w:numId w:val="2"/>
        </w:numPr>
        <w:spacing w:after="3" w:line="260" w:lineRule="auto"/>
        <w:ind w:hanging="340"/>
        <w:jc w:val="both"/>
      </w:pPr>
      <w:r>
        <w:rPr>
          <w:noProof/>
        </w:rPr>
        <mc:AlternateContent>
          <mc:Choice Requires="wpg">
            <w:drawing>
              <wp:anchor distT="0" distB="0" distL="114300" distR="114300" simplePos="0" relativeHeight="251662336" behindDoc="0" locked="0" layoutInCell="1" allowOverlap="1">
                <wp:simplePos x="0" y="0"/>
                <wp:positionH relativeFrom="page">
                  <wp:posOffset>730498</wp:posOffset>
                </wp:positionH>
                <wp:positionV relativeFrom="page">
                  <wp:posOffset>9647872</wp:posOffset>
                </wp:positionV>
                <wp:extent cx="6120003" cy="6350"/>
                <wp:effectExtent l="0" t="0" r="0" b="0"/>
                <wp:wrapTopAndBottom/>
                <wp:docPr id="17843" name="Group 17843"/>
                <wp:cNvGraphicFramePr/>
                <a:graphic xmlns:a="http://schemas.openxmlformats.org/drawingml/2006/main">
                  <a:graphicData uri="http://schemas.microsoft.com/office/word/2010/wordprocessingGroup">
                    <wpg:wgp>
                      <wpg:cNvGrpSpPr/>
                      <wpg:grpSpPr>
                        <a:xfrm>
                          <a:off x="0" y="0"/>
                          <a:ext cx="6120003" cy="6350"/>
                          <a:chOff x="0" y="0"/>
                          <a:chExt cx="6120003" cy="6350"/>
                        </a:xfrm>
                      </wpg:grpSpPr>
                      <wps:wsp>
                        <wps:cNvPr id="1566" name="Shape 1566"/>
                        <wps:cNvSpPr/>
                        <wps:spPr>
                          <a:xfrm>
                            <a:off x="0" y="0"/>
                            <a:ext cx="6120003" cy="0"/>
                          </a:xfrm>
                          <a:custGeom>
                            <a:avLst/>
                            <a:gdLst/>
                            <a:ahLst/>
                            <a:cxnLst/>
                            <a:rect l="0" t="0" r="0" b="0"/>
                            <a:pathLst>
                              <a:path w="6120003">
                                <a:moveTo>
                                  <a:pt x="0" y="0"/>
                                </a:moveTo>
                                <a:lnTo>
                                  <a:pt x="6120003"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7843" style="width:481.89pt;height:0.5pt;position:absolute;mso-position-horizontal-relative:page;mso-position-horizontal:absolute;margin-left:57.5195pt;mso-position-vertical-relative:page;margin-top:759.675pt;" coordsize="61200,63">
                <v:shape id="Shape 1566" style="position:absolute;width:61200;height:0;left:0;top:0;" coordsize="6120003,0" path="m0,0l6120003,0">
                  <v:stroke weight="0.5pt" endcap="flat" joinstyle="miter" miterlimit="4" on="true" color="#000000"/>
                  <v:fill on="false" color="#000000" opacity="0"/>
                </v:shape>
                <w10:wrap type="topAndBottom"/>
              </v:group>
            </w:pict>
          </mc:Fallback>
        </mc:AlternateContent>
      </w:r>
      <w:r>
        <w:rPr>
          <w:rFonts w:ascii="Times New Roman" w:eastAsia="Times New Roman" w:hAnsi="Times New Roman" w:cs="Times New Roman"/>
          <w:sz w:val="16"/>
        </w:rPr>
        <w:t xml:space="preserve">Quigley CA, Zagar AJ, Liu CC, et al. United States multicenter study of factors predicting the persistence of GH defi ciency during the transition period between childhood and adulthood. </w:t>
      </w:r>
      <w:r>
        <w:rPr>
          <w:rFonts w:ascii="Times New Roman" w:eastAsia="Times New Roman" w:hAnsi="Times New Roman" w:cs="Times New Roman"/>
          <w:i/>
          <w:sz w:val="16"/>
        </w:rPr>
        <w:t>Int J Pediatr Endocrinol</w:t>
      </w:r>
      <w:r>
        <w:rPr>
          <w:rFonts w:ascii="Times New Roman" w:eastAsia="Times New Roman" w:hAnsi="Times New Roman" w:cs="Times New Roman"/>
          <w:sz w:val="16"/>
        </w:rPr>
        <w:t>. 2013;2013(1):6.</w:t>
      </w:r>
    </w:p>
    <w:p w:rsidR="000415D0" w:rsidRDefault="008E2CEA">
      <w:pPr>
        <w:spacing w:after="64" w:line="260" w:lineRule="auto"/>
        <w:ind w:left="350" w:hanging="10"/>
        <w:jc w:val="both"/>
      </w:pPr>
      <w:r>
        <w:rPr>
          <w:rFonts w:ascii="Times New Roman" w:eastAsia="Times New Roman" w:hAnsi="Times New Roman" w:cs="Times New Roman"/>
          <w:sz w:val="16"/>
        </w:rPr>
        <w:t>doi: https://doi.org/10.1186/1687-9856-2013-6</w:t>
      </w:r>
    </w:p>
    <w:p w:rsidR="000415D0" w:rsidRDefault="008E2CEA">
      <w:pPr>
        <w:numPr>
          <w:ilvl w:val="0"/>
          <w:numId w:val="2"/>
        </w:numPr>
        <w:spacing w:after="166" w:line="255" w:lineRule="auto"/>
        <w:ind w:hanging="340"/>
        <w:jc w:val="both"/>
      </w:pPr>
      <w:r>
        <w:rPr>
          <w:rFonts w:ascii="Times New Roman" w:eastAsia="Times New Roman" w:hAnsi="Times New Roman" w:cs="Times New Roman"/>
          <w:sz w:val="16"/>
        </w:rPr>
        <w:t>Banerjee I, Tudorancea A, Scanlon MF, Gregory JW. Are factors at diagnosis of growth hormone defi ciency in childhood associated with persistence of growth hormone defi</w:t>
      </w:r>
      <w:r>
        <w:rPr>
          <w:rFonts w:ascii="Times New Roman" w:eastAsia="Times New Roman" w:hAnsi="Times New Roman" w:cs="Times New Roman"/>
          <w:sz w:val="16"/>
        </w:rPr>
        <w:t xml:space="preserve"> ciency into adult life? </w:t>
      </w:r>
      <w:r>
        <w:rPr>
          <w:rFonts w:ascii="Times New Roman" w:eastAsia="Times New Roman" w:hAnsi="Times New Roman" w:cs="Times New Roman"/>
          <w:i/>
          <w:sz w:val="16"/>
        </w:rPr>
        <w:t>J Pediatr Endocrinol Metab</w:t>
      </w:r>
      <w:r>
        <w:rPr>
          <w:rFonts w:ascii="Times New Roman" w:eastAsia="Times New Roman" w:hAnsi="Times New Roman" w:cs="Times New Roman"/>
          <w:sz w:val="16"/>
        </w:rPr>
        <w:t>. 2005;18(10). doi: https://doi.org/10.1515/jpem.2005.18.10.943</w:t>
      </w:r>
    </w:p>
    <w:p w:rsidR="000415D0" w:rsidRDefault="008E2CEA">
      <w:pPr>
        <w:ind w:left="10" w:right="-13" w:hanging="10"/>
        <w:jc w:val="right"/>
      </w:pPr>
      <w:r>
        <w:rPr>
          <w:rFonts w:ascii="Times New Roman" w:eastAsia="Times New Roman" w:hAnsi="Times New Roman" w:cs="Times New Roman"/>
          <w:sz w:val="16"/>
        </w:rPr>
        <w:t>Рукопись получена: 04.11.2018</w:t>
      </w:r>
    </w:p>
    <w:p w:rsidR="000415D0" w:rsidRDefault="000415D0">
      <w:pPr>
        <w:sectPr w:rsidR="000415D0">
          <w:type w:val="continuous"/>
          <w:pgSz w:w="11542" w:h="16474"/>
          <w:pgMar w:top="498" w:right="739" w:bottom="876" w:left="754" w:header="720" w:footer="720" w:gutter="0"/>
          <w:cols w:num="2" w:space="193"/>
        </w:sectPr>
      </w:pPr>
    </w:p>
    <w:p w:rsidR="000415D0" w:rsidRDefault="008E2CEA">
      <w:pPr>
        <w:ind w:left="10" w:right="-13" w:hanging="10"/>
        <w:jc w:val="right"/>
      </w:pPr>
      <w:r>
        <w:rPr>
          <w:rFonts w:ascii="Times New Roman" w:eastAsia="Times New Roman" w:hAnsi="Times New Roman" w:cs="Times New Roman"/>
          <w:sz w:val="16"/>
        </w:rPr>
        <w:t>Одобрена к публикации: 10.12.2018</w:t>
      </w:r>
    </w:p>
    <w:p w:rsidR="000415D0" w:rsidRDefault="008E2CEA">
      <w:pPr>
        <w:spacing w:after="0"/>
        <w:ind w:left="-5" w:hanging="10"/>
      </w:pPr>
      <w:r>
        <w:rPr>
          <w:rFonts w:ascii="Times New Roman" w:eastAsia="Times New Roman" w:hAnsi="Times New Roman" w:cs="Times New Roman"/>
          <w:b/>
          <w:sz w:val="16"/>
        </w:rPr>
        <w:t>ИНФОРМАЦИЯ ОБ АВТОРАХ</w:t>
      </w:r>
    </w:p>
    <w:p w:rsidR="000415D0" w:rsidRDefault="008E2CEA">
      <w:pPr>
        <w:spacing w:after="0" w:line="255" w:lineRule="auto"/>
        <w:ind w:left="-15"/>
      </w:pPr>
      <w:r>
        <w:rPr>
          <w:rFonts w:ascii="Times New Roman" w:eastAsia="Times New Roman" w:hAnsi="Times New Roman" w:cs="Times New Roman"/>
          <w:b/>
          <w:sz w:val="16"/>
        </w:rPr>
        <w:t>*Нагаева Елена Витальевна</w:t>
      </w:r>
      <w:r>
        <w:rPr>
          <w:rFonts w:ascii="Times New Roman" w:eastAsia="Times New Roman" w:hAnsi="Times New Roman" w:cs="Times New Roman"/>
          <w:sz w:val="16"/>
        </w:rPr>
        <w:t>, к.м.н. [Elena V. Nagaeva, MD, PhD]; адрес: Россия, 117036, Москва, ул. Дм.Ульянова, 11 [address: 11 Dm. Ulyanova street, Moscow, 117036, Russia]; ORCID: https://orcid.org/0000-0001-6429-7198; eLibrary SPIN: 4878-7810; e-mail: nagaeva_ev@ mail.ru</w:t>
      </w:r>
    </w:p>
    <w:p w:rsidR="000415D0" w:rsidRDefault="008E2CEA">
      <w:pPr>
        <w:spacing w:after="3" w:line="260" w:lineRule="auto"/>
        <w:ind w:left="-5" w:hanging="10"/>
        <w:jc w:val="both"/>
      </w:pPr>
      <w:r>
        <w:rPr>
          <w:rFonts w:ascii="Times New Roman" w:eastAsia="Times New Roman" w:hAnsi="Times New Roman" w:cs="Times New Roman"/>
          <w:b/>
          <w:sz w:val="16"/>
        </w:rPr>
        <w:t xml:space="preserve">Ширяева </w:t>
      </w:r>
      <w:r>
        <w:rPr>
          <w:rFonts w:ascii="Times New Roman" w:eastAsia="Times New Roman" w:hAnsi="Times New Roman" w:cs="Times New Roman"/>
          <w:b/>
          <w:sz w:val="16"/>
        </w:rPr>
        <w:t>Татьяна Юрьевна</w:t>
      </w:r>
      <w:r>
        <w:rPr>
          <w:rFonts w:ascii="Times New Roman" w:eastAsia="Times New Roman" w:hAnsi="Times New Roman" w:cs="Times New Roman"/>
          <w:sz w:val="16"/>
        </w:rPr>
        <w:t>, к.м.н. [Tatiana Y. Shiryaeva, MD, PhD]; ORCID: https://orcid.org/0000-0002-2604-1703; eLibrary SPIN: 1322-</w:t>
      </w:r>
    </w:p>
    <w:p w:rsidR="000415D0" w:rsidRDefault="008E2CEA">
      <w:pPr>
        <w:spacing w:after="3" w:line="260" w:lineRule="auto"/>
        <w:ind w:left="-5" w:hanging="10"/>
        <w:jc w:val="both"/>
      </w:pPr>
      <w:r>
        <w:rPr>
          <w:rFonts w:ascii="Times New Roman" w:eastAsia="Times New Roman" w:hAnsi="Times New Roman" w:cs="Times New Roman"/>
          <w:sz w:val="16"/>
        </w:rPr>
        <w:t>0042; e-mail: tasha-home@list.ru</w:t>
      </w:r>
    </w:p>
    <w:p w:rsidR="000415D0" w:rsidRDefault="008E2CEA">
      <w:pPr>
        <w:spacing w:after="3" w:line="260" w:lineRule="auto"/>
        <w:ind w:left="-5" w:hanging="10"/>
        <w:jc w:val="both"/>
      </w:pPr>
      <w:r>
        <w:rPr>
          <w:rFonts w:ascii="Times New Roman" w:eastAsia="Times New Roman" w:hAnsi="Times New Roman" w:cs="Times New Roman"/>
          <w:b/>
          <w:sz w:val="16"/>
        </w:rPr>
        <w:t>Петеркова Валентина Александровна</w:t>
      </w:r>
      <w:r>
        <w:rPr>
          <w:rFonts w:ascii="Times New Roman" w:eastAsia="Times New Roman" w:hAnsi="Times New Roman" w:cs="Times New Roman"/>
          <w:sz w:val="16"/>
        </w:rPr>
        <w:t>, академик РАН [Valentina A. Peterkova, MD, PhD, Professor]; ORCID</w:t>
      </w:r>
      <w:r>
        <w:rPr>
          <w:rFonts w:ascii="Times New Roman" w:eastAsia="Times New Roman" w:hAnsi="Times New Roman" w:cs="Times New Roman"/>
          <w:sz w:val="16"/>
        </w:rPr>
        <w:t>: https://orcid.org/0000-0002-</w:t>
      </w:r>
    </w:p>
    <w:p w:rsidR="000415D0" w:rsidRDefault="008E2CEA">
      <w:pPr>
        <w:spacing w:after="3" w:line="260" w:lineRule="auto"/>
        <w:ind w:left="-5" w:hanging="10"/>
        <w:jc w:val="both"/>
      </w:pPr>
      <w:r>
        <w:rPr>
          <w:rFonts w:ascii="Times New Roman" w:eastAsia="Times New Roman" w:hAnsi="Times New Roman" w:cs="Times New Roman"/>
          <w:sz w:val="16"/>
        </w:rPr>
        <w:t>5507-4627; eLibrary SPIN: 4009-2463; e-mail: peterkovava@hotmail.com</w:t>
      </w:r>
    </w:p>
    <w:p w:rsidR="000415D0" w:rsidRDefault="008E2CEA">
      <w:pPr>
        <w:spacing w:after="3" w:line="260" w:lineRule="auto"/>
        <w:ind w:left="-5" w:hanging="10"/>
        <w:jc w:val="both"/>
      </w:pPr>
      <w:r>
        <w:rPr>
          <w:rFonts w:ascii="Times New Roman" w:eastAsia="Times New Roman" w:hAnsi="Times New Roman" w:cs="Times New Roman"/>
          <w:b/>
          <w:sz w:val="16"/>
        </w:rPr>
        <w:t>Тюльпаков Анатолий Николаевич</w:t>
      </w:r>
      <w:r>
        <w:rPr>
          <w:rFonts w:ascii="Times New Roman" w:eastAsia="Times New Roman" w:hAnsi="Times New Roman" w:cs="Times New Roman"/>
          <w:sz w:val="16"/>
        </w:rPr>
        <w:t>, д.м.н. [Anatoly N. Tiulpakov, MD, PhD]; ORCID: https://orcid.org/0000-0001-8500-4841; eLibrary SPIN: 8396-1798; e-mail: anato</w:t>
      </w:r>
      <w:r>
        <w:rPr>
          <w:rFonts w:ascii="Times New Roman" w:eastAsia="Times New Roman" w:hAnsi="Times New Roman" w:cs="Times New Roman"/>
          <w:sz w:val="16"/>
        </w:rPr>
        <w:t>lytiulpakov@gmail.com</w:t>
      </w:r>
    </w:p>
    <w:p w:rsidR="000415D0" w:rsidRDefault="008E2CEA">
      <w:pPr>
        <w:spacing w:after="3" w:line="260" w:lineRule="auto"/>
        <w:ind w:left="-5" w:hanging="10"/>
        <w:jc w:val="both"/>
      </w:pPr>
      <w:r>
        <w:rPr>
          <w:rFonts w:ascii="Times New Roman" w:eastAsia="Times New Roman" w:hAnsi="Times New Roman" w:cs="Times New Roman"/>
          <w:b/>
          <w:sz w:val="16"/>
        </w:rPr>
        <w:t>Кияев Алексей Васильевич</w:t>
      </w:r>
      <w:r>
        <w:rPr>
          <w:rFonts w:ascii="Times New Roman" w:eastAsia="Times New Roman" w:hAnsi="Times New Roman" w:cs="Times New Roman"/>
          <w:sz w:val="16"/>
        </w:rPr>
        <w:t>, д.м.н. [Alexey V. Kiiaev, MD, PhD]; ORCID: https://orcid.org/0000-0002-5578-5242; eLibrary SPIN: 7092-7894; e-mail: thyroend@mail.ru</w:t>
      </w:r>
    </w:p>
    <w:p w:rsidR="000415D0" w:rsidRDefault="008E2CEA">
      <w:pPr>
        <w:spacing w:after="3" w:line="260" w:lineRule="auto"/>
        <w:ind w:left="-5" w:hanging="10"/>
        <w:jc w:val="both"/>
      </w:pPr>
      <w:r>
        <w:rPr>
          <w:rFonts w:ascii="Times New Roman" w:eastAsia="Times New Roman" w:hAnsi="Times New Roman" w:cs="Times New Roman"/>
          <w:b/>
          <w:sz w:val="16"/>
        </w:rPr>
        <w:t>Петряйкина Елена Ефимовна</w:t>
      </w:r>
      <w:r>
        <w:rPr>
          <w:rFonts w:ascii="Times New Roman" w:eastAsia="Times New Roman" w:hAnsi="Times New Roman" w:cs="Times New Roman"/>
          <w:sz w:val="16"/>
        </w:rPr>
        <w:t>, профессор [Elena E. Petryaykina, MD, PhD, Profes</w:t>
      </w:r>
      <w:r>
        <w:rPr>
          <w:rFonts w:ascii="Times New Roman" w:eastAsia="Times New Roman" w:hAnsi="Times New Roman" w:cs="Times New Roman"/>
          <w:sz w:val="16"/>
        </w:rPr>
        <w:t>sor]; ORCID: https://orcid.org/0000-0002-8520-2378; eLibrary SPIN: 5997-7464; e-mail: lepet_morozko@mail.ru</w:t>
      </w:r>
    </w:p>
    <w:p w:rsidR="000415D0" w:rsidRDefault="008E2CEA">
      <w:pPr>
        <w:spacing w:after="3" w:line="260" w:lineRule="auto"/>
        <w:ind w:left="-5" w:hanging="10"/>
        <w:jc w:val="both"/>
      </w:pPr>
      <w:r>
        <w:rPr>
          <w:rFonts w:ascii="Times New Roman" w:eastAsia="Times New Roman" w:hAnsi="Times New Roman" w:cs="Times New Roman"/>
          <w:b/>
          <w:sz w:val="16"/>
        </w:rPr>
        <w:t>Башнина Елена Борисовна</w:t>
      </w:r>
      <w:r>
        <w:rPr>
          <w:rFonts w:ascii="Times New Roman" w:eastAsia="Times New Roman" w:hAnsi="Times New Roman" w:cs="Times New Roman"/>
          <w:sz w:val="16"/>
        </w:rPr>
        <w:t>, профессор [Elena B. Bashnina, MD, PhD, Professor]; ORCID: https://orcid.org/0000-0002-7063-1161; eLibrary SPIN-код: 5568-06</w:t>
      </w:r>
      <w:r>
        <w:rPr>
          <w:rFonts w:ascii="Times New Roman" w:eastAsia="Times New Roman" w:hAnsi="Times New Roman" w:cs="Times New Roman"/>
          <w:sz w:val="16"/>
        </w:rPr>
        <w:t>90, e-mail: bashnina@mail.ru</w:t>
      </w:r>
    </w:p>
    <w:p w:rsidR="000415D0" w:rsidRDefault="008E2CEA">
      <w:pPr>
        <w:spacing w:after="3" w:line="260" w:lineRule="auto"/>
        <w:ind w:left="-5" w:hanging="10"/>
        <w:jc w:val="both"/>
      </w:pPr>
      <w:r>
        <w:rPr>
          <w:rFonts w:ascii="Times New Roman" w:eastAsia="Times New Roman" w:hAnsi="Times New Roman" w:cs="Times New Roman"/>
          <w:b/>
          <w:sz w:val="16"/>
        </w:rPr>
        <w:t>Малиевский Олег Артурович</w:t>
      </w:r>
      <w:r>
        <w:rPr>
          <w:rFonts w:ascii="Times New Roman" w:eastAsia="Times New Roman" w:hAnsi="Times New Roman" w:cs="Times New Roman"/>
          <w:sz w:val="16"/>
        </w:rPr>
        <w:t>, профессор [Oleg A. Мalievsky, MD, PhD, Professor]; ORCID: https://orcid.org/0000-0003-2599-0867; eLibrary SPIN-код: 6813-5061; e-mail: malievsky@list.ru</w:t>
      </w:r>
    </w:p>
    <w:p w:rsidR="000415D0" w:rsidRDefault="008E2CEA">
      <w:pPr>
        <w:spacing w:after="3" w:line="260" w:lineRule="auto"/>
        <w:ind w:left="-5" w:hanging="10"/>
        <w:jc w:val="both"/>
      </w:pPr>
      <w:r>
        <w:rPr>
          <w:rFonts w:ascii="Times New Roman" w:eastAsia="Times New Roman" w:hAnsi="Times New Roman" w:cs="Times New Roman"/>
          <w:b/>
          <w:sz w:val="16"/>
        </w:rPr>
        <w:t>Таранушенко Татьяна Евгеньевна</w:t>
      </w:r>
      <w:r>
        <w:rPr>
          <w:rFonts w:ascii="Times New Roman" w:eastAsia="Times New Roman" w:hAnsi="Times New Roman" w:cs="Times New Roman"/>
          <w:sz w:val="16"/>
        </w:rPr>
        <w:t>, профессор [Тaty</w:t>
      </w:r>
      <w:r>
        <w:rPr>
          <w:rFonts w:ascii="Times New Roman" w:eastAsia="Times New Roman" w:hAnsi="Times New Roman" w:cs="Times New Roman"/>
          <w:sz w:val="16"/>
        </w:rPr>
        <w:t>ana Е. Тaranushenko, MD, PhD, Professor]; ORCID: https://orcid.org/0000-0003-25008001; eLibrary SPIN-код: 4777-0283; e-mail: tetar@rambler.ru</w:t>
      </w:r>
    </w:p>
    <w:p w:rsidR="000415D0" w:rsidRDefault="008E2CEA">
      <w:pPr>
        <w:spacing w:after="3" w:line="260" w:lineRule="auto"/>
        <w:ind w:left="-5" w:hanging="10"/>
        <w:jc w:val="both"/>
      </w:pPr>
      <w:r>
        <w:rPr>
          <w:rFonts w:ascii="Times New Roman" w:eastAsia="Times New Roman" w:hAnsi="Times New Roman" w:cs="Times New Roman"/>
          <w:b/>
          <w:sz w:val="16"/>
        </w:rPr>
        <w:t>Кострова Ирина Борисовна</w:t>
      </w:r>
      <w:r>
        <w:rPr>
          <w:rFonts w:ascii="Times New Roman" w:eastAsia="Times New Roman" w:hAnsi="Times New Roman" w:cs="Times New Roman"/>
          <w:sz w:val="16"/>
        </w:rPr>
        <w:t xml:space="preserve"> [Irina B. Коstrova, MD]; ORCID: https://orcid.org/0000-0003-0112-3785; eLibrary SPIN-код:</w:t>
      </w:r>
      <w:r>
        <w:rPr>
          <w:rFonts w:ascii="Times New Roman" w:eastAsia="Times New Roman" w:hAnsi="Times New Roman" w:cs="Times New Roman"/>
          <w:sz w:val="16"/>
        </w:rPr>
        <w:t xml:space="preserve"> 9224-7047; e-mail: ira-kostrova@mail.ru</w:t>
      </w:r>
    </w:p>
    <w:p w:rsidR="000415D0" w:rsidRDefault="008E2CEA">
      <w:pPr>
        <w:spacing w:after="3" w:line="260" w:lineRule="auto"/>
        <w:ind w:left="-5" w:hanging="10"/>
        <w:jc w:val="both"/>
      </w:pPr>
      <w:r>
        <w:rPr>
          <w:rFonts w:ascii="Times New Roman" w:eastAsia="Times New Roman" w:hAnsi="Times New Roman" w:cs="Times New Roman"/>
          <w:b/>
          <w:sz w:val="16"/>
        </w:rPr>
        <w:t>Шапкина Любовь Александровна</w:t>
      </w:r>
      <w:r>
        <w:rPr>
          <w:rFonts w:ascii="Times New Roman" w:eastAsia="Times New Roman" w:hAnsi="Times New Roman" w:cs="Times New Roman"/>
          <w:sz w:val="16"/>
        </w:rPr>
        <w:t>, профессор [Lyubov A. Shapkina, MD, PhD, Professor]; ORCID: https://orcid.org/0000-0001-7333-9089; eLibrary e-mail: shapkinala@mail.ru</w:t>
      </w:r>
    </w:p>
    <w:p w:rsidR="000415D0" w:rsidRDefault="008E2CEA">
      <w:pPr>
        <w:spacing w:after="3" w:line="260" w:lineRule="auto"/>
        <w:ind w:left="-5" w:hanging="10"/>
        <w:jc w:val="both"/>
      </w:pPr>
      <w:r>
        <w:rPr>
          <w:rFonts w:ascii="Times New Roman" w:eastAsia="Times New Roman" w:hAnsi="Times New Roman" w:cs="Times New Roman"/>
          <w:b/>
          <w:sz w:val="16"/>
        </w:rPr>
        <w:t>Безлепкина Ольга Борисовна</w:t>
      </w:r>
      <w:r>
        <w:rPr>
          <w:rFonts w:ascii="Times New Roman" w:eastAsia="Times New Roman" w:hAnsi="Times New Roman" w:cs="Times New Roman"/>
          <w:sz w:val="16"/>
        </w:rPr>
        <w:t>, профессор [Olga B. Bezl</w:t>
      </w:r>
      <w:r>
        <w:rPr>
          <w:rFonts w:ascii="Times New Roman" w:eastAsia="Times New Roman" w:hAnsi="Times New Roman" w:cs="Times New Roman"/>
          <w:sz w:val="16"/>
        </w:rPr>
        <w:t>epkina, MD, PhD, Professor]; ORCID: https://orcid.org/0000-0001-9621-5732; eLibrary SPIN: 3884-0945; e-mail: Olgabezlepkina@mail.ru</w:t>
      </w:r>
    </w:p>
    <w:p w:rsidR="000415D0" w:rsidRDefault="008E2CEA">
      <w:pPr>
        <w:spacing w:after="106" w:line="260" w:lineRule="auto"/>
        <w:ind w:left="-5" w:hanging="10"/>
        <w:jc w:val="both"/>
      </w:pPr>
      <w:r>
        <w:rPr>
          <w:rFonts w:ascii="Times New Roman" w:eastAsia="Times New Roman" w:hAnsi="Times New Roman" w:cs="Times New Roman"/>
          <w:b/>
          <w:sz w:val="16"/>
        </w:rPr>
        <w:t>Дедов Иван Иванович</w:t>
      </w:r>
      <w:r>
        <w:rPr>
          <w:rFonts w:ascii="Times New Roman" w:eastAsia="Times New Roman" w:hAnsi="Times New Roman" w:cs="Times New Roman"/>
          <w:sz w:val="16"/>
        </w:rPr>
        <w:t>, академик РАН [Ivan I. Dedov, MD, PhD, Professor]; ORCID: https://orcid.org/0000-0002-8175-7886; eLibrar</w:t>
      </w:r>
      <w:r>
        <w:rPr>
          <w:rFonts w:ascii="Times New Roman" w:eastAsia="Times New Roman" w:hAnsi="Times New Roman" w:cs="Times New Roman"/>
          <w:sz w:val="16"/>
        </w:rPr>
        <w:t>y SPIN: 5873-2280; e-mail: dedov@endocrincentr.ru</w:t>
      </w:r>
    </w:p>
    <w:p w:rsidR="000415D0" w:rsidRDefault="008E2CEA">
      <w:pPr>
        <w:spacing w:after="0"/>
        <w:ind w:left="-5" w:hanging="10"/>
      </w:pPr>
      <w:r>
        <w:rPr>
          <w:rFonts w:ascii="Times New Roman" w:eastAsia="Times New Roman" w:hAnsi="Times New Roman" w:cs="Times New Roman"/>
          <w:b/>
          <w:sz w:val="16"/>
        </w:rPr>
        <w:t>КАК ЦИТИРОВАТЬ:</w:t>
      </w:r>
    </w:p>
    <w:p w:rsidR="000415D0" w:rsidRDefault="008E2CEA">
      <w:pPr>
        <w:spacing w:after="105" w:line="260" w:lineRule="auto"/>
        <w:ind w:left="-5" w:hanging="10"/>
        <w:jc w:val="both"/>
      </w:pPr>
      <w:r>
        <w:rPr>
          <w:rFonts w:ascii="Times New Roman" w:eastAsia="Times New Roman" w:hAnsi="Times New Roman" w:cs="Times New Roman"/>
          <w:sz w:val="16"/>
        </w:rPr>
        <w:t>Нагаева Е.В., Ширяевa Т.Ю., Петеркова В.А., Безлепкина О.Б.</w:t>
      </w:r>
      <w:r>
        <w:rPr>
          <w:rFonts w:ascii="Times New Roman" w:eastAsia="Times New Roman" w:hAnsi="Times New Roman" w:cs="Times New Roman"/>
          <w:i/>
          <w:sz w:val="16"/>
        </w:rPr>
        <w:t>,</w:t>
      </w:r>
      <w:r>
        <w:rPr>
          <w:rFonts w:ascii="Times New Roman" w:eastAsia="Times New Roman" w:hAnsi="Times New Roman" w:cs="Times New Roman"/>
          <w:sz w:val="16"/>
        </w:rPr>
        <w:t xml:space="preserve"> Тюльпаков А.Н., Стребкова Н.А., Кияев А.В., Петряйкина</w:t>
      </w:r>
      <w:r>
        <w:rPr>
          <w:rFonts w:ascii="Times New Roman" w:eastAsia="Times New Roman" w:hAnsi="Times New Roman" w:cs="Times New Roman"/>
          <w:sz w:val="14"/>
          <w:vertAlign w:val="superscript"/>
        </w:rPr>
        <w:t xml:space="preserve"> </w:t>
      </w:r>
      <w:r>
        <w:rPr>
          <w:rFonts w:ascii="Times New Roman" w:eastAsia="Times New Roman" w:hAnsi="Times New Roman" w:cs="Times New Roman"/>
          <w:sz w:val="16"/>
        </w:rPr>
        <w:t>Е.Е., Башнина Е.Б., Малиевский О.А., Таранушенко Т.Е., Кострова И.Б., Шапкина Л.А., Дедов</w:t>
      </w:r>
      <w:r>
        <w:rPr>
          <w:rFonts w:ascii="Times New Roman" w:eastAsia="Times New Roman" w:hAnsi="Times New Roman" w:cs="Times New Roman"/>
          <w:i/>
          <w:sz w:val="16"/>
        </w:rPr>
        <w:t xml:space="preserve"> </w:t>
      </w:r>
      <w:r>
        <w:rPr>
          <w:rFonts w:ascii="Times New Roman" w:eastAsia="Times New Roman" w:hAnsi="Times New Roman" w:cs="Times New Roman"/>
          <w:sz w:val="16"/>
        </w:rPr>
        <w:t xml:space="preserve">И.И. Российский национальный консенсус. Диагностика и лечение гипопитуитаризма у детей и подростков // </w:t>
      </w:r>
      <w:r>
        <w:rPr>
          <w:rFonts w:ascii="Times New Roman" w:eastAsia="Times New Roman" w:hAnsi="Times New Roman" w:cs="Times New Roman"/>
          <w:i/>
          <w:sz w:val="16"/>
        </w:rPr>
        <w:t>Проблемы эндокринологии</w:t>
      </w:r>
      <w:r>
        <w:rPr>
          <w:rFonts w:ascii="Times New Roman" w:eastAsia="Times New Roman" w:hAnsi="Times New Roman" w:cs="Times New Roman"/>
          <w:sz w:val="16"/>
        </w:rPr>
        <w:t>. — 2018. — Т. 64. — №6. — С. 402-411. d</w:t>
      </w:r>
      <w:r>
        <w:rPr>
          <w:rFonts w:ascii="Times New Roman" w:eastAsia="Times New Roman" w:hAnsi="Times New Roman" w:cs="Times New Roman"/>
          <w:sz w:val="16"/>
        </w:rPr>
        <w:t>oi: https://doi.org/10.14341/probl10091</w:t>
      </w:r>
    </w:p>
    <w:p w:rsidR="000415D0" w:rsidRDefault="008E2CEA">
      <w:pPr>
        <w:spacing w:after="0"/>
        <w:ind w:left="-5" w:hanging="10"/>
      </w:pPr>
      <w:r>
        <w:rPr>
          <w:rFonts w:ascii="Times New Roman" w:eastAsia="Times New Roman" w:hAnsi="Times New Roman" w:cs="Times New Roman"/>
          <w:b/>
          <w:sz w:val="16"/>
        </w:rPr>
        <w:t>TO CITE THIS ARTICLE:</w:t>
      </w:r>
    </w:p>
    <w:p w:rsidR="000415D0" w:rsidRDefault="008E2CEA">
      <w:pPr>
        <w:spacing w:after="0" w:line="255" w:lineRule="auto"/>
        <w:ind w:left="-15"/>
      </w:pPr>
      <w:r>
        <w:rPr>
          <w:rFonts w:ascii="Times New Roman" w:eastAsia="Times New Roman" w:hAnsi="Times New Roman" w:cs="Times New Roman"/>
          <w:sz w:val="16"/>
        </w:rPr>
        <w:t>Nagaeva EV, Shiryaeva TY, Peterkova VA, Bezlepkina OB</w:t>
      </w:r>
      <w:r>
        <w:rPr>
          <w:rFonts w:ascii="Times New Roman" w:eastAsia="Times New Roman" w:hAnsi="Times New Roman" w:cs="Times New Roman"/>
          <w:i/>
          <w:sz w:val="16"/>
        </w:rPr>
        <w:t>,</w:t>
      </w:r>
      <w:r>
        <w:rPr>
          <w:rFonts w:ascii="Times New Roman" w:eastAsia="Times New Roman" w:hAnsi="Times New Roman" w:cs="Times New Roman"/>
          <w:sz w:val="16"/>
        </w:rPr>
        <w:t xml:space="preserve"> Tiulpakov AN, Strebkova NA, Kiiaev AV, Petryaykina EE, Kalinchenko NY, Bashnina EB, Мalievsky OA, Тaranushenko TE, Коstrova IB, Shapkina LA</w:t>
      </w:r>
      <w:r>
        <w:rPr>
          <w:rFonts w:ascii="Times New Roman" w:eastAsia="Times New Roman" w:hAnsi="Times New Roman" w:cs="Times New Roman"/>
          <w:sz w:val="16"/>
        </w:rPr>
        <w:t xml:space="preserve">, Dedov II. Russian national consensus. Diagnostics and treatment of hypopituitarism in children and adolescences. </w:t>
      </w:r>
      <w:r>
        <w:rPr>
          <w:rFonts w:ascii="Times New Roman" w:eastAsia="Times New Roman" w:hAnsi="Times New Roman" w:cs="Times New Roman"/>
          <w:i/>
          <w:sz w:val="16"/>
        </w:rPr>
        <w:t>Problems of Endocrinology</w:t>
      </w:r>
      <w:r>
        <w:rPr>
          <w:rFonts w:ascii="Times New Roman" w:eastAsia="Times New Roman" w:hAnsi="Times New Roman" w:cs="Times New Roman"/>
          <w:sz w:val="16"/>
        </w:rPr>
        <w:t>. 2018;64(6):402-411.</w:t>
      </w:r>
    </w:p>
    <w:p w:rsidR="000415D0" w:rsidRDefault="008E2CEA">
      <w:pPr>
        <w:spacing w:after="3" w:line="260" w:lineRule="auto"/>
        <w:ind w:left="-5" w:hanging="10"/>
        <w:jc w:val="both"/>
      </w:pPr>
      <w:r>
        <w:rPr>
          <w:rFonts w:ascii="Times New Roman" w:eastAsia="Times New Roman" w:hAnsi="Times New Roman" w:cs="Times New Roman"/>
          <w:sz w:val="16"/>
        </w:rPr>
        <w:t>doi: https://doi.org/10.14341/probl10091</w:t>
      </w:r>
    </w:p>
    <w:sectPr w:rsidR="000415D0">
      <w:type w:val="continuous"/>
      <w:pgSz w:w="11542" w:h="16474"/>
      <w:pgMar w:top="1376" w:right="741" w:bottom="1377" w:left="115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E2CEA">
      <w:pPr>
        <w:spacing w:after="0" w:line="240" w:lineRule="auto"/>
      </w:pPr>
      <w:r>
        <w:separator/>
      </w:r>
    </w:p>
  </w:endnote>
  <w:endnote w:type="continuationSeparator" w:id="0">
    <w:p w:rsidR="00000000" w:rsidRDefault="008E2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5D0" w:rsidRDefault="008E2CEA">
    <w:pPr>
      <w:tabs>
        <w:tab w:val="right" w:pos="9642"/>
      </w:tabs>
      <w:spacing w:after="0"/>
    </w:pPr>
    <w:r>
      <w:fldChar w:fldCharType="begin"/>
    </w:r>
    <w:r>
      <w:instrText xml:space="preserve"> PAGE   \* MERGEFORMAT </w:instrText>
    </w:r>
    <w:r>
      <w:fldChar w:fldCharType="separate"/>
    </w:r>
    <w:r>
      <w:rPr>
        <w:sz w:val="20"/>
      </w:rPr>
      <w:t>404</w:t>
    </w:r>
    <w:r>
      <w:rPr>
        <w:sz w:val="20"/>
      </w:rPr>
      <w:fldChar w:fldCharType="end"/>
    </w:r>
    <w:r>
      <w:rPr>
        <w:sz w:val="20"/>
      </w:rPr>
      <w:tab/>
    </w:r>
    <w:r>
      <w:rPr>
        <w:rFonts w:ascii="Times New Roman" w:eastAsia="Times New Roman" w:hAnsi="Times New Roman" w:cs="Times New Roman"/>
        <w:i/>
        <w:sz w:val="16"/>
      </w:rPr>
      <w:t>ПРОБЛЕМЫ ЭНДОКРИНОЛОГИИ 2018. — Т. 64 — №6. — С. 402–411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5D0" w:rsidRDefault="008E2CEA">
    <w:pPr>
      <w:tabs>
        <w:tab w:val="center" w:pos="2327"/>
        <w:tab w:val="right" w:pos="10035"/>
      </w:tabs>
      <w:spacing w:after="0"/>
      <w:ind w:right="-393"/>
    </w:pPr>
    <w:r>
      <w:rPr>
        <w:noProof/>
      </w:rPr>
      <mc:AlternateContent>
        <mc:Choice Requires="wpg">
          <w:drawing>
            <wp:anchor distT="0" distB="0" distL="114300" distR="114300" simplePos="0" relativeHeight="251658240" behindDoc="0" locked="0" layoutInCell="1" allowOverlap="1">
              <wp:simplePos x="0" y="0"/>
              <wp:positionH relativeFrom="page">
                <wp:posOffset>730498</wp:posOffset>
              </wp:positionH>
              <wp:positionV relativeFrom="page">
                <wp:posOffset>9647872</wp:posOffset>
              </wp:positionV>
              <wp:extent cx="6120003" cy="6350"/>
              <wp:effectExtent l="0" t="0" r="0" b="0"/>
              <wp:wrapSquare wrapText="bothSides"/>
              <wp:docPr id="23121" name="Group 23121"/>
              <wp:cNvGraphicFramePr/>
              <a:graphic xmlns:a="http://schemas.openxmlformats.org/drawingml/2006/main">
                <a:graphicData uri="http://schemas.microsoft.com/office/word/2010/wordprocessingGroup">
                  <wpg:wgp>
                    <wpg:cNvGrpSpPr/>
                    <wpg:grpSpPr>
                      <a:xfrm>
                        <a:off x="0" y="0"/>
                        <a:ext cx="6120003" cy="6350"/>
                        <a:chOff x="0" y="0"/>
                        <a:chExt cx="6120003" cy="6350"/>
                      </a:xfrm>
                    </wpg:grpSpPr>
                    <wps:wsp>
                      <wps:cNvPr id="23122" name="Shape 23122"/>
                      <wps:cNvSpPr/>
                      <wps:spPr>
                        <a:xfrm>
                          <a:off x="0" y="0"/>
                          <a:ext cx="6120003" cy="0"/>
                        </a:xfrm>
                        <a:custGeom>
                          <a:avLst/>
                          <a:gdLst/>
                          <a:ahLst/>
                          <a:cxnLst/>
                          <a:rect l="0" t="0" r="0" b="0"/>
                          <a:pathLst>
                            <a:path w="6120003">
                              <a:moveTo>
                                <a:pt x="0" y="0"/>
                              </a:moveTo>
                              <a:lnTo>
                                <a:pt x="6120003"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3121" style="width:481.89pt;height:0.5pt;position:absolute;mso-position-horizontal-relative:page;mso-position-horizontal:absolute;margin-left:57.5195pt;mso-position-vertical-relative:page;margin-top:759.675pt;" coordsize="61200,63">
              <v:shape id="Shape 23122" style="position:absolute;width:61200;height:0;left:0;top:0;" coordsize="6120003,0" path="m0,0l6120003,0">
                <v:stroke weight="0.5pt" endcap="flat" joinstyle="miter" miterlimit="4" on="true" color="#000000"/>
                <v:fill on="false" color="#000000" opacity="0"/>
              </v:shape>
              <w10:wrap type="square"/>
            </v:group>
          </w:pict>
        </mc:Fallback>
      </mc:AlternateContent>
    </w:r>
    <w:r>
      <w:tab/>
    </w:r>
    <w:r>
      <w:rPr>
        <w:rFonts w:ascii="Times New Roman" w:eastAsia="Times New Roman" w:hAnsi="Times New Roman" w:cs="Times New Roman"/>
        <w:i/>
        <w:sz w:val="16"/>
      </w:rPr>
      <w:t>PROBLEMS of ENDOCRINOLOGY 2018;64(6):402-411</w:t>
    </w:r>
    <w:r>
      <w:rPr>
        <w:rFonts w:ascii="Times New Roman" w:eastAsia="Times New Roman" w:hAnsi="Times New Roman" w:cs="Times New Roman"/>
        <w:i/>
        <w:sz w:val="16"/>
      </w:rPr>
      <w:tab/>
    </w:r>
    <w:r>
      <w:fldChar w:fldCharType="begin"/>
    </w:r>
    <w:r>
      <w:instrText xml:space="preserve"> PAGE   \* MERGEFORMAT </w:instrText>
    </w:r>
    <w:r>
      <w:fldChar w:fldCharType="separate"/>
    </w:r>
    <w:r>
      <w:rPr>
        <w:sz w:val="20"/>
      </w:rPr>
      <w:t>403</w:t>
    </w:r>
    <w:r>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5D0" w:rsidRDefault="008E2CEA">
    <w:pPr>
      <w:spacing w:after="0"/>
    </w:pPr>
    <w:r>
      <w:fldChar w:fldCharType="begin"/>
    </w:r>
    <w:r>
      <w:instrText xml:space="preserve"> PAGE   \* MERGEFORMAT </w:instrText>
    </w:r>
    <w:r>
      <w:fldChar w:fldCharType="separate"/>
    </w:r>
    <w:r w:rsidRPr="008E2CEA">
      <w:rPr>
        <w:noProof/>
        <w:sz w:val="20"/>
      </w:rPr>
      <w:t>402</w:t>
    </w:r>
    <w:r>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5D0" w:rsidRDefault="008E2CEA">
    <w:pPr>
      <w:spacing w:after="0"/>
      <w:ind w:left="-686"/>
    </w:pPr>
    <w:r>
      <w:fldChar w:fldCharType="begin"/>
    </w:r>
    <w:r>
      <w:instrText xml:space="preserve"> PAGE   \* MERGEFORMAT </w:instrText>
    </w:r>
    <w:r>
      <w:fldChar w:fldCharType="separate"/>
    </w:r>
    <w:r>
      <w:rPr>
        <w:sz w:val="20"/>
      </w:rPr>
      <w:t>402</w:t>
    </w:r>
    <w:r>
      <w:rPr>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5D0" w:rsidRDefault="008E2CEA">
    <w:pPr>
      <w:tabs>
        <w:tab w:val="right" w:pos="9348"/>
      </w:tabs>
      <w:spacing w:after="0"/>
      <w:ind w:left="-290" w:right="-686"/>
    </w:pPr>
    <w:r>
      <w:rPr>
        <w:rFonts w:ascii="Times New Roman" w:eastAsia="Times New Roman" w:hAnsi="Times New Roman" w:cs="Times New Roman"/>
        <w:i/>
        <w:sz w:val="16"/>
      </w:rPr>
      <w:t>PROBLEMS of ENDOCRINOLOGY 2018;64(6):402-411</w:t>
    </w:r>
    <w:r>
      <w:rPr>
        <w:rFonts w:ascii="Times New Roman" w:eastAsia="Times New Roman" w:hAnsi="Times New Roman" w:cs="Times New Roman"/>
        <w:i/>
        <w:sz w:val="16"/>
      </w:rPr>
      <w:tab/>
    </w:r>
    <w:r>
      <w:fldChar w:fldCharType="begin"/>
    </w:r>
    <w:r>
      <w:instrText xml:space="preserve"> PAGE   \* MERGEFORMAT </w:instrText>
    </w:r>
    <w:r>
      <w:fldChar w:fldCharType="separate"/>
    </w:r>
    <w:r>
      <w:rPr>
        <w:sz w:val="20"/>
      </w:rPr>
      <w:t>409</w:t>
    </w:r>
    <w:r>
      <w:rPr>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5D0" w:rsidRDefault="008E2CEA">
    <w:pPr>
      <w:tabs>
        <w:tab w:val="right" w:pos="9348"/>
      </w:tabs>
      <w:spacing w:after="0"/>
      <w:ind w:left="-290" w:right="-686"/>
    </w:pPr>
    <w:r>
      <w:rPr>
        <w:rFonts w:ascii="Times New Roman" w:eastAsia="Times New Roman" w:hAnsi="Times New Roman" w:cs="Times New Roman"/>
        <w:i/>
        <w:sz w:val="16"/>
      </w:rPr>
      <w:t>PROBLEMS of ENDOCRINOLOGY 2018;64(6):402-411</w:t>
    </w:r>
    <w:r>
      <w:rPr>
        <w:rFonts w:ascii="Times New Roman" w:eastAsia="Times New Roman" w:hAnsi="Times New Roman" w:cs="Times New Roman"/>
        <w:i/>
        <w:sz w:val="16"/>
      </w:rPr>
      <w:tab/>
    </w:r>
    <w:r>
      <w:fldChar w:fldCharType="begin"/>
    </w:r>
    <w:r>
      <w:instrText xml:space="preserve"> PAGE   \* MERGEFORMAT </w:instrText>
    </w:r>
    <w:r>
      <w:fldChar w:fldCharType="separate"/>
    </w:r>
    <w:r>
      <w:rPr>
        <w:sz w:val="20"/>
      </w:rPr>
      <w:t>409</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E2CEA">
      <w:pPr>
        <w:spacing w:after="0" w:line="240" w:lineRule="auto"/>
      </w:pPr>
      <w:r>
        <w:separator/>
      </w:r>
    </w:p>
  </w:footnote>
  <w:footnote w:type="continuationSeparator" w:id="0">
    <w:p w:rsidR="00000000" w:rsidRDefault="008E2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5D0" w:rsidRDefault="008E2CEA">
    <w:pPr>
      <w:tabs>
        <w:tab w:val="right" w:pos="9642"/>
      </w:tabs>
      <w:spacing w:after="0"/>
    </w:pPr>
    <w:r>
      <w:rPr>
        <w:rFonts w:ascii="Times New Roman" w:eastAsia="Times New Roman" w:hAnsi="Times New Roman" w:cs="Times New Roman"/>
        <w:i/>
        <w:sz w:val="18"/>
        <w:shd w:val="clear" w:color="auto" w:fill="D0D0D0"/>
      </w:rPr>
      <w:t>КОНСЕНСУС</w:t>
    </w:r>
    <w:r>
      <w:rPr>
        <w:rFonts w:ascii="Times New Roman" w:eastAsia="Times New Roman" w:hAnsi="Times New Roman" w:cs="Times New Roman"/>
        <w:i/>
        <w:sz w:val="18"/>
        <w:shd w:val="clear" w:color="auto" w:fill="D0D0D0"/>
      </w:rPr>
      <w:tab/>
    </w:r>
    <w:r>
      <w:rPr>
        <w:rFonts w:ascii="Times New Roman" w:eastAsia="Times New Roman" w:hAnsi="Times New Roman" w:cs="Times New Roman"/>
        <w:b/>
        <w:i/>
        <w:sz w:val="18"/>
        <w:shd w:val="clear" w:color="auto" w:fill="D0D0D0"/>
      </w:rPr>
      <w:t xml:space="preserve">DOI: </w:t>
    </w:r>
    <w:r>
      <w:rPr>
        <w:rFonts w:ascii="Times New Roman" w:eastAsia="Times New Roman" w:hAnsi="Times New Roman" w:cs="Times New Roman"/>
        <w:i/>
        <w:sz w:val="18"/>
        <w:shd w:val="clear" w:color="auto" w:fill="D0D0D0"/>
      </w:rPr>
      <w:t>https://doi.org/10.14341/probl</w:t>
    </w:r>
    <w:r>
      <w:rPr>
        <w:i/>
        <w:sz w:val="18"/>
        <w:shd w:val="clear" w:color="auto" w:fill="D0D0D0"/>
      </w:rPr>
      <w:t>1</w:t>
    </w:r>
    <w:r>
      <w:rPr>
        <w:rFonts w:ascii="Times New Roman" w:eastAsia="Times New Roman" w:hAnsi="Times New Roman" w:cs="Times New Roman"/>
        <w:i/>
        <w:sz w:val="18"/>
        <w:shd w:val="clear" w:color="auto" w:fill="D0D0D0"/>
      </w:rPr>
      <w:t>0091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5D0" w:rsidRDefault="008E2CEA">
    <w:pPr>
      <w:tabs>
        <w:tab w:val="right" w:pos="8939"/>
      </w:tabs>
      <w:spacing w:after="0"/>
      <w:ind w:left="-573" w:right="-277"/>
    </w:pPr>
    <w:r>
      <w:rPr>
        <w:rFonts w:ascii="Times New Roman" w:eastAsia="Times New Roman" w:hAnsi="Times New Roman" w:cs="Times New Roman"/>
        <w:i/>
        <w:sz w:val="18"/>
        <w:shd w:val="clear" w:color="auto" w:fill="D0D0D0"/>
      </w:rPr>
      <w:t>КОНСЕНСУС</w:t>
    </w:r>
    <w:r>
      <w:rPr>
        <w:rFonts w:ascii="Times New Roman" w:eastAsia="Times New Roman" w:hAnsi="Times New Roman" w:cs="Times New Roman"/>
        <w:i/>
        <w:sz w:val="18"/>
        <w:shd w:val="clear" w:color="auto" w:fill="D0D0D0"/>
      </w:rPr>
      <w:tab/>
    </w:r>
    <w:r>
      <w:rPr>
        <w:rFonts w:ascii="Times New Roman" w:eastAsia="Times New Roman" w:hAnsi="Times New Roman" w:cs="Times New Roman"/>
        <w:b/>
        <w:i/>
        <w:sz w:val="18"/>
        <w:shd w:val="clear" w:color="auto" w:fill="D0D0D0"/>
      </w:rPr>
      <w:t xml:space="preserve">DOI: </w:t>
    </w:r>
    <w:r>
      <w:rPr>
        <w:rFonts w:ascii="Times New Roman" w:eastAsia="Times New Roman" w:hAnsi="Times New Roman" w:cs="Times New Roman"/>
        <w:i/>
        <w:sz w:val="18"/>
        <w:shd w:val="clear" w:color="auto" w:fill="D0D0D0"/>
      </w:rPr>
      <w:t>https://doi.org/10.14341/probl</w:t>
    </w:r>
    <w:r>
      <w:rPr>
        <w:i/>
        <w:sz w:val="18"/>
        <w:shd w:val="clear" w:color="auto" w:fill="D0D0D0"/>
      </w:rPr>
      <w:t>1</w:t>
    </w:r>
    <w:r>
      <w:rPr>
        <w:rFonts w:ascii="Times New Roman" w:eastAsia="Times New Roman" w:hAnsi="Times New Roman" w:cs="Times New Roman"/>
        <w:i/>
        <w:sz w:val="18"/>
        <w:shd w:val="clear" w:color="auto" w:fill="D0D0D0"/>
      </w:rPr>
      <w:t>0091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5D0" w:rsidRDefault="000415D0"/>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5D0" w:rsidRDefault="000415D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A2956"/>
    <w:multiLevelType w:val="hybridMultilevel"/>
    <w:tmpl w:val="288015DC"/>
    <w:lvl w:ilvl="0" w:tplc="14DED68E">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2EA3040">
      <w:start w:val="1"/>
      <w:numFmt w:val="bullet"/>
      <w:lvlText w:val="o"/>
      <w:lvlJc w:val="left"/>
      <w:pPr>
        <w:ind w:left="13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C4E9932">
      <w:start w:val="1"/>
      <w:numFmt w:val="bullet"/>
      <w:lvlText w:val="▪"/>
      <w:lvlJc w:val="left"/>
      <w:pPr>
        <w:ind w:left="21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3002B0A">
      <w:start w:val="1"/>
      <w:numFmt w:val="bullet"/>
      <w:lvlText w:val="•"/>
      <w:lvlJc w:val="left"/>
      <w:pPr>
        <w:ind w:left="28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964934C">
      <w:start w:val="1"/>
      <w:numFmt w:val="bullet"/>
      <w:lvlText w:val="o"/>
      <w:lvlJc w:val="left"/>
      <w:pPr>
        <w:ind w:left="35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90091EC">
      <w:start w:val="1"/>
      <w:numFmt w:val="bullet"/>
      <w:lvlText w:val="▪"/>
      <w:lvlJc w:val="left"/>
      <w:pPr>
        <w:ind w:left="42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F8ADBFC">
      <w:start w:val="1"/>
      <w:numFmt w:val="bullet"/>
      <w:lvlText w:val="•"/>
      <w:lvlJc w:val="left"/>
      <w:pPr>
        <w:ind w:left="49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E644B60">
      <w:start w:val="1"/>
      <w:numFmt w:val="bullet"/>
      <w:lvlText w:val="o"/>
      <w:lvlJc w:val="left"/>
      <w:pPr>
        <w:ind w:left="57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CA083AA">
      <w:start w:val="1"/>
      <w:numFmt w:val="bullet"/>
      <w:lvlText w:val="▪"/>
      <w:lvlJc w:val="left"/>
      <w:pPr>
        <w:ind w:left="64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17869B3"/>
    <w:multiLevelType w:val="hybridMultilevel"/>
    <w:tmpl w:val="751654DC"/>
    <w:lvl w:ilvl="0" w:tplc="0206E368">
      <w:start w:val="8"/>
      <w:numFmt w:val="decimal"/>
      <w:lvlText w:val="%1."/>
      <w:lvlJc w:val="left"/>
      <w:pPr>
        <w:ind w:left="3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D2C2E55C">
      <w:start w:val="1"/>
      <w:numFmt w:val="lowerLetter"/>
      <w:lvlText w:val="%2"/>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9954C9DA">
      <w:start w:val="1"/>
      <w:numFmt w:val="lowerRoman"/>
      <w:lvlText w:val="%3"/>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52EA32DC">
      <w:start w:val="1"/>
      <w:numFmt w:val="decimal"/>
      <w:lvlText w:val="%4"/>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7BC0E51A">
      <w:start w:val="1"/>
      <w:numFmt w:val="lowerLetter"/>
      <w:lvlText w:val="%5"/>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A8AA2C6E">
      <w:start w:val="1"/>
      <w:numFmt w:val="lowerRoman"/>
      <w:lvlText w:val="%6"/>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CD28EDDA">
      <w:start w:val="1"/>
      <w:numFmt w:val="decimal"/>
      <w:lvlText w:val="%7"/>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86D2AAA6">
      <w:start w:val="1"/>
      <w:numFmt w:val="lowerLetter"/>
      <w:lvlText w:val="%8"/>
      <w:lvlJc w:val="left"/>
      <w:pPr>
        <w:ind w:left="54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384417E6">
      <w:start w:val="1"/>
      <w:numFmt w:val="lowerRoman"/>
      <w:lvlText w:val="%9"/>
      <w:lvlJc w:val="left"/>
      <w:pPr>
        <w:ind w:left="61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27C161EF"/>
    <w:multiLevelType w:val="hybridMultilevel"/>
    <w:tmpl w:val="9A1463E6"/>
    <w:lvl w:ilvl="0" w:tplc="D390D4D4">
      <w:start w:val="1"/>
      <w:numFmt w:val="bullet"/>
      <w:lvlText w:val="•"/>
      <w:lvlJc w:val="left"/>
      <w:pPr>
        <w:ind w:left="137"/>
      </w:pPr>
      <w:rPr>
        <w:rFonts w:ascii="Times New Roman" w:eastAsia="Times New Roman" w:hAnsi="Times New Roman" w:cs="Times New Roman"/>
        <w:b w:val="0"/>
        <w:i w:val="0"/>
        <w:strike w:val="0"/>
        <w:dstrike w:val="0"/>
        <w:color w:val="181717"/>
        <w:sz w:val="14"/>
        <w:szCs w:val="14"/>
        <w:u w:val="none" w:color="000000"/>
        <w:bdr w:val="none" w:sz="0" w:space="0" w:color="auto"/>
        <w:shd w:val="clear" w:color="auto" w:fill="auto"/>
        <w:vertAlign w:val="baseline"/>
      </w:rPr>
    </w:lvl>
    <w:lvl w:ilvl="1" w:tplc="424A5EDE">
      <w:start w:val="1"/>
      <w:numFmt w:val="bullet"/>
      <w:lvlText w:val="o"/>
      <w:lvlJc w:val="left"/>
      <w:pPr>
        <w:ind w:left="1222"/>
      </w:pPr>
      <w:rPr>
        <w:rFonts w:ascii="Times New Roman" w:eastAsia="Times New Roman" w:hAnsi="Times New Roman" w:cs="Times New Roman"/>
        <w:b w:val="0"/>
        <w:i w:val="0"/>
        <w:strike w:val="0"/>
        <w:dstrike w:val="0"/>
        <w:color w:val="181717"/>
        <w:sz w:val="14"/>
        <w:szCs w:val="14"/>
        <w:u w:val="none" w:color="000000"/>
        <w:bdr w:val="none" w:sz="0" w:space="0" w:color="auto"/>
        <w:shd w:val="clear" w:color="auto" w:fill="auto"/>
        <w:vertAlign w:val="baseline"/>
      </w:rPr>
    </w:lvl>
    <w:lvl w:ilvl="2" w:tplc="F4948354">
      <w:start w:val="1"/>
      <w:numFmt w:val="bullet"/>
      <w:lvlText w:val="▪"/>
      <w:lvlJc w:val="left"/>
      <w:pPr>
        <w:ind w:left="1942"/>
      </w:pPr>
      <w:rPr>
        <w:rFonts w:ascii="Times New Roman" w:eastAsia="Times New Roman" w:hAnsi="Times New Roman" w:cs="Times New Roman"/>
        <w:b w:val="0"/>
        <w:i w:val="0"/>
        <w:strike w:val="0"/>
        <w:dstrike w:val="0"/>
        <w:color w:val="181717"/>
        <w:sz w:val="14"/>
        <w:szCs w:val="14"/>
        <w:u w:val="none" w:color="000000"/>
        <w:bdr w:val="none" w:sz="0" w:space="0" w:color="auto"/>
        <w:shd w:val="clear" w:color="auto" w:fill="auto"/>
        <w:vertAlign w:val="baseline"/>
      </w:rPr>
    </w:lvl>
    <w:lvl w:ilvl="3" w:tplc="9F82DCCC">
      <w:start w:val="1"/>
      <w:numFmt w:val="bullet"/>
      <w:lvlText w:val="•"/>
      <w:lvlJc w:val="left"/>
      <w:pPr>
        <w:ind w:left="2662"/>
      </w:pPr>
      <w:rPr>
        <w:rFonts w:ascii="Times New Roman" w:eastAsia="Times New Roman" w:hAnsi="Times New Roman" w:cs="Times New Roman"/>
        <w:b w:val="0"/>
        <w:i w:val="0"/>
        <w:strike w:val="0"/>
        <w:dstrike w:val="0"/>
        <w:color w:val="181717"/>
        <w:sz w:val="14"/>
        <w:szCs w:val="14"/>
        <w:u w:val="none" w:color="000000"/>
        <w:bdr w:val="none" w:sz="0" w:space="0" w:color="auto"/>
        <w:shd w:val="clear" w:color="auto" w:fill="auto"/>
        <w:vertAlign w:val="baseline"/>
      </w:rPr>
    </w:lvl>
    <w:lvl w:ilvl="4" w:tplc="169CBC46">
      <w:start w:val="1"/>
      <w:numFmt w:val="bullet"/>
      <w:lvlText w:val="o"/>
      <w:lvlJc w:val="left"/>
      <w:pPr>
        <w:ind w:left="3382"/>
      </w:pPr>
      <w:rPr>
        <w:rFonts w:ascii="Times New Roman" w:eastAsia="Times New Roman" w:hAnsi="Times New Roman" w:cs="Times New Roman"/>
        <w:b w:val="0"/>
        <w:i w:val="0"/>
        <w:strike w:val="0"/>
        <w:dstrike w:val="0"/>
        <w:color w:val="181717"/>
        <w:sz w:val="14"/>
        <w:szCs w:val="14"/>
        <w:u w:val="none" w:color="000000"/>
        <w:bdr w:val="none" w:sz="0" w:space="0" w:color="auto"/>
        <w:shd w:val="clear" w:color="auto" w:fill="auto"/>
        <w:vertAlign w:val="baseline"/>
      </w:rPr>
    </w:lvl>
    <w:lvl w:ilvl="5" w:tplc="511E66AC">
      <w:start w:val="1"/>
      <w:numFmt w:val="bullet"/>
      <w:lvlText w:val="▪"/>
      <w:lvlJc w:val="left"/>
      <w:pPr>
        <w:ind w:left="4102"/>
      </w:pPr>
      <w:rPr>
        <w:rFonts w:ascii="Times New Roman" w:eastAsia="Times New Roman" w:hAnsi="Times New Roman" w:cs="Times New Roman"/>
        <w:b w:val="0"/>
        <w:i w:val="0"/>
        <w:strike w:val="0"/>
        <w:dstrike w:val="0"/>
        <w:color w:val="181717"/>
        <w:sz w:val="14"/>
        <w:szCs w:val="14"/>
        <w:u w:val="none" w:color="000000"/>
        <w:bdr w:val="none" w:sz="0" w:space="0" w:color="auto"/>
        <w:shd w:val="clear" w:color="auto" w:fill="auto"/>
        <w:vertAlign w:val="baseline"/>
      </w:rPr>
    </w:lvl>
    <w:lvl w:ilvl="6" w:tplc="4DA07E10">
      <w:start w:val="1"/>
      <w:numFmt w:val="bullet"/>
      <w:lvlText w:val="•"/>
      <w:lvlJc w:val="left"/>
      <w:pPr>
        <w:ind w:left="4822"/>
      </w:pPr>
      <w:rPr>
        <w:rFonts w:ascii="Times New Roman" w:eastAsia="Times New Roman" w:hAnsi="Times New Roman" w:cs="Times New Roman"/>
        <w:b w:val="0"/>
        <w:i w:val="0"/>
        <w:strike w:val="0"/>
        <w:dstrike w:val="0"/>
        <w:color w:val="181717"/>
        <w:sz w:val="14"/>
        <w:szCs w:val="14"/>
        <w:u w:val="none" w:color="000000"/>
        <w:bdr w:val="none" w:sz="0" w:space="0" w:color="auto"/>
        <w:shd w:val="clear" w:color="auto" w:fill="auto"/>
        <w:vertAlign w:val="baseline"/>
      </w:rPr>
    </w:lvl>
    <w:lvl w:ilvl="7" w:tplc="B380DA66">
      <w:start w:val="1"/>
      <w:numFmt w:val="bullet"/>
      <w:lvlText w:val="o"/>
      <w:lvlJc w:val="left"/>
      <w:pPr>
        <w:ind w:left="5542"/>
      </w:pPr>
      <w:rPr>
        <w:rFonts w:ascii="Times New Roman" w:eastAsia="Times New Roman" w:hAnsi="Times New Roman" w:cs="Times New Roman"/>
        <w:b w:val="0"/>
        <w:i w:val="0"/>
        <w:strike w:val="0"/>
        <w:dstrike w:val="0"/>
        <w:color w:val="181717"/>
        <w:sz w:val="14"/>
        <w:szCs w:val="14"/>
        <w:u w:val="none" w:color="000000"/>
        <w:bdr w:val="none" w:sz="0" w:space="0" w:color="auto"/>
        <w:shd w:val="clear" w:color="auto" w:fill="auto"/>
        <w:vertAlign w:val="baseline"/>
      </w:rPr>
    </w:lvl>
    <w:lvl w:ilvl="8" w:tplc="1E925072">
      <w:start w:val="1"/>
      <w:numFmt w:val="bullet"/>
      <w:lvlText w:val="▪"/>
      <w:lvlJc w:val="left"/>
      <w:pPr>
        <w:ind w:left="6262"/>
      </w:pPr>
      <w:rPr>
        <w:rFonts w:ascii="Times New Roman" w:eastAsia="Times New Roman" w:hAnsi="Times New Roman" w:cs="Times New Roman"/>
        <w:b w:val="0"/>
        <w:i w:val="0"/>
        <w:strike w:val="0"/>
        <w:dstrike w:val="0"/>
        <w:color w:val="181717"/>
        <w:sz w:val="14"/>
        <w:szCs w:val="14"/>
        <w:u w:val="none" w:color="000000"/>
        <w:bdr w:val="none" w:sz="0" w:space="0" w:color="auto"/>
        <w:shd w:val="clear" w:color="auto" w:fill="auto"/>
        <w:vertAlign w:val="baseline"/>
      </w:rPr>
    </w:lvl>
  </w:abstractNum>
  <w:abstractNum w:abstractNumId="3" w15:restartNumberingAfterBreak="0">
    <w:nsid w:val="39732322"/>
    <w:multiLevelType w:val="hybridMultilevel"/>
    <w:tmpl w:val="3506B64A"/>
    <w:lvl w:ilvl="0" w:tplc="AE466314">
      <w:start w:val="4"/>
      <w:numFmt w:val="decimal"/>
      <w:lvlText w:val="%1."/>
      <w:lvlJc w:val="left"/>
      <w:pPr>
        <w:ind w:left="3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8CB69E0E">
      <w:start w:val="1"/>
      <w:numFmt w:val="lowerLetter"/>
      <w:lvlText w:val="%2"/>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10AE237A">
      <w:start w:val="1"/>
      <w:numFmt w:val="lowerRoman"/>
      <w:lvlText w:val="%3"/>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8BF49DAE">
      <w:start w:val="1"/>
      <w:numFmt w:val="decimal"/>
      <w:lvlText w:val="%4"/>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A96AF85C">
      <w:start w:val="1"/>
      <w:numFmt w:val="lowerLetter"/>
      <w:lvlText w:val="%5"/>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6C440BC2">
      <w:start w:val="1"/>
      <w:numFmt w:val="lowerRoman"/>
      <w:lvlText w:val="%6"/>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6E6A45B2">
      <w:start w:val="1"/>
      <w:numFmt w:val="decimal"/>
      <w:lvlText w:val="%7"/>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464E7BCC">
      <w:start w:val="1"/>
      <w:numFmt w:val="lowerLetter"/>
      <w:lvlText w:val="%8"/>
      <w:lvlJc w:val="left"/>
      <w:pPr>
        <w:ind w:left="54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C1009742">
      <w:start w:val="1"/>
      <w:numFmt w:val="lowerRoman"/>
      <w:lvlText w:val="%9"/>
      <w:lvlJc w:val="left"/>
      <w:pPr>
        <w:ind w:left="61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4" w15:restartNumberingAfterBreak="0">
    <w:nsid w:val="49463829"/>
    <w:multiLevelType w:val="hybridMultilevel"/>
    <w:tmpl w:val="8D78AABA"/>
    <w:lvl w:ilvl="0" w:tplc="33C46200">
      <w:start w:val="1"/>
      <w:numFmt w:val="decimal"/>
      <w:lvlText w:val="%1."/>
      <w:lvlJc w:val="left"/>
      <w:pPr>
        <w:ind w:left="3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0A940B18">
      <w:start w:val="1"/>
      <w:numFmt w:val="lowerLetter"/>
      <w:lvlText w:val="%2"/>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146CCC86">
      <w:start w:val="1"/>
      <w:numFmt w:val="lowerRoman"/>
      <w:lvlText w:val="%3"/>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C6CAD858">
      <w:start w:val="1"/>
      <w:numFmt w:val="decimal"/>
      <w:lvlText w:val="%4"/>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4698B906">
      <w:start w:val="1"/>
      <w:numFmt w:val="lowerLetter"/>
      <w:lvlText w:val="%5"/>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C62C2DEC">
      <w:start w:val="1"/>
      <w:numFmt w:val="lowerRoman"/>
      <w:lvlText w:val="%6"/>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19BA3448">
      <w:start w:val="1"/>
      <w:numFmt w:val="decimal"/>
      <w:lvlText w:val="%7"/>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06FA0988">
      <w:start w:val="1"/>
      <w:numFmt w:val="lowerLetter"/>
      <w:lvlText w:val="%8"/>
      <w:lvlJc w:val="left"/>
      <w:pPr>
        <w:ind w:left="54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0BC61B74">
      <w:start w:val="1"/>
      <w:numFmt w:val="lowerRoman"/>
      <w:lvlText w:val="%9"/>
      <w:lvlJc w:val="left"/>
      <w:pPr>
        <w:ind w:left="61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5" w15:restartNumberingAfterBreak="0">
    <w:nsid w:val="4C715D7F"/>
    <w:multiLevelType w:val="hybridMultilevel"/>
    <w:tmpl w:val="4F76D8BC"/>
    <w:lvl w:ilvl="0" w:tplc="5B9AB57E">
      <w:start w:val="1"/>
      <w:numFmt w:val="decimal"/>
      <w:lvlText w:val="%1."/>
      <w:lvlJc w:val="left"/>
      <w:pPr>
        <w:ind w:left="146"/>
      </w:pPr>
      <w:rPr>
        <w:rFonts w:ascii="Times New Roman" w:eastAsia="Times New Roman" w:hAnsi="Times New Roman" w:cs="Times New Roman"/>
        <w:b w:val="0"/>
        <w:i w:val="0"/>
        <w:strike w:val="0"/>
        <w:dstrike w:val="0"/>
        <w:color w:val="181717"/>
        <w:sz w:val="14"/>
        <w:szCs w:val="14"/>
        <w:u w:val="none" w:color="000000"/>
        <w:bdr w:val="none" w:sz="0" w:space="0" w:color="auto"/>
        <w:shd w:val="clear" w:color="auto" w:fill="auto"/>
        <w:vertAlign w:val="baseline"/>
      </w:rPr>
    </w:lvl>
    <w:lvl w:ilvl="1" w:tplc="5752464C">
      <w:start w:val="1"/>
      <w:numFmt w:val="lowerLetter"/>
      <w:lvlText w:val="%2"/>
      <w:lvlJc w:val="left"/>
      <w:pPr>
        <w:ind w:left="1222"/>
      </w:pPr>
      <w:rPr>
        <w:rFonts w:ascii="Times New Roman" w:eastAsia="Times New Roman" w:hAnsi="Times New Roman" w:cs="Times New Roman"/>
        <w:b w:val="0"/>
        <w:i w:val="0"/>
        <w:strike w:val="0"/>
        <w:dstrike w:val="0"/>
        <w:color w:val="181717"/>
        <w:sz w:val="14"/>
        <w:szCs w:val="14"/>
        <w:u w:val="none" w:color="000000"/>
        <w:bdr w:val="none" w:sz="0" w:space="0" w:color="auto"/>
        <w:shd w:val="clear" w:color="auto" w:fill="auto"/>
        <w:vertAlign w:val="baseline"/>
      </w:rPr>
    </w:lvl>
    <w:lvl w:ilvl="2" w:tplc="3028BD68">
      <w:start w:val="1"/>
      <w:numFmt w:val="lowerRoman"/>
      <w:lvlText w:val="%3"/>
      <w:lvlJc w:val="left"/>
      <w:pPr>
        <w:ind w:left="1942"/>
      </w:pPr>
      <w:rPr>
        <w:rFonts w:ascii="Times New Roman" w:eastAsia="Times New Roman" w:hAnsi="Times New Roman" w:cs="Times New Roman"/>
        <w:b w:val="0"/>
        <w:i w:val="0"/>
        <w:strike w:val="0"/>
        <w:dstrike w:val="0"/>
        <w:color w:val="181717"/>
        <w:sz w:val="14"/>
        <w:szCs w:val="14"/>
        <w:u w:val="none" w:color="000000"/>
        <w:bdr w:val="none" w:sz="0" w:space="0" w:color="auto"/>
        <w:shd w:val="clear" w:color="auto" w:fill="auto"/>
        <w:vertAlign w:val="baseline"/>
      </w:rPr>
    </w:lvl>
    <w:lvl w:ilvl="3" w:tplc="E454EB62">
      <w:start w:val="1"/>
      <w:numFmt w:val="decimal"/>
      <w:lvlText w:val="%4"/>
      <w:lvlJc w:val="left"/>
      <w:pPr>
        <w:ind w:left="2662"/>
      </w:pPr>
      <w:rPr>
        <w:rFonts w:ascii="Times New Roman" w:eastAsia="Times New Roman" w:hAnsi="Times New Roman" w:cs="Times New Roman"/>
        <w:b w:val="0"/>
        <w:i w:val="0"/>
        <w:strike w:val="0"/>
        <w:dstrike w:val="0"/>
        <w:color w:val="181717"/>
        <w:sz w:val="14"/>
        <w:szCs w:val="14"/>
        <w:u w:val="none" w:color="000000"/>
        <w:bdr w:val="none" w:sz="0" w:space="0" w:color="auto"/>
        <w:shd w:val="clear" w:color="auto" w:fill="auto"/>
        <w:vertAlign w:val="baseline"/>
      </w:rPr>
    </w:lvl>
    <w:lvl w:ilvl="4" w:tplc="A3440DDC">
      <w:start w:val="1"/>
      <w:numFmt w:val="lowerLetter"/>
      <w:lvlText w:val="%5"/>
      <w:lvlJc w:val="left"/>
      <w:pPr>
        <w:ind w:left="3382"/>
      </w:pPr>
      <w:rPr>
        <w:rFonts w:ascii="Times New Roman" w:eastAsia="Times New Roman" w:hAnsi="Times New Roman" w:cs="Times New Roman"/>
        <w:b w:val="0"/>
        <w:i w:val="0"/>
        <w:strike w:val="0"/>
        <w:dstrike w:val="0"/>
        <w:color w:val="181717"/>
        <w:sz w:val="14"/>
        <w:szCs w:val="14"/>
        <w:u w:val="none" w:color="000000"/>
        <w:bdr w:val="none" w:sz="0" w:space="0" w:color="auto"/>
        <w:shd w:val="clear" w:color="auto" w:fill="auto"/>
        <w:vertAlign w:val="baseline"/>
      </w:rPr>
    </w:lvl>
    <w:lvl w:ilvl="5" w:tplc="2BB07794">
      <w:start w:val="1"/>
      <w:numFmt w:val="lowerRoman"/>
      <w:lvlText w:val="%6"/>
      <w:lvlJc w:val="left"/>
      <w:pPr>
        <w:ind w:left="4102"/>
      </w:pPr>
      <w:rPr>
        <w:rFonts w:ascii="Times New Roman" w:eastAsia="Times New Roman" w:hAnsi="Times New Roman" w:cs="Times New Roman"/>
        <w:b w:val="0"/>
        <w:i w:val="0"/>
        <w:strike w:val="0"/>
        <w:dstrike w:val="0"/>
        <w:color w:val="181717"/>
        <w:sz w:val="14"/>
        <w:szCs w:val="14"/>
        <w:u w:val="none" w:color="000000"/>
        <w:bdr w:val="none" w:sz="0" w:space="0" w:color="auto"/>
        <w:shd w:val="clear" w:color="auto" w:fill="auto"/>
        <w:vertAlign w:val="baseline"/>
      </w:rPr>
    </w:lvl>
    <w:lvl w:ilvl="6" w:tplc="D5F4A04C">
      <w:start w:val="1"/>
      <w:numFmt w:val="decimal"/>
      <w:lvlText w:val="%7"/>
      <w:lvlJc w:val="left"/>
      <w:pPr>
        <w:ind w:left="4822"/>
      </w:pPr>
      <w:rPr>
        <w:rFonts w:ascii="Times New Roman" w:eastAsia="Times New Roman" w:hAnsi="Times New Roman" w:cs="Times New Roman"/>
        <w:b w:val="0"/>
        <w:i w:val="0"/>
        <w:strike w:val="0"/>
        <w:dstrike w:val="0"/>
        <w:color w:val="181717"/>
        <w:sz w:val="14"/>
        <w:szCs w:val="14"/>
        <w:u w:val="none" w:color="000000"/>
        <w:bdr w:val="none" w:sz="0" w:space="0" w:color="auto"/>
        <w:shd w:val="clear" w:color="auto" w:fill="auto"/>
        <w:vertAlign w:val="baseline"/>
      </w:rPr>
    </w:lvl>
    <w:lvl w:ilvl="7" w:tplc="08F4C1AC">
      <w:start w:val="1"/>
      <w:numFmt w:val="lowerLetter"/>
      <w:lvlText w:val="%8"/>
      <w:lvlJc w:val="left"/>
      <w:pPr>
        <w:ind w:left="5542"/>
      </w:pPr>
      <w:rPr>
        <w:rFonts w:ascii="Times New Roman" w:eastAsia="Times New Roman" w:hAnsi="Times New Roman" w:cs="Times New Roman"/>
        <w:b w:val="0"/>
        <w:i w:val="0"/>
        <w:strike w:val="0"/>
        <w:dstrike w:val="0"/>
        <w:color w:val="181717"/>
        <w:sz w:val="14"/>
        <w:szCs w:val="14"/>
        <w:u w:val="none" w:color="000000"/>
        <w:bdr w:val="none" w:sz="0" w:space="0" w:color="auto"/>
        <w:shd w:val="clear" w:color="auto" w:fill="auto"/>
        <w:vertAlign w:val="baseline"/>
      </w:rPr>
    </w:lvl>
    <w:lvl w:ilvl="8" w:tplc="7312F3C6">
      <w:start w:val="1"/>
      <w:numFmt w:val="lowerRoman"/>
      <w:lvlText w:val="%9"/>
      <w:lvlJc w:val="left"/>
      <w:pPr>
        <w:ind w:left="6262"/>
      </w:pPr>
      <w:rPr>
        <w:rFonts w:ascii="Times New Roman" w:eastAsia="Times New Roman" w:hAnsi="Times New Roman" w:cs="Times New Roman"/>
        <w:b w:val="0"/>
        <w:i w:val="0"/>
        <w:strike w:val="0"/>
        <w:dstrike w:val="0"/>
        <w:color w:val="181717"/>
        <w:sz w:val="14"/>
        <w:szCs w:val="14"/>
        <w:u w:val="none" w:color="000000"/>
        <w:bdr w:val="none" w:sz="0" w:space="0" w:color="auto"/>
        <w:shd w:val="clear" w:color="auto" w:fill="auto"/>
        <w:vertAlign w:val="baseline"/>
      </w:rPr>
    </w:lvl>
  </w:abstractNum>
  <w:abstractNum w:abstractNumId="6" w15:restartNumberingAfterBreak="0">
    <w:nsid w:val="6A603120"/>
    <w:multiLevelType w:val="hybridMultilevel"/>
    <w:tmpl w:val="90605E44"/>
    <w:lvl w:ilvl="0" w:tplc="E4DC895E">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DF628C4">
      <w:start w:val="1"/>
      <w:numFmt w:val="lowerLetter"/>
      <w:lvlText w:val="%2"/>
      <w:lvlJc w:val="left"/>
      <w:pPr>
        <w:ind w:left="14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192728A">
      <w:start w:val="1"/>
      <w:numFmt w:val="lowerRoman"/>
      <w:lvlText w:val="%3"/>
      <w:lvlJc w:val="left"/>
      <w:pPr>
        <w:ind w:left="21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8D26778">
      <w:start w:val="1"/>
      <w:numFmt w:val="decimal"/>
      <w:lvlText w:val="%4"/>
      <w:lvlJc w:val="left"/>
      <w:pPr>
        <w:ind w:left="28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A105278">
      <w:start w:val="1"/>
      <w:numFmt w:val="lowerLetter"/>
      <w:lvlText w:val="%5"/>
      <w:lvlJc w:val="left"/>
      <w:pPr>
        <w:ind w:left="35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3A20666">
      <w:start w:val="1"/>
      <w:numFmt w:val="lowerRoman"/>
      <w:lvlText w:val="%6"/>
      <w:lvlJc w:val="left"/>
      <w:pPr>
        <w:ind w:left="43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AE0F86C">
      <w:start w:val="1"/>
      <w:numFmt w:val="decimal"/>
      <w:lvlText w:val="%7"/>
      <w:lvlJc w:val="left"/>
      <w:pPr>
        <w:ind w:left="50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5C7D26">
      <w:start w:val="1"/>
      <w:numFmt w:val="lowerLetter"/>
      <w:lvlText w:val="%8"/>
      <w:lvlJc w:val="left"/>
      <w:pPr>
        <w:ind w:left="57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5EE34C0">
      <w:start w:val="1"/>
      <w:numFmt w:val="lowerRoman"/>
      <w:lvlText w:val="%9"/>
      <w:lvlJc w:val="left"/>
      <w:pPr>
        <w:ind w:left="64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6"/>
  </w:num>
  <w:num w:numId="2">
    <w:abstractNumId w:val="1"/>
  </w:num>
  <w:num w:numId="3">
    <w:abstractNumId w:val="0"/>
  </w:num>
  <w:num w:numId="4">
    <w:abstractNumId w:val="4"/>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5D0"/>
    <w:rsid w:val="000415D0"/>
    <w:rsid w:val="008E2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5FDDC231-8F37-4A88-8821-96CBBDBF9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51" w:line="248" w:lineRule="auto"/>
      <w:ind w:left="350" w:hanging="10"/>
      <w:outlineLvl w:val="0"/>
    </w:pPr>
    <w:rPr>
      <w:rFonts w:ascii="Calibri" w:eastAsia="Calibri" w:hAnsi="Calibri" w:cs="Calibri"/>
      <w:b/>
      <w:color w:val="000000"/>
      <w:sz w:val="24"/>
    </w:rPr>
  </w:style>
  <w:style w:type="paragraph" w:styleId="Heading2">
    <w:name w:val="heading 2"/>
    <w:next w:val="Normal"/>
    <w:link w:val="Heading2Char"/>
    <w:uiPriority w:val="9"/>
    <w:unhideWhenUsed/>
    <w:qFormat/>
    <w:pPr>
      <w:keepNext/>
      <w:keepLines/>
      <w:spacing w:after="52" w:line="254" w:lineRule="auto"/>
      <w:ind w:left="350" w:hanging="10"/>
      <w:outlineLvl w:val="1"/>
    </w:pPr>
    <w:rPr>
      <w:rFonts w:ascii="Times New Roman" w:eastAsia="Times New Roman" w:hAnsi="Times New Roman" w:cs="Times New Roman"/>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000000"/>
      <w:sz w:val="20"/>
    </w:rPr>
  </w:style>
  <w:style w:type="character" w:customStyle="1" w:styleId="Heading1Char">
    <w:name w:val="Heading 1 Char"/>
    <w:link w:val="Heading1"/>
    <w:rPr>
      <w:rFonts w:ascii="Calibri" w:eastAsia="Calibri" w:hAnsi="Calibri" w:cs="Calibri"/>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7741</Words>
  <Characters>44128</Characters>
  <Application>Microsoft Office Word</Application>
  <DocSecurity>4</DocSecurity>
  <Lines>367</Lines>
  <Paragraphs>103</Paragraphs>
  <ScaleCrop>false</ScaleCrop>
  <Company/>
  <LinksUpToDate>false</LinksUpToDate>
  <CharactersWithSpaces>51766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EndoKrin_2018_06.indd</dc:title>
  <dc:subject/>
  <dc:creator>mkalujnn</dc:creator>
  <cp:keywords/>
  <cp:lastModifiedBy>word</cp:lastModifiedBy>
  <cp:revision>2</cp:revision>
  <dcterms:created xsi:type="dcterms:W3CDTF">2024-12-13T08:48:00Z</dcterms:created>
  <dcterms:modified xsi:type="dcterms:W3CDTF">2024-12-13T08:48:00Z</dcterms:modified>
</cp:coreProperties>
</file>