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2479" w:rsidRDefault="00863A7D">
      <w:pPr>
        <w:spacing w:after="0"/>
        <w:ind w:left="-1440" w:right="1080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27432</wp:posOffset>
            </wp:positionH>
            <wp:positionV relativeFrom="page">
              <wp:posOffset>36576</wp:posOffset>
            </wp:positionV>
            <wp:extent cx="7708393" cy="10021824"/>
            <wp:effectExtent l="0" t="0" r="0" b="0"/>
            <wp:wrapTopAndBottom/>
            <wp:docPr id="52377" name="Picture 523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77" name="Picture 5237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08393" cy="10021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2479" w:rsidRDefault="001C2479">
      <w:pPr>
        <w:sectPr w:rsidR="001C2479">
          <w:pgSz w:w="12240" w:h="15840"/>
          <w:pgMar w:top="1440" w:right="1440" w:bottom="1440" w:left="1440" w:header="720" w:footer="720" w:gutter="0"/>
          <w:cols w:space="720"/>
        </w:sectPr>
      </w:pPr>
    </w:p>
    <w:p w:rsidR="001C2479" w:rsidRDefault="00863A7D">
      <w:pPr>
        <w:spacing w:after="86"/>
        <w:ind w:left="319" w:right="316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 xml:space="preserve">Оглавление </w:t>
      </w:r>
    </w:p>
    <w:p w:rsidR="001C2479" w:rsidRDefault="00863A7D">
      <w:pPr>
        <w:spacing w:after="0"/>
        <w:ind w:left="190" w:hanging="10"/>
        <w:jc w:val="both"/>
      </w:pPr>
      <w:r>
        <w:rPr>
          <w:noProof/>
        </w:rPr>
        <mc:AlternateContent>
          <mc:Choice Requires="wpg">
            <w:drawing>
              <wp:inline distT="0" distB="0" distL="0" distR="0">
                <wp:extent cx="9144" cy="239565"/>
                <wp:effectExtent l="0" t="0" r="0" b="0"/>
                <wp:docPr id="41667" name="Group 416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" cy="239565"/>
                          <a:chOff x="0" y="0"/>
                          <a:chExt cx="9144" cy="239565"/>
                        </a:xfrm>
                      </wpg:grpSpPr>
                      <wps:wsp>
                        <wps:cNvPr id="53998" name="Shape 53998"/>
                        <wps:cNvSpPr/>
                        <wps:spPr>
                          <a:xfrm>
                            <a:off x="0" y="0"/>
                            <a:ext cx="9144" cy="2395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395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39565"/>
                                </a:lnTo>
                                <a:lnTo>
                                  <a:pt x="0" y="2395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1667" style="width:0.719997pt;height:18.8634pt;mso-position-horizontal-relative:char;mso-position-vertical-relative:line" coordsize="91,2395">
                <v:shape id="Shape 53999" style="position:absolute;width:91;height:2395;left:0;top:0;" coordsize="9144,239565" path="m0,0l9144,0l9144,239565l0,239565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4"/>
        </w:rPr>
        <w:t xml:space="preserve"> Оглавление 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  <w:u w:val="single" w:color="FF0101"/>
        </w:rPr>
        <w:t xml:space="preserve"> </w:t>
      </w:r>
      <w:r>
        <w:rPr>
          <w:rFonts w:ascii="Times New Roman" w:eastAsia="Times New Roman" w:hAnsi="Times New Roman" w:cs="Times New Roman"/>
          <w:color w:val="FF0101"/>
          <w:sz w:val="24"/>
          <w:u w:val="single" w:color="FF0101"/>
        </w:rPr>
        <w:t>2</w:t>
      </w:r>
      <w:r>
        <w:rPr>
          <w:rFonts w:ascii="Times New Roman" w:eastAsia="Times New Roman" w:hAnsi="Times New Roman" w:cs="Times New Roman"/>
          <w:strike/>
          <w:color w:val="FF0101"/>
          <w:sz w:val="24"/>
        </w:rPr>
        <w:t>1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spacing w:after="78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Список сокращений: ............................................................................................................................ 4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spacing w:after="78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Термины и определения 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</w:rPr>
        <w:t>............................... 5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0"/>
          <w:numId w:val="1"/>
        </w:numPr>
        <w:spacing w:after="3"/>
        <w:ind w:right="361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Краткая информация по заболеванию или состоянию (группе заболеваний или </w:t>
      </w:r>
    </w:p>
    <w:p w:rsidR="001C2479" w:rsidRDefault="00863A7D">
      <w:pPr>
        <w:spacing w:after="78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состояний) 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</w:rPr>
        <w:t>... 8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1"/>
        </w:numPr>
        <w:spacing w:after="5" w:line="326" w:lineRule="auto"/>
        <w:ind w:left="1534" w:right="-14" w:hanging="468"/>
      </w:pPr>
      <w:r>
        <w:rPr>
          <w:rFonts w:ascii="Arial" w:eastAsia="Arial" w:hAnsi="Arial" w:cs="Arial"/>
          <w:sz w:val="24"/>
        </w:rPr>
        <w:t>Определение заболевания или состояния (группы заболеваний или состояний) ... 8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sz w:val="24"/>
        </w:rPr>
        <w:t xml:space="preserve">1.2 Этиология и патогенез заболевания или состояния (группы заболеваний или </w:t>
      </w:r>
    </w:p>
    <w:p w:rsidR="001C2479" w:rsidRDefault="00863A7D">
      <w:pPr>
        <w:spacing w:after="76"/>
        <w:ind w:left="611" w:right="-14" w:hanging="10"/>
      </w:pPr>
      <w:r>
        <w:rPr>
          <w:rFonts w:ascii="Arial" w:eastAsia="Arial" w:hAnsi="Arial" w:cs="Arial"/>
          <w:sz w:val="24"/>
        </w:rPr>
        <w:t>состояний)</w:t>
      </w:r>
      <w:r>
        <w:rPr>
          <w:rFonts w:ascii="Arial" w:eastAsia="Arial" w:hAnsi="Arial" w:cs="Arial"/>
          <w:sz w:val="24"/>
        </w:rPr>
        <w:t xml:space="preserve"> ........................................................................................................................ 8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2"/>
        </w:numPr>
        <w:spacing w:after="5" w:line="250" w:lineRule="auto"/>
        <w:ind w:hanging="402"/>
      </w:pPr>
      <w:r>
        <w:rPr>
          <w:rFonts w:ascii="Arial" w:eastAsia="Arial" w:hAnsi="Arial" w:cs="Arial"/>
          <w:sz w:val="24"/>
        </w:rPr>
        <w:t xml:space="preserve">Эпидемиология заболевания или состояния (группы заболеваний или </w:t>
      </w:r>
    </w:p>
    <w:p w:rsidR="001C2479" w:rsidRDefault="00863A7D">
      <w:pPr>
        <w:spacing w:after="76"/>
        <w:ind w:left="611" w:right="-14" w:hanging="10"/>
      </w:pPr>
      <w:r>
        <w:rPr>
          <w:rFonts w:ascii="Arial" w:eastAsia="Arial" w:hAnsi="Arial" w:cs="Arial"/>
          <w:sz w:val="24"/>
        </w:rPr>
        <w:t>состояний) .......................................................</w:t>
      </w:r>
      <w:r>
        <w:rPr>
          <w:rFonts w:ascii="Arial" w:eastAsia="Arial" w:hAnsi="Arial" w:cs="Arial"/>
          <w:sz w:val="24"/>
        </w:rPr>
        <w:t>................................................................. 9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2"/>
        </w:numPr>
        <w:spacing w:after="5" w:line="250" w:lineRule="auto"/>
        <w:ind w:hanging="402"/>
      </w:pPr>
      <w:r>
        <w:rPr>
          <w:rFonts w:ascii="Arial" w:eastAsia="Arial" w:hAnsi="Arial" w:cs="Arial"/>
          <w:sz w:val="24"/>
        </w:rPr>
        <w:t xml:space="preserve">Особенности кодирования заболевания или состояния (группы заболеваний или состояний) по Международной статистической классификации болезней и </w:t>
      </w:r>
    </w:p>
    <w:p w:rsidR="001C2479" w:rsidRDefault="00863A7D">
      <w:pPr>
        <w:spacing w:after="76"/>
        <w:ind w:left="611" w:right="-14" w:hanging="10"/>
      </w:pPr>
      <w:r>
        <w:rPr>
          <w:rFonts w:ascii="Arial" w:eastAsia="Arial" w:hAnsi="Arial" w:cs="Arial"/>
          <w:sz w:val="24"/>
        </w:rPr>
        <w:t>проблем, связанных со здоровьем. ...........</w:t>
      </w:r>
      <w:r>
        <w:rPr>
          <w:rFonts w:ascii="Arial" w:eastAsia="Arial" w:hAnsi="Arial" w:cs="Arial"/>
          <w:sz w:val="24"/>
        </w:rPr>
        <w:t>................................................................... 10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2"/>
        </w:numPr>
        <w:spacing w:after="5" w:line="250" w:lineRule="auto"/>
        <w:ind w:hanging="402"/>
      </w:pPr>
      <w:r>
        <w:rPr>
          <w:rFonts w:ascii="Arial" w:eastAsia="Arial" w:hAnsi="Arial" w:cs="Arial"/>
          <w:sz w:val="24"/>
        </w:rPr>
        <w:t xml:space="preserve">Классификация заболевания или состояния (группы заболеваний или </w:t>
      </w:r>
    </w:p>
    <w:p w:rsidR="001C2479" w:rsidRDefault="00863A7D">
      <w:pPr>
        <w:spacing w:after="76"/>
        <w:ind w:left="611" w:right="-14" w:hanging="10"/>
      </w:pPr>
      <w:r>
        <w:rPr>
          <w:rFonts w:ascii="Arial" w:eastAsia="Arial" w:hAnsi="Arial" w:cs="Arial"/>
          <w:sz w:val="24"/>
        </w:rPr>
        <w:t>состояний) ............................................................................................................</w:t>
      </w:r>
      <w:r>
        <w:rPr>
          <w:rFonts w:ascii="Arial" w:eastAsia="Arial" w:hAnsi="Arial" w:cs="Arial"/>
          <w:sz w:val="24"/>
        </w:rPr>
        <w:t>.......... 10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2"/>
        </w:numPr>
        <w:spacing w:after="5" w:line="250" w:lineRule="auto"/>
        <w:ind w:hanging="402"/>
      </w:pPr>
      <w:r>
        <w:rPr>
          <w:rFonts w:ascii="Arial" w:eastAsia="Arial" w:hAnsi="Arial" w:cs="Arial"/>
          <w:sz w:val="24"/>
        </w:rPr>
        <w:t xml:space="preserve">Клиническая картина заболевания или состояния (группы заболеваний или </w:t>
      </w:r>
    </w:p>
    <w:p w:rsidR="001C2479" w:rsidRDefault="00863A7D">
      <w:pPr>
        <w:spacing w:after="76"/>
        <w:ind w:left="611" w:right="-14" w:hanging="10"/>
      </w:pPr>
      <w:r>
        <w:rPr>
          <w:rFonts w:ascii="Arial" w:eastAsia="Arial" w:hAnsi="Arial" w:cs="Arial"/>
          <w:sz w:val="24"/>
        </w:rPr>
        <w:t>состояний) ...................................................................................................................... 12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0"/>
          <w:numId w:val="1"/>
        </w:numPr>
        <w:spacing w:after="3"/>
        <w:ind w:right="361" w:hanging="240"/>
        <w:jc w:val="both"/>
      </w:pPr>
      <w:r>
        <w:rPr>
          <w:rFonts w:ascii="Times New Roman" w:eastAsia="Times New Roman" w:hAnsi="Times New Roman" w:cs="Times New Roman"/>
          <w:sz w:val="24"/>
        </w:rPr>
        <w:t>Диагностика заболевания или состояни</w:t>
      </w:r>
      <w:r>
        <w:rPr>
          <w:rFonts w:ascii="Times New Roman" w:eastAsia="Times New Roman" w:hAnsi="Times New Roman" w:cs="Times New Roman"/>
          <w:sz w:val="24"/>
        </w:rPr>
        <w:t xml:space="preserve">я (группы заболеваний или состояний), </w:t>
      </w:r>
    </w:p>
    <w:p w:rsidR="001C2479" w:rsidRDefault="00863A7D">
      <w:pPr>
        <w:spacing w:after="79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медицинские показания и противопоказания к применению методов диагностики .................. 13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1"/>
        </w:numPr>
        <w:spacing w:after="76"/>
        <w:ind w:left="1534" w:right="-14" w:hanging="468"/>
      </w:pPr>
      <w:r>
        <w:rPr>
          <w:rFonts w:ascii="Arial" w:eastAsia="Arial" w:hAnsi="Arial" w:cs="Arial"/>
          <w:sz w:val="24"/>
        </w:rPr>
        <w:t>Жалобы и анамнез.</w:t>
      </w:r>
      <w:r>
        <w:rPr>
          <w:rFonts w:ascii="Arial" w:eastAsia="Arial" w:hAnsi="Arial" w:cs="Arial"/>
          <w:sz w:val="24"/>
        </w:rPr>
        <w:t xml:space="preserve"> ..................................................................................................... 13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1"/>
        </w:numPr>
        <w:spacing w:after="76"/>
        <w:ind w:left="1534" w:right="-14" w:hanging="468"/>
      </w:pPr>
      <w:r>
        <w:rPr>
          <w:rFonts w:ascii="Arial" w:eastAsia="Arial" w:hAnsi="Arial" w:cs="Arial"/>
          <w:sz w:val="24"/>
        </w:rPr>
        <w:t>Физикальное обследование ....................................................................................... 14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1"/>
        </w:numPr>
        <w:spacing w:after="76"/>
        <w:ind w:left="1534" w:right="-14" w:hanging="468"/>
      </w:pPr>
      <w:r>
        <w:rPr>
          <w:rFonts w:ascii="Arial" w:eastAsia="Arial" w:hAnsi="Arial" w:cs="Arial"/>
          <w:sz w:val="24"/>
        </w:rPr>
        <w:t>Лабораторные диагностические исс</w:t>
      </w:r>
      <w:r>
        <w:rPr>
          <w:rFonts w:ascii="Arial" w:eastAsia="Arial" w:hAnsi="Arial" w:cs="Arial"/>
          <w:sz w:val="24"/>
        </w:rPr>
        <w:t>ледования ........................................................ 14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1"/>
        </w:numPr>
        <w:spacing w:after="76"/>
        <w:ind w:left="1534" w:right="-14" w:hanging="468"/>
      </w:pPr>
      <w:r>
        <w:rPr>
          <w:rFonts w:ascii="Arial" w:eastAsia="Arial" w:hAnsi="Arial" w:cs="Arial"/>
          <w:sz w:val="24"/>
        </w:rPr>
        <w:t>Инструментальные диагностические исследования ................................................ 14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1"/>
        </w:numPr>
        <w:spacing w:after="76"/>
        <w:ind w:left="1534" w:right="-14" w:hanging="468"/>
      </w:pPr>
      <w:r>
        <w:rPr>
          <w:rFonts w:ascii="Arial" w:eastAsia="Arial" w:hAnsi="Arial" w:cs="Arial"/>
          <w:sz w:val="24"/>
        </w:rPr>
        <w:t>Иные диагностические методы исследования .............................................</w:t>
      </w:r>
      <w:r>
        <w:rPr>
          <w:rFonts w:ascii="Arial" w:eastAsia="Arial" w:hAnsi="Arial" w:cs="Arial"/>
          <w:sz w:val="24"/>
        </w:rPr>
        <w:t>............ 23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0"/>
          <w:numId w:val="1"/>
        </w:numPr>
        <w:spacing w:after="3"/>
        <w:ind w:right="361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Лечение, включая медикаментозную и немедикаментозную терапии, диетотерапию, </w:t>
      </w:r>
    </w:p>
    <w:p w:rsidR="001C2479" w:rsidRDefault="00863A7D">
      <w:pPr>
        <w:spacing w:after="3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обезболивание, медицинские показания и противопоказания к применению методов </w:t>
      </w:r>
    </w:p>
    <w:p w:rsidR="001C2479" w:rsidRDefault="00863A7D">
      <w:pPr>
        <w:spacing w:after="78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лечения</w:t>
      </w:r>
      <w:r>
        <w:rPr>
          <w:rFonts w:ascii="Times New Roman" w:eastAsia="Times New Roman" w:hAnsi="Times New Roman" w:cs="Times New Roman"/>
          <w:sz w:val="24"/>
        </w:rPr>
        <w:t xml:space="preserve"> ................................................................................................................................................ 23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1"/>
          <w:numId w:val="1"/>
        </w:numPr>
        <w:spacing w:after="76"/>
        <w:ind w:left="1534" w:right="-14" w:hanging="468"/>
      </w:pPr>
      <w:r>
        <w:rPr>
          <w:rFonts w:ascii="Arial" w:eastAsia="Arial" w:hAnsi="Arial" w:cs="Arial"/>
          <w:sz w:val="24"/>
        </w:rPr>
        <w:t>Медикаментозное гипотензивное лечение ............................................................... 24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spacing w:after="76"/>
        <w:ind w:left="356" w:right="-14" w:hanging="10"/>
      </w:pPr>
      <w:r>
        <w:rPr>
          <w:rFonts w:ascii="Arial" w:eastAsia="Arial" w:hAnsi="Arial" w:cs="Arial"/>
          <w:sz w:val="24"/>
        </w:rPr>
        <w:t>3.3 Хирургическое лечение .............................................................................................. 27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0"/>
          <w:numId w:val="1"/>
        </w:numPr>
        <w:spacing w:after="3" w:line="238" w:lineRule="auto"/>
        <w:ind w:right="361" w:hanging="240"/>
        <w:jc w:val="both"/>
      </w:pPr>
      <w:r>
        <w:rPr>
          <w:rFonts w:ascii="Times New Roman" w:eastAsia="Times New Roman" w:hAnsi="Times New Roman" w:cs="Times New Roman"/>
          <w:sz w:val="24"/>
        </w:rPr>
        <w:t>Медицинская реабилитация и санаторно-курортное лечение, медицинские показания и противопоказания к применению методов медицинской р</w:t>
      </w:r>
      <w:r>
        <w:rPr>
          <w:rFonts w:ascii="Times New Roman" w:eastAsia="Times New Roman" w:hAnsi="Times New Roman" w:cs="Times New Roman"/>
          <w:sz w:val="24"/>
        </w:rPr>
        <w:t xml:space="preserve">еабилитации, в том числе </w:t>
      </w:r>
    </w:p>
    <w:p w:rsidR="001C2479" w:rsidRDefault="00863A7D">
      <w:pPr>
        <w:spacing w:after="74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основанных на использовании природных лечебных факторов ................................................... 33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0"/>
          <w:numId w:val="1"/>
        </w:numPr>
        <w:spacing w:after="3"/>
        <w:ind w:right="361" w:hanging="24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Профилактика и диспансерное наблюдение, медицинские показания и </w:t>
      </w:r>
    </w:p>
    <w:p w:rsidR="001C2479" w:rsidRDefault="00863A7D">
      <w:pPr>
        <w:spacing w:after="78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противопоказания к применению методов профилактики. .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.......................................................... 34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0"/>
          <w:numId w:val="1"/>
        </w:numPr>
        <w:spacing w:after="78"/>
        <w:ind w:right="361" w:hanging="240"/>
        <w:jc w:val="both"/>
      </w:pPr>
      <w:r>
        <w:rPr>
          <w:rFonts w:ascii="Times New Roman" w:eastAsia="Times New Roman" w:hAnsi="Times New Roman" w:cs="Times New Roman"/>
          <w:sz w:val="24"/>
        </w:rPr>
        <w:t>Организация оказания медицинской помощи ............................................................................. 35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numPr>
          <w:ilvl w:val="0"/>
          <w:numId w:val="1"/>
        </w:numPr>
        <w:spacing w:after="3"/>
        <w:ind w:right="361" w:hanging="240"/>
        <w:jc w:val="both"/>
      </w:pPr>
      <w:r>
        <w:rPr>
          <w:rFonts w:ascii="Times New Roman" w:eastAsia="Times New Roman" w:hAnsi="Times New Roman" w:cs="Times New Roman"/>
          <w:sz w:val="24"/>
        </w:rPr>
        <w:t>Дополнительная информация (в том числе факторы, влияющие на исход забол</w:t>
      </w:r>
      <w:r>
        <w:rPr>
          <w:rFonts w:ascii="Times New Roman" w:eastAsia="Times New Roman" w:hAnsi="Times New Roman" w:cs="Times New Roman"/>
          <w:sz w:val="24"/>
        </w:rPr>
        <w:t xml:space="preserve">евания </w:t>
      </w:r>
    </w:p>
    <w:p w:rsidR="001C2479" w:rsidRDefault="00863A7D">
      <w:pPr>
        <w:spacing w:after="0" w:line="325" w:lineRule="auto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или состояния). .................................................................................................................................. 36</w:t>
      </w:r>
      <w:r>
        <w:rPr>
          <w:rFonts w:ascii="Arial" w:eastAsia="Arial" w:hAnsi="Arial" w:cs="Arial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Критерии оценки качества медицинской помощи</w:t>
      </w:r>
      <w:r>
        <w:rPr>
          <w:rFonts w:ascii="Times New Roman" w:eastAsia="Times New Roman" w:hAnsi="Times New Roman" w:cs="Times New Roman"/>
          <w:sz w:val="24"/>
        </w:rPr>
        <w:t xml:space="preserve"> .......................................................................... 36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spacing w:after="3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Приложение А1. Состав рабочей группы по разработке и пересмотру клинических </w:t>
      </w:r>
    </w:p>
    <w:p w:rsidR="001C2479" w:rsidRDefault="00863A7D">
      <w:pPr>
        <w:spacing w:after="78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рекомендаций 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 43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spacing w:after="3" w:line="238" w:lineRule="auto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Приложение А2. Методология разработки клинических рекомендаций ..................................... 44</w:t>
      </w:r>
      <w:r>
        <w:rPr>
          <w:rFonts w:ascii="Arial" w:eastAsia="Arial" w:hAnsi="Arial" w:cs="Arial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Приложение А3. Справочные материалы, включая соответствие показаний к применению и противопоказаний,</w:t>
      </w:r>
      <w:r>
        <w:rPr>
          <w:rFonts w:ascii="Times New Roman" w:eastAsia="Times New Roman" w:hAnsi="Times New Roman" w:cs="Times New Roman"/>
          <w:sz w:val="24"/>
        </w:rPr>
        <w:t xml:space="preserve"> способов применения и доз лекарственных препаратов инструкции </w:t>
      </w:r>
    </w:p>
    <w:p w:rsidR="001C2479" w:rsidRDefault="00863A7D">
      <w:pPr>
        <w:spacing w:after="1" w:line="324" w:lineRule="auto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по применению лекарственного препарата ..................................................................................... 46</w:t>
      </w:r>
      <w:r>
        <w:rPr>
          <w:rFonts w:ascii="Arial" w:eastAsia="Arial" w:hAnsi="Arial" w:cs="Arial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Приложение Б. Алгоритмы действия врача .........................</w:t>
      </w:r>
      <w:r>
        <w:rPr>
          <w:rFonts w:ascii="Times New Roman" w:eastAsia="Times New Roman" w:hAnsi="Times New Roman" w:cs="Times New Roman"/>
          <w:sz w:val="24"/>
        </w:rPr>
        <w:t>........................................................... 47</w:t>
      </w:r>
      <w:r>
        <w:rPr>
          <w:rFonts w:ascii="Arial" w:eastAsia="Arial" w:hAnsi="Arial" w:cs="Arial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Приложение В. Информация для пациентов ................................................................................... 48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spacing w:after="3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Приложение Г1-ГN. Шкалы оценки, вопросники и другие оценочные инст</w:t>
      </w:r>
      <w:r>
        <w:rPr>
          <w:rFonts w:ascii="Times New Roman" w:eastAsia="Times New Roman" w:hAnsi="Times New Roman" w:cs="Times New Roman"/>
          <w:sz w:val="24"/>
        </w:rPr>
        <w:t xml:space="preserve">рументы </w:t>
      </w:r>
    </w:p>
    <w:p w:rsidR="001C2479" w:rsidRDefault="00863A7D">
      <w:pPr>
        <w:spacing w:after="81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состояния пациента, приведенные в клинических рекомендациях .............................................. 49</w:t>
      </w:r>
      <w:r>
        <w:rPr>
          <w:rFonts w:ascii="Arial" w:eastAsia="Arial" w:hAnsi="Arial" w:cs="Arial"/>
        </w:rPr>
        <w:t xml:space="preserve"> </w:t>
      </w:r>
    </w:p>
    <w:p w:rsidR="001C2479" w:rsidRDefault="00863A7D">
      <w:pPr>
        <w:spacing w:after="51"/>
        <w:ind w:left="361"/>
      </w:pPr>
      <w:r>
        <w:rPr>
          <w:rFonts w:ascii="Arial" w:eastAsia="Arial" w:hAnsi="Arial" w:cs="Arial"/>
          <w:sz w:val="24"/>
        </w:rPr>
        <w:t xml:space="preserve"> </w:t>
      </w:r>
    </w:p>
    <w:p w:rsidR="001C2479" w:rsidRDefault="00863A7D">
      <w:pPr>
        <w:spacing w:after="0"/>
        <w:ind w:left="2942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ab/>
        <w:t xml:space="preserve"> </w:t>
      </w:r>
      <w:r>
        <w:br w:type="page"/>
      </w:r>
    </w:p>
    <w:p w:rsidR="001C2479" w:rsidRDefault="00863A7D">
      <w:pPr>
        <w:spacing w:after="134"/>
        <w:ind w:left="62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0"/>
        <w:ind w:left="319" w:right="316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Список сокращений: </w:t>
      </w:r>
    </w:p>
    <w:tbl>
      <w:tblPr>
        <w:tblStyle w:val="TableGrid"/>
        <w:tblW w:w="8565" w:type="dxa"/>
        <w:tblInd w:w="361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6722"/>
      </w:tblGrid>
      <w:tr w:rsidR="001C2479">
        <w:trPr>
          <w:trHeight w:val="34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ВГД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внутриглазное давление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ВГЖ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внутриглазная жидкость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ГОН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глаукомная оптическая нейропатия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ДЗН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диск зрительного нерва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ЗВП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зрительно вызванные потенциалы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right="17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МКБ 10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международная классификация болезней 10-го пересмотра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НРП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нейроретинальный поясок </w:t>
            </w:r>
          </w:p>
        </w:tc>
      </w:tr>
      <w:tr w:rsidR="001C2479">
        <w:trPr>
          <w:trHeight w:val="1242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ОКТ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оптическая когерентная томография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(оптическое исследование переднего и заднего отдела глаза с помощью компьютерного анализатора)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ПЗ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поле зрения 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ПЗР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передне-задний размер глазного яблока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СНВС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слой нервных волокон сетчатки 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УПК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угол передней камеры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ЦТР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центральная толщина роговицы 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ЦХО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цилиохориоидальная отслойка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ЭРГ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электроретинография </w:t>
            </w:r>
          </w:p>
        </w:tc>
      </w:tr>
      <w:tr w:rsidR="001C2479">
        <w:trPr>
          <w:trHeight w:val="414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ЭФИ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электрофизиологические исследования </w:t>
            </w:r>
          </w:p>
        </w:tc>
      </w:tr>
      <w:tr w:rsidR="001C2479">
        <w:trPr>
          <w:trHeight w:val="433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  <w:ind w:left="427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Э/Д 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– соотношение экскавации к диску </w:t>
            </w:r>
          </w:p>
        </w:tc>
      </w:tr>
      <w:tr w:rsidR="001C2479">
        <w:trPr>
          <w:trHeight w:val="362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:rsidR="001C2479" w:rsidRDefault="00863A7D">
            <w:pPr>
              <w:spacing w:after="0"/>
            </w:pPr>
            <w:r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672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C2479" w:rsidRDefault="00863A7D">
            <w:pPr>
              <w:spacing w:after="0"/>
              <w:ind w:left="1037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 </w:t>
            </w:r>
          </w:p>
        </w:tc>
      </w:tr>
    </w:tbl>
    <w:p w:rsidR="001C2479" w:rsidRDefault="00863A7D">
      <w:pPr>
        <w:spacing w:after="91"/>
        <w:ind w:left="319" w:right="314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Термины и определения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Биомикроскопия глаза</w:t>
      </w:r>
      <w:r>
        <w:rPr>
          <w:rFonts w:ascii="Times New Roman" w:eastAsia="Times New Roman" w:hAnsi="Times New Roman" w:cs="Times New Roman"/>
          <w:sz w:val="24"/>
        </w:rPr>
        <w:t xml:space="preserve"> – это метод прижизненного визуального исследования оптических сред и тканей глаза, основанный на создании контраста между освещенными и неосвещенными участками, проводимый при помощи щелевой лампы и, при необходимости, дополнительных диагностических линз </w:t>
      </w:r>
      <w:r>
        <w:rPr>
          <w:rFonts w:ascii="Times New Roman" w:eastAsia="Times New Roman" w:hAnsi="Times New Roman" w:cs="Times New Roman"/>
          <w:sz w:val="24"/>
        </w:rPr>
        <w:t xml:space="preserve">(например, для биомикроскопии глазного дна).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Внутриглазное давление</w:t>
      </w:r>
      <w:r>
        <w:rPr>
          <w:rFonts w:ascii="Times New Roman" w:eastAsia="Times New Roman" w:hAnsi="Times New Roman" w:cs="Times New Roman"/>
          <w:sz w:val="24"/>
        </w:rPr>
        <w:t xml:space="preserve"> (ВГД) – давление жидкости внутри глаза, являющееся результатом баланса между продукцией камерной влаги, трабекулярным и увеосклеральным оттоком и давлением в эписклеральных венах, поддер</w:t>
      </w:r>
      <w:r>
        <w:rPr>
          <w:rFonts w:ascii="Times New Roman" w:eastAsia="Times New Roman" w:hAnsi="Times New Roman" w:cs="Times New Roman"/>
          <w:sz w:val="24"/>
        </w:rPr>
        <w:t xml:space="preserve">живающее его форму и обеспечивающее постоянство циркулирующих питательных веществ и нормальную трофику внутриглазных тканей.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Глаукомная оптическая нейропатия (ГОН)</w:t>
      </w:r>
      <w:r>
        <w:rPr>
          <w:rFonts w:ascii="Times New Roman" w:eastAsia="Times New Roman" w:hAnsi="Times New Roman" w:cs="Times New Roman"/>
          <w:sz w:val="24"/>
        </w:rPr>
        <w:t xml:space="preserve"> – патология зрительного нерва, обусловленная повышенным ВГД, характеризующаяся прогрессирую</w:t>
      </w:r>
      <w:r>
        <w:rPr>
          <w:rFonts w:ascii="Times New Roman" w:eastAsia="Times New Roman" w:hAnsi="Times New Roman" w:cs="Times New Roman"/>
          <w:sz w:val="24"/>
        </w:rPr>
        <w:t xml:space="preserve">щей потерей ганглиозных клеток сетчатки и их аксонов и ведущая к структурному и функциональному повреждению зрительного нерва, нарушению зрительных функций и слепоте.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Гониоскопия </w:t>
      </w:r>
      <w:r>
        <w:rPr>
          <w:rFonts w:ascii="Times New Roman" w:eastAsia="Times New Roman" w:hAnsi="Times New Roman" w:cs="Times New Roman"/>
          <w:sz w:val="24"/>
        </w:rPr>
        <w:t xml:space="preserve">– метод визуального исследования (осмотра) угла передней камеры глаза (УПК), проводимый при помощи щелевой лампы и гониолинзы (гониоскопа).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Гониотомия – </w:t>
      </w:r>
      <w:r>
        <w:rPr>
          <w:rFonts w:ascii="Times New Roman" w:eastAsia="Times New Roman" w:hAnsi="Times New Roman" w:cs="Times New Roman"/>
          <w:sz w:val="24"/>
        </w:rPr>
        <w:t>хирургическое вмешательство, при котором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под визуальным контролем (с помощью гониолинзы) в области УПК</w:t>
      </w:r>
      <w:r>
        <w:rPr>
          <w:rFonts w:ascii="Times New Roman" w:eastAsia="Times New Roman" w:hAnsi="Times New Roman" w:cs="Times New Roman"/>
          <w:sz w:val="24"/>
        </w:rPr>
        <w:t xml:space="preserve"> производят удаление тканей, препятствующих оттоку ВГЖ и восстановление переднего пути оттока.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Гониосинехия </w:t>
      </w:r>
      <w:r>
        <w:rPr>
          <w:rFonts w:ascii="Times New Roman" w:eastAsia="Times New Roman" w:hAnsi="Times New Roman" w:cs="Times New Roman"/>
          <w:sz w:val="24"/>
        </w:rPr>
        <w:t xml:space="preserve">- спайка в радужно-роговичном углу глаза между корнем радужки и роговицей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Диск зрительного нерва (ДЗН) </w:t>
      </w:r>
      <w:r>
        <w:rPr>
          <w:rFonts w:ascii="Times New Roman" w:eastAsia="Times New Roman" w:hAnsi="Times New Roman" w:cs="Times New Roman"/>
          <w:sz w:val="24"/>
        </w:rPr>
        <w:t>– место выхода аксонов ганглиозных клеток с</w:t>
      </w:r>
      <w:r>
        <w:rPr>
          <w:rFonts w:ascii="Times New Roman" w:eastAsia="Times New Roman" w:hAnsi="Times New Roman" w:cs="Times New Roman"/>
          <w:sz w:val="24"/>
        </w:rPr>
        <w:t xml:space="preserve">етчатки из глазного яблока.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Нейроретинальный поясок (НРП)</w:t>
      </w:r>
      <w:r>
        <w:rPr>
          <w:rFonts w:ascii="Times New Roman" w:eastAsia="Times New Roman" w:hAnsi="Times New Roman" w:cs="Times New Roman"/>
          <w:sz w:val="24"/>
        </w:rPr>
        <w:t xml:space="preserve"> ‒ область между краем диска зрительного нерва и краем экскавации, где проецируется основная масса аксонов ганглиозных клеток сетчатки.  </w:t>
      </w:r>
      <w:r>
        <w:rPr>
          <w:rFonts w:ascii="Times New Roman" w:eastAsia="Times New Roman" w:hAnsi="Times New Roman" w:cs="Times New Roman"/>
          <w:b/>
          <w:sz w:val="24"/>
        </w:rPr>
        <w:t>Нидлинг</w:t>
      </w:r>
      <w:r>
        <w:rPr>
          <w:rFonts w:ascii="Times New Roman" w:eastAsia="Times New Roman" w:hAnsi="Times New Roman" w:cs="Times New Roman"/>
          <w:sz w:val="24"/>
        </w:rPr>
        <w:t xml:space="preserve"> – хирургическая методика механической ревизии фильтра</w:t>
      </w:r>
      <w:r>
        <w:rPr>
          <w:rFonts w:ascii="Times New Roman" w:eastAsia="Times New Roman" w:hAnsi="Times New Roman" w:cs="Times New Roman"/>
          <w:sz w:val="24"/>
        </w:rPr>
        <w:t xml:space="preserve">ционной подушки с помощью инъекционной иглы на шприце.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Оптическая когерентная томография (ОКТ)</w:t>
      </w:r>
      <w:r>
        <w:rPr>
          <w:rFonts w:ascii="Times New Roman" w:eastAsia="Times New Roman" w:hAnsi="Times New Roman" w:cs="Times New Roman"/>
          <w:sz w:val="24"/>
        </w:rPr>
        <w:t xml:space="preserve"> ‒ диагностический неинвазивный бесконтактный метод прижизненной визуализации, качественного и количественного анализа морфологических особенностей структур глаз</w:t>
      </w:r>
      <w:r>
        <w:rPr>
          <w:rFonts w:ascii="Times New Roman" w:eastAsia="Times New Roman" w:hAnsi="Times New Roman" w:cs="Times New Roman"/>
          <w:sz w:val="24"/>
        </w:rPr>
        <w:t xml:space="preserve">ного дна, основанный на принципе световой интерферометрии.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Офтальмогипертензия </w:t>
      </w:r>
      <w:r>
        <w:rPr>
          <w:rFonts w:ascii="Times New Roman" w:eastAsia="Times New Roman" w:hAnsi="Times New Roman" w:cs="Times New Roman"/>
          <w:sz w:val="24"/>
        </w:rPr>
        <w:t xml:space="preserve">– повышение уровня ВГД при отсутствии характерных для глаукомы изменений ДЗН, слоя нервных волокон сетчатки и дефектов поля зрения (ПЗ). </w:t>
      </w:r>
    </w:p>
    <w:p w:rsidR="001C2479" w:rsidRDefault="00863A7D">
      <w:pPr>
        <w:spacing w:after="3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Офтальмоскопия</w:t>
      </w:r>
      <w:r>
        <w:rPr>
          <w:rFonts w:ascii="Times New Roman" w:eastAsia="Times New Roman" w:hAnsi="Times New Roman" w:cs="Times New Roman"/>
          <w:sz w:val="24"/>
        </w:rPr>
        <w:t xml:space="preserve"> – инструментальный мет</w:t>
      </w:r>
      <w:r>
        <w:rPr>
          <w:rFonts w:ascii="Times New Roman" w:eastAsia="Times New Roman" w:hAnsi="Times New Roman" w:cs="Times New Roman"/>
          <w:sz w:val="24"/>
        </w:rPr>
        <w:t xml:space="preserve">од осмотра глазного дна и его структур.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Офтальмотонометрия </w:t>
      </w:r>
      <w:r>
        <w:rPr>
          <w:rFonts w:ascii="Times New Roman" w:eastAsia="Times New Roman" w:hAnsi="Times New Roman" w:cs="Times New Roman"/>
          <w:sz w:val="24"/>
        </w:rPr>
        <w:t xml:space="preserve">– метод инструментального измерения уровня ВГД, величина которого определяется анализом данных деформации глаза тонометром и оценивается в миллиметрах ртутного столба (мм рт. ст.). </w:t>
      </w:r>
    </w:p>
    <w:p w:rsidR="001C2479" w:rsidRDefault="00863A7D">
      <w:pPr>
        <w:spacing w:after="115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Периметрия </w:t>
      </w:r>
      <w:r>
        <w:rPr>
          <w:rFonts w:ascii="Times New Roman" w:eastAsia="Times New Roman" w:hAnsi="Times New Roman" w:cs="Times New Roman"/>
          <w:sz w:val="24"/>
        </w:rPr>
        <w:t xml:space="preserve">– метод исследования ПЗ.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Поле зрения</w:t>
      </w:r>
      <w:r>
        <w:rPr>
          <w:rFonts w:ascii="Times New Roman" w:eastAsia="Times New Roman" w:hAnsi="Times New Roman" w:cs="Times New Roman"/>
          <w:sz w:val="24"/>
        </w:rPr>
        <w:t xml:space="preserve"> – совокупность точек пространства, одновременно видимых глазом при неподвижном взоре.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Рефрактерная глаукома</w:t>
      </w:r>
      <w:r>
        <w:rPr>
          <w:rFonts w:ascii="Times New Roman" w:eastAsia="Times New Roman" w:hAnsi="Times New Roman" w:cs="Times New Roman"/>
          <w:sz w:val="24"/>
        </w:rPr>
        <w:t xml:space="preserve"> – форма заболевания с тяжелым, упорным течени</w:t>
      </w:r>
      <w:r>
        <w:rPr>
          <w:rFonts w:ascii="Times New Roman" w:eastAsia="Times New Roman" w:hAnsi="Times New Roman" w:cs="Times New Roman"/>
          <w:strike/>
          <w:sz w:val="24"/>
        </w:rPr>
        <w:t>е</w:t>
      </w:r>
      <w:r>
        <w:rPr>
          <w:rFonts w:ascii="Times New Roman" w:eastAsia="Times New Roman" w:hAnsi="Times New Roman" w:cs="Times New Roman"/>
          <w:sz w:val="24"/>
        </w:rPr>
        <w:t>м, характеризующаяся устойчивостью, а часто и невосприимчивость</w:t>
      </w:r>
      <w:r>
        <w:rPr>
          <w:rFonts w:ascii="Times New Roman" w:eastAsia="Times New Roman" w:hAnsi="Times New Roman" w:cs="Times New Roman"/>
          <w:sz w:val="24"/>
        </w:rPr>
        <w:t xml:space="preserve">ю, к стандартным способам лечения.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Синустрабекулоэктомия (трабекулоэктомия) – </w:t>
      </w:r>
      <w:r>
        <w:rPr>
          <w:rFonts w:ascii="Times New Roman" w:eastAsia="Times New Roman" w:hAnsi="Times New Roman" w:cs="Times New Roman"/>
          <w:sz w:val="24"/>
        </w:rPr>
        <w:t>хирургическое вмешательство, целью которого является создание дополнительного пути оттока водянистой влаги из глазного яблока, который направлен под склеральную оболочку и конъ</w:t>
      </w:r>
      <w:r>
        <w:rPr>
          <w:rFonts w:ascii="Times New Roman" w:eastAsia="Times New Roman" w:hAnsi="Times New Roman" w:cs="Times New Roman"/>
          <w:sz w:val="24"/>
        </w:rPr>
        <w:t>юнктиву.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112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Скотома</w:t>
      </w:r>
      <w:r>
        <w:rPr>
          <w:rFonts w:ascii="Times New Roman" w:eastAsia="Times New Roman" w:hAnsi="Times New Roman" w:cs="Times New Roman"/>
          <w:sz w:val="24"/>
        </w:rPr>
        <w:t xml:space="preserve"> – дефект ПЗ, не связанный с периферическими границами.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Слой нервных волокон сетчатки</w:t>
      </w:r>
      <w:r>
        <w:rPr>
          <w:rFonts w:ascii="Times New Roman" w:eastAsia="Times New Roman" w:hAnsi="Times New Roman" w:cs="Times New Roman"/>
          <w:sz w:val="24"/>
        </w:rPr>
        <w:t xml:space="preserve"> (СНВС) – слой сетчатки, представляющий собой аксоны ганглиозных клеток сетчатки.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Стабилизированная и нестабилизированная глаукома </w:t>
      </w:r>
      <w:r>
        <w:rPr>
          <w:rFonts w:ascii="Times New Roman" w:eastAsia="Times New Roman" w:hAnsi="Times New Roman" w:cs="Times New Roman"/>
          <w:sz w:val="24"/>
        </w:rPr>
        <w:t>– термины, обознача</w:t>
      </w:r>
      <w:r>
        <w:rPr>
          <w:rFonts w:ascii="Times New Roman" w:eastAsia="Times New Roman" w:hAnsi="Times New Roman" w:cs="Times New Roman"/>
          <w:sz w:val="24"/>
        </w:rPr>
        <w:t>ющие отсутствие или наличие отрицательной динамики в состоянии ДЗН, ПЗ, передне-заднего размера глаза (ПЗР), рефракции пациента при повторных исследованиях. При оценке динамики глаукомного процесса принимают во внимание также уровень ВГД и его соответствие</w:t>
      </w:r>
      <w:r>
        <w:rPr>
          <w:rFonts w:ascii="Times New Roman" w:eastAsia="Times New Roman" w:hAnsi="Times New Roman" w:cs="Times New Roman"/>
          <w:sz w:val="24"/>
        </w:rPr>
        <w:t xml:space="preserve"> «целевому» значению.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Стандартная автоматизированная периметрия </w:t>
      </w:r>
      <w:r>
        <w:rPr>
          <w:rFonts w:ascii="Times New Roman" w:eastAsia="Times New Roman" w:hAnsi="Times New Roman" w:cs="Times New Roman"/>
          <w:sz w:val="24"/>
        </w:rPr>
        <w:t xml:space="preserve">– компьютерная пороговая статическая периметрия, при которой исследуют ПЗ с помощью белого стимула на белом фоне. </w:t>
      </w:r>
      <w:r>
        <w:rPr>
          <w:rFonts w:ascii="Times New Roman" w:eastAsia="Times New Roman" w:hAnsi="Times New Roman" w:cs="Times New Roman"/>
          <w:b/>
          <w:sz w:val="24"/>
        </w:rPr>
        <w:t xml:space="preserve">Угол передней камеры </w:t>
      </w:r>
      <w:r>
        <w:rPr>
          <w:rFonts w:ascii="Times New Roman" w:eastAsia="Times New Roman" w:hAnsi="Times New Roman" w:cs="Times New Roman"/>
          <w:sz w:val="24"/>
        </w:rPr>
        <w:t>(УПК)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– пространство между роговично-склеральной област</w:t>
      </w:r>
      <w:r>
        <w:rPr>
          <w:rFonts w:ascii="Times New Roman" w:eastAsia="Times New Roman" w:hAnsi="Times New Roman" w:cs="Times New Roman"/>
          <w:sz w:val="24"/>
        </w:rPr>
        <w:t xml:space="preserve">ью и передней поверхностью радужки.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«Целевое» внутриглазное давление</w:t>
      </w:r>
      <w:r>
        <w:rPr>
          <w:rFonts w:ascii="Times New Roman" w:eastAsia="Times New Roman" w:hAnsi="Times New Roman" w:cs="Times New Roman"/>
          <w:sz w:val="24"/>
        </w:rPr>
        <w:t xml:space="preserve"> – это максимальное допустимое давление, при котором глаукома не прогрессирует: зрительные функции не снижаются, ГОН не прогрессирует, глазное яблоко не растягивается. 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Экскавация диска</w:t>
      </w:r>
      <w:r>
        <w:rPr>
          <w:rFonts w:ascii="Times New Roman" w:eastAsia="Times New Roman" w:hAnsi="Times New Roman" w:cs="Times New Roman"/>
          <w:b/>
          <w:sz w:val="24"/>
        </w:rPr>
        <w:t xml:space="preserve"> зрительного нерва </w:t>
      </w:r>
      <w:r>
        <w:rPr>
          <w:rFonts w:ascii="Times New Roman" w:eastAsia="Times New Roman" w:hAnsi="Times New Roman" w:cs="Times New Roman"/>
          <w:sz w:val="24"/>
        </w:rPr>
        <w:t>– углубление в ДЗН различной формы и размеров, в норме составляет не более 0,3 диаметра диска (физиологическая экскавация).</w:t>
      </w: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Электрофизиологические исследования</w:t>
      </w:r>
      <w:r>
        <w:rPr>
          <w:rFonts w:ascii="Times New Roman" w:eastAsia="Times New Roman" w:hAnsi="Times New Roman" w:cs="Times New Roman"/>
          <w:sz w:val="24"/>
        </w:rPr>
        <w:t xml:space="preserve"> – методы исследования функции зрительного нерва, сетчатой оболочки, зритель</w:t>
      </w:r>
      <w:r>
        <w:rPr>
          <w:rFonts w:ascii="Times New Roman" w:eastAsia="Times New Roman" w:hAnsi="Times New Roman" w:cs="Times New Roman"/>
          <w:sz w:val="24"/>
        </w:rPr>
        <w:t xml:space="preserve">ных областей в коре головного мозга.  </w:t>
      </w:r>
    </w:p>
    <w:p w:rsidR="001C2479" w:rsidRDefault="00863A7D">
      <w:pPr>
        <w:spacing w:after="112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Знак **</w:t>
      </w:r>
      <w:r>
        <w:rPr>
          <w:rFonts w:ascii="Times New Roman" w:eastAsia="Times New Roman" w:hAnsi="Times New Roman" w:cs="Times New Roman"/>
          <w:sz w:val="24"/>
        </w:rPr>
        <w:t xml:space="preserve"> после наименования препарата – лекарственный препарат внесен в перечень </w:t>
      </w:r>
    </w:p>
    <w:p w:rsidR="001C2479" w:rsidRDefault="00863A7D">
      <w:pPr>
        <w:spacing w:after="115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ЖНВЛП </w:t>
      </w:r>
    </w:p>
    <w:p w:rsidR="001C2479" w:rsidRDefault="00863A7D">
      <w:pPr>
        <w:spacing w:after="2" w:line="358" w:lineRule="auto"/>
        <w:ind w:left="356" w:right="331" w:hanging="10"/>
      </w:pPr>
      <w:r>
        <w:rPr>
          <w:rFonts w:ascii="Times New Roman" w:eastAsia="Times New Roman" w:hAnsi="Times New Roman" w:cs="Times New Roman"/>
          <w:b/>
          <w:sz w:val="24"/>
        </w:rPr>
        <w:t>Знак ***</w:t>
      </w:r>
      <w:r>
        <w:rPr>
          <w:rFonts w:ascii="Times New Roman" w:eastAsia="Times New Roman" w:hAnsi="Times New Roman" w:cs="Times New Roman"/>
          <w:sz w:val="24"/>
        </w:rPr>
        <w:t xml:space="preserve">  – рекомендация относится к медицинскому изделию, имплантируемому в организм человека при оказании медицинской помощи в </w:t>
      </w:r>
      <w:r>
        <w:rPr>
          <w:rFonts w:ascii="Times New Roman" w:eastAsia="Times New Roman" w:hAnsi="Times New Roman" w:cs="Times New Roman"/>
          <w:sz w:val="24"/>
        </w:rPr>
        <w:t>рамках программы государственных гарантий бесплатного оказания гражданам медицинской помощи (Перечень медицинских изделий, имплантируемых в организм человека при оказании медицинской помощи в рамках программы государственных гарантий бесплатного оказания г</w:t>
      </w:r>
      <w:r>
        <w:rPr>
          <w:rFonts w:ascii="Times New Roman" w:eastAsia="Times New Roman" w:hAnsi="Times New Roman" w:cs="Times New Roman"/>
          <w:sz w:val="24"/>
        </w:rPr>
        <w:t xml:space="preserve">ражданам медицинской помощи, утвержденный распоряжением Правительства Российской Федерации от 31 декабря 2018 г. N 3053-р).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Знак #</w:t>
      </w:r>
      <w:r>
        <w:rPr>
          <w:rFonts w:ascii="Times New Roman" w:eastAsia="Times New Roman" w:hAnsi="Times New Roman" w:cs="Times New Roman"/>
          <w:sz w:val="24"/>
        </w:rPr>
        <w:t xml:space="preserve"> перед наименованием препарата – препарат используется в несоответствии с показаниями и противопоказаниями к применению, спос</w:t>
      </w:r>
      <w:r>
        <w:rPr>
          <w:rFonts w:ascii="Times New Roman" w:eastAsia="Times New Roman" w:hAnsi="Times New Roman" w:cs="Times New Roman"/>
          <w:sz w:val="24"/>
        </w:rPr>
        <w:t xml:space="preserve">обами применения и дозами, содержащимися в инструкции по применению лекарственного препарата  </w:t>
      </w:r>
    </w:p>
    <w:p w:rsidR="001C2479" w:rsidRDefault="00863A7D">
      <w:pPr>
        <w:spacing w:after="136"/>
        <w:ind w:left="361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i/>
          <w:sz w:val="23"/>
        </w:rPr>
        <w:t xml:space="preserve"> </w:t>
      </w:r>
      <w:r>
        <w:rPr>
          <w:rFonts w:ascii="Times New Roman" w:eastAsia="Times New Roman" w:hAnsi="Times New Roman" w:cs="Times New Roman"/>
          <w:i/>
          <w:sz w:val="23"/>
        </w:rPr>
        <w:tab/>
        <w:t xml:space="preserve"> </w:t>
      </w:r>
      <w:r>
        <w:br w:type="page"/>
      </w:r>
    </w:p>
    <w:p w:rsidR="001C2479" w:rsidRDefault="00863A7D">
      <w:pPr>
        <w:numPr>
          <w:ilvl w:val="0"/>
          <w:numId w:val="3"/>
        </w:numPr>
        <w:spacing w:after="0" w:line="357" w:lineRule="auto"/>
        <w:ind w:right="249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Краткая информация по заболеванию или состоянию (группе заболеваний или состояний) </w:t>
      </w:r>
    </w:p>
    <w:p w:rsidR="001C2479" w:rsidRDefault="00863A7D">
      <w:pPr>
        <w:numPr>
          <w:ilvl w:val="1"/>
          <w:numId w:val="3"/>
        </w:numPr>
        <w:spacing w:after="3" w:line="362" w:lineRule="auto"/>
        <w:ind w:right="358" w:hanging="427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Определение заболевания или состояния (группы заболеваний или состояний)</w:t>
      </w:r>
      <w:r>
        <w:rPr>
          <w:rFonts w:ascii="Times New Roman" w:eastAsia="Times New Roman" w:hAnsi="Times New Roman" w:cs="Times New Roman"/>
          <w:b/>
          <w:sz w:val="24"/>
        </w:rPr>
        <w:t xml:space="preserve"> Вторичная глаукома</w:t>
      </w:r>
      <w:r>
        <w:rPr>
          <w:rFonts w:ascii="Times New Roman" w:eastAsia="Times New Roman" w:hAnsi="Times New Roman" w:cs="Times New Roman"/>
          <w:sz w:val="24"/>
        </w:rPr>
        <w:t xml:space="preserve"> – группа заболеваний, являющихся осложнением или следствием различных заболеваний глаза (травма, опухоли, внутриглазное воспаление) или воздействия различных лекарс</w:t>
      </w:r>
      <w:r>
        <w:rPr>
          <w:rFonts w:ascii="Times New Roman" w:eastAsia="Times New Roman" w:hAnsi="Times New Roman" w:cs="Times New Roman"/>
          <w:sz w:val="24"/>
        </w:rPr>
        <w:t xml:space="preserve">твенных средств, при которых возникает повышение внутриглазного давления. Для вторичной глаукомы характерно большое разнообразие этиологических факторов, патогенетических механизмов и клинических проявлений. </w:t>
      </w:r>
    </w:p>
    <w:p w:rsidR="001C2479" w:rsidRDefault="00863A7D">
      <w:pPr>
        <w:numPr>
          <w:ilvl w:val="1"/>
          <w:numId w:val="3"/>
        </w:numPr>
        <w:spacing w:after="0" w:line="361" w:lineRule="auto"/>
        <w:ind w:right="358" w:hanging="427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Этиология и патогенез заболевания или состояния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 xml:space="preserve"> (группы заболеваний или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pStyle w:val="Heading1"/>
        <w:spacing w:after="0" w:line="361" w:lineRule="auto"/>
        <w:ind w:left="356" w:right="354"/>
      </w:pPr>
      <w:r>
        <w:t>состояний)</w:t>
      </w:r>
      <w:r>
        <w:rPr>
          <w:u w:val="none"/>
        </w:rPr>
        <w:t xml:space="preserve"> </w:t>
      </w:r>
    </w:p>
    <w:p w:rsidR="001C2479" w:rsidRDefault="00863A7D">
      <w:pPr>
        <w:spacing w:after="123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По этиологии вторичная глаукома у детей подразделяется на следующие группы </w:t>
      </w:r>
      <w:r>
        <w:rPr>
          <w:rFonts w:ascii="Times New Roman" w:eastAsia="Times New Roman" w:hAnsi="Times New Roman" w:cs="Times New Roman"/>
          <w:sz w:val="24"/>
        </w:rPr>
        <w:t>[1-</w:t>
      </w:r>
    </w:p>
    <w:p w:rsidR="001C2479" w:rsidRDefault="00863A7D">
      <w:pPr>
        <w:spacing w:after="115"/>
        <w:ind w:left="356" w:hanging="10"/>
        <w:jc w:val="both"/>
      </w:pPr>
      <w:r>
        <w:rPr>
          <w:rFonts w:ascii="Times New Roman" w:eastAsia="Times New Roman" w:hAnsi="Times New Roman" w:cs="Times New Roman"/>
          <w:sz w:val="24"/>
        </w:rPr>
        <w:t>18]</w:t>
      </w:r>
      <w:r>
        <w:rPr>
          <w:rFonts w:ascii="Times New Roman" w:eastAsia="Times New Roman" w:hAnsi="Times New Roman" w:cs="Times New Roman"/>
          <w:b/>
          <w:sz w:val="24"/>
        </w:rPr>
        <w:t>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numPr>
          <w:ilvl w:val="0"/>
          <w:numId w:val="4"/>
        </w:numPr>
        <w:spacing w:after="116"/>
        <w:ind w:left="360" w:right="361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воспалительная (постувеальная) глаукома; </w:t>
      </w:r>
    </w:p>
    <w:p w:rsidR="001C2479" w:rsidRDefault="00863A7D">
      <w:pPr>
        <w:numPr>
          <w:ilvl w:val="0"/>
          <w:numId w:val="4"/>
        </w:numPr>
        <w:spacing w:after="114"/>
        <w:ind w:left="360" w:right="361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факогенная глаукома; </w:t>
      </w:r>
    </w:p>
    <w:p w:rsidR="001C2479" w:rsidRDefault="00863A7D">
      <w:pPr>
        <w:numPr>
          <w:ilvl w:val="0"/>
          <w:numId w:val="4"/>
        </w:numPr>
        <w:spacing w:after="116"/>
        <w:ind w:left="360" w:right="361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афакическая глаукома; </w:t>
      </w:r>
    </w:p>
    <w:p w:rsidR="001C2479" w:rsidRDefault="00863A7D">
      <w:pPr>
        <w:numPr>
          <w:ilvl w:val="0"/>
          <w:numId w:val="4"/>
        </w:numPr>
        <w:spacing w:after="114"/>
        <w:ind w:left="360" w:right="361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неоваскулярная глаукома; </w:t>
      </w:r>
    </w:p>
    <w:p w:rsidR="001C2479" w:rsidRDefault="00863A7D">
      <w:pPr>
        <w:numPr>
          <w:ilvl w:val="0"/>
          <w:numId w:val="4"/>
        </w:numPr>
        <w:spacing w:after="117"/>
        <w:ind w:left="360" w:right="361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травматическая глаукома; </w:t>
      </w:r>
    </w:p>
    <w:p w:rsidR="001C2479" w:rsidRDefault="00863A7D">
      <w:pPr>
        <w:numPr>
          <w:ilvl w:val="0"/>
          <w:numId w:val="4"/>
        </w:numPr>
        <w:spacing w:after="114"/>
        <w:ind w:left="360" w:right="361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послеоперационная глаукома; </w:t>
      </w:r>
    </w:p>
    <w:p w:rsidR="001C2479" w:rsidRDefault="00863A7D">
      <w:pPr>
        <w:numPr>
          <w:ilvl w:val="0"/>
          <w:numId w:val="4"/>
        </w:numPr>
        <w:spacing w:after="116"/>
        <w:ind w:left="360" w:right="361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неопластическая глаукома; </w:t>
      </w:r>
    </w:p>
    <w:p w:rsidR="001C2479" w:rsidRDefault="00863A7D">
      <w:pPr>
        <w:numPr>
          <w:ilvl w:val="0"/>
          <w:numId w:val="4"/>
        </w:numPr>
        <w:spacing w:after="113"/>
        <w:ind w:left="360" w:right="361" w:hanging="36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медикаментозно-индуцированная глаукома.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Воспалительная глаукома </w:t>
      </w:r>
      <w:r>
        <w:rPr>
          <w:rFonts w:ascii="Times New Roman" w:eastAsia="Times New Roman" w:hAnsi="Times New Roman" w:cs="Times New Roman"/>
          <w:sz w:val="24"/>
        </w:rPr>
        <w:t>развивается при увеитах, кератоувеитах, склероувеитах вследствие нарушения оттока внутриглазной жидкости (ВГЖ</w:t>
      </w:r>
      <w:r>
        <w:rPr>
          <w:rFonts w:ascii="Times New Roman" w:eastAsia="Times New Roman" w:hAnsi="Times New Roman" w:cs="Times New Roman"/>
          <w:sz w:val="24"/>
        </w:rPr>
        <w:t>) через трабекулу из-за повышения вязкости влаги передней камеры, связанной с поступлением белков и воспалительных клеток из кровеносных сосудов, воспалением и отеком трабекулярной сети, отеком и утолщением радужки и цилиарного тела формированием гониосине</w:t>
      </w:r>
      <w:r>
        <w:rPr>
          <w:rFonts w:ascii="Times New Roman" w:eastAsia="Times New Roman" w:hAnsi="Times New Roman" w:cs="Times New Roman"/>
          <w:sz w:val="24"/>
        </w:rPr>
        <w:t xml:space="preserve">хий и др., либо в результате зрачкового или злокачественного блока, обусловленного формированием зрачковых или плоскостных иридохрусталиковых синехий.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Факогенная глаукома</w:t>
      </w:r>
      <w:r>
        <w:rPr>
          <w:rFonts w:ascii="Times New Roman" w:eastAsia="Times New Roman" w:hAnsi="Times New Roman" w:cs="Times New Roman"/>
          <w:sz w:val="24"/>
        </w:rPr>
        <w:t xml:space="preserve"> возникает на почве затруднения оттока водянистой влаги из-за смещения хрусталика (фа</w:t>
      </w:r>
      <w:r>
        <w:rPr>
          <w:rFonts w:ascii="Times New Roman" w:eastAsia="Times New Roman" w:hAnsi="Times New Roman" w:cs="Times New Roman"/>
          <w:sz w:val="24"/>
        </w:rPr>
        <w:t>котопическая глаукома), его набухания (факоморфическая), распада и выхода в переднюю камеру хрусталиковых волокон (факолитическая)</w:t>
      </w:r>
      <w:r>
        <w:rPr>
          <w:rFonts w:ascii="Arial" w:eastAsia="Arial" w:hAnsi="Arial" w:cs="Arial"/>
          <w:sz w:val="24"/>
        </w:rPr>
        <w:t>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Афакическая</w:t>
      </w:r>
      <w:r>
        <w:rPr>
          <w:rFonts w:ascii="Times New Roman" w:eastAsia="Times New Roman" w:hAnsi="Times New Roman" w:cs="Times New Roman"/>
          <w:sz w:val="24"/>
        </w:rPr>
        <w:t xml:space="preserve"> глаукома развивается после удаления хрусталика (врожденная катаракта и др.), особенно в первые месяцы жизни реб</w:t>
      </w:r>
      <w:r>
        <w:rPr>
          <w:rFonts w:ascii="Times New Roman" w:eastAsia="Times New Roman" w:hAnsi="Times New Roman" w:cs="Times New Roman"/>
          <w:sz w:val="24"/>
        </w:rPr>
        <w:t xml:space="preserve">енка.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Неоваскулярная глаукома </w:t>
      </w:r>
      <w:r>
        <w:rPr>
          <w:rFonts w:ascii="Times New Roman" w:eastAsia="Times New Roman" w:hAnsi="Times New Roman" w:cs="Times New Roman"/>
          <w:sz w:val="24"/>
        </w:rPr>
        <w:t>является результатом закрытия радужно-роговичного угла соединительной тканью с новообразованными сосудами радужки (рубеоз) возникающими вследствие гипоксии нередко в сочетании с хроническим расширением собственных сосудов ил</w:t>
      </w:r>
      <w:r>
        <w:rPr>
          <w:rFonts w:ascii="Times New Roman" w:eastAsia="Times New Roman" w:hAnsi="Times New Roman" w:cs="Times New Roman"/>
          <w:sz w:val="24"/>
        </w:rPr>
        <w:t>и неоваскуляризацией сетчатки различной этиологии, что сопровождается выработкой ангиогенных факторов. В детском возрасте наиболее часто наблюдается в терминальной стадии болезни Коатса, семейной экссудативной витреоретинопатии, ангиоматоза сетчатки, при д</w:t>
      </w:r>
      <w:r>
        <w:rPr>
          <w:rFonts w:ascii="Times New Roman" w:eastAsia="Times New Roman" w:hAnsi="Times New Roman" w:cs="Times New Roman"/>
          <w:sz w:val="24"/>
        </w:rPr>
        <w:t xml:space="preserve">лительно существующей протяженной регматогенной или тракционной отслойке сетчатки.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Травматическая глаукома</w:t>
      </w:r>
      <w:r>
        <w:rPr>
          <w:rFonts w:ascii="Times New Roman" w:eastAsia="Times New Roman" w:hAnsi="Times New Roman" w:cs="Times New Roman"/>
          <w:sz w:val="24"/>
        </w:rPr>
        <w:t xml:space="preserve"> развивается на фоне механических повреждений, термических и химических ожогов глазного яблока и может возникать на любом сроке после травмы, включая</w:t>
      </w:r>
      <w:r>
        <w:rPr>
          <w:rFonts w:ascii="Times New Roman" w:eastAsia="Times New Roman" w:hAnsi="Times New Roman" w:cs="Times New Roman"/>
          <w:sz w:val="24"/>
        </w:rPr>
        <w:t xml:space="preserve"> отдаленный период. Причины вторичной глаукомы могут быть различны: гифема, гемофтальм, повреждение фильтрационной сети, формирование эпителиальных кист, гониосинехий, повреждение склеральных сосудов.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Послеоперационная глаукома </w:t>
      </w:r>
      <w:r>
        <w:rPr>
          <w:rFonts w:ascii="Times New Roman" w:eastAsia="Times New Roman" w:hAnsi="Times New Roman" w:cs="Times New Roman"/>
          <w:sz w:val="24"/>
        </w:rPr>
        <w:t>(исключая афакическую) встр</w:t>
      </w:r>
      <w:r>
        <w:rPr>
          <w:rFonts w:ascii="Times New Roman" w:eastAsia="Times New Roman" w:hAnsi="Times New Roman" w:cs="Times New Roman"/>
          <w:sz w:val="24"/>
        </w:rPr>
        <w:t xml:space="preserve">ечается после пересадки роговицы, операциях на стекловидном теле и сетчатке. Чаще повышение ВГД имеет временный характер, однако может трансформироваться в стойкую вторичную глаукому. </w:t>
      </w:r>
      <w:r>
        <w:rPr>
          <w:rFonts w:ascii="Times New Roman" w:eastAsia="Times New Roman" w:hAnsi="Times New Roman" w:cs="Times New Roman"/>
          <w:b/>
          <w:sz w:val="24"/>
        </w:rPr>
        <w:t>Неопластическая глаукома</w:t>
      </w:r>
      <w:r>
        <w:rPr>
          <w:rFonts w:ascii="Times New Roman" w:eastAsia="Times New Roman" w:hAnsi="Times New Roman" w:cs="Times New Roman"/>
          <w:sz w:val="24"/>
        </w:rPr>
        <w:t xml:space="preserve"> развивается преимущественно вследствие роста </w:t>
      </w:r>
      <w:r>
        <w:rPr>
          <w:rFonts w:ascii="Times New Roman" w:eastAsia="Times New Roman" w:hAnsi="Times New Roman" w:cs="Times New Roman"/>
          <w:sz w:val="24"/>
        </w:rPr>
        <w:t>новообразований внутри глаза или орбиты. Чаще наблюдается в поздних стадиях опухолевого роста в цилиарном теле и радужке. Может смещать корень радужки и вызывать блокаду УПК или поражать непосредственно трабекулярную сеть. Нередко возникает в поздних стади</w:t>
      </w:r>
      <w:r>
        <w:rPr>
          <w:rFonts w:ascii="Times New Roman" w:eastAsia="Times New Roman" w:hAnsi="Times New Roman" w:cs="Times New Roman"/>
          <w:sz w:val="24"/>
        </w:rPr>
        <w:t xml:space="preserve">ях ретинобластомы.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Медикаментозно-индуцированная глаукома </w:t>
      </w:r>
      <w:r>
        <w:rPr>
          <w:rFonts w:ascii="Times New Roman" w:eastAsia="Times New Roman" w:hAnsi="Times New Roman" w:cs="Times New Roman"/>
          <w:sz w:val="24"/>
        </w:rPr>
        <w:t>в детском возрасте чаще обусловлена местным и / или системным применением глюкокортикоидов. Происходит снижение оттока внутриглазной жидкости вследствие отложения в трабекулярных клетках метаболито</w:t>
      </w:r>
      <w:r>
        <w:rPr>
          <w:rFonts w:ascii="Times New Roman" w:eastAsia="Times New Roman" w:hAnsi="Times New Roman" w:cs="Times New Roman"/>
          <w:sz w:val="24"/>
        </w:rPr>
        <w:t>в глюкокортикоидов – дигидрокортизолов; в трабекулярной сети – полимеризованных гликозаминогликанов (в норме деполимеризуются лизосомальной гиалуронидазой, глюкокортикоиды стабилизируют мембраны лизосом); образования в межклеточном веществе актиновой «сети</w:t>
      </w:r>
      <w:r>
        <w:rPr>
          <w:rFonts w:ascii="Times New Roman" w:eastAsia="Times New Roman" w:hAnsi="Times New Roman" w:cs="Times New Roman"/>
          <w:sz w:val="24"/>
        </w:rPr>
        <w:t>» вследствие повышения глюкокортикоидами экспрессии фибронектина и снижения активности тканевого активатора плазминогена; «засорения» трабекул на фоне ингибирования глюкокортикоидами фагоцитоза, в том числе клетками трабекулярного эндотелия. Существует так</w:t>
      </w:r>
      <w:r>
        <w:rPr>
          <w:rFonts w:ascii="Times New Roman" w:eastAsia="Times New Roman" w:hAnsi="Times New Roman" w:cs="Times New Roman"/>
          <w:sz w:val="24"/>
        </w:rPr>
        <w:t xml:space="preserve">же генетическая предрасположенность к гипертензионному действию глюкокортикоидов. 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1.3 Эпидемиология заболевания или состояния (группы заболеваний или состояний)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Оценить заболеваемость и распространенность вторичной глаукомы в детском возрасте сложно из-з</w:t>
      </w:r>
      <w:r>
        <w:rPr>
          <w:rFonts w:ascii="Times New Roman" w:eastAsia="Times New Roman" w:hAnsi="Times New Roman" w:cs="Times New Roman"/>
          <w:sz w:val="24"/>
        </w:rPr>
        <w:t>а разницы в классификациях и критериях ее диагностики, а также относительной малочисленности эпидемиологических исследований. Частота развития постувеальной глаукомы зависит от клинических особенностей и течения увеита, длительности заболевания, а также от</w:t>
      </w:r>
      <w:r>
        <w:rPr>
          <w:rFonts w:ascii="Times New Roman" w:eastAsia="Times New Roman" w:hAnsi="Times New Roman" w:cs="Times New Roman"/>
          <w:sz w:val="24"/>
        </w:rPr>
        <w:t xml:space="preserve"> проводимого лечения и составляет, по данным различных исследований, 14% – 47% случаев [4-6, 8, 10, 15, 16]. Вторичная глаукома развивается у 9,7 – 20,2% детей, перенесших операцию экстракции врожденной катаракты [2, 3, 11, 18]. В структуре глауком детског</w:t>
      </w:r>
      <w:r>
        <w:rPr>
          <w:rFonts w:ascii="Times New Roman" w:eastAsia="Times New Roman" w:hAnsi="Times New Roman" w:cs="Times New Roman"/>
          <w:sz w:val="24"/>
        </w:rPr>
        <w:t>о возраста глаукома на фоне приобретённых заболеваний составляет 42,6% случаев [14], из них посттравматическая наблюдается в 6%, послеоперационная – в 2%, неопластическая – в 1%, а учитываемая отдельно афакическая глаукома составляет 11 - 18% [14, 19]. Гла</w:t>
      </w:r>
      <w:r>
        <w:rPr>
          <w:rFonts w:ascii="Times New Roman" w:eastAsia="Times New Roman" w:hAnsi="Times New Roman" w:cs="Times New Roman"/>
          <w:sz w:val="24"/>
        </w:rPr>
        <w:t xml:space="preserve">укома, обусловленная рецессией угла передней камеры, встречается у 15 на 100000 детей [12]. Повышение ВГД возникает у 1/3 детей при назначении глюкокортикоидов [17].  </w:t>
      </w:r>
    </w:p>
    <w:p w:rsidR="001C2479" w:rsidRDefault="00863A7D">
      <w:pPr>
        <w:spacing w:after="0" w:line="358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1.4 Особенности кодирования заболевания или состояния (группы заболеваний или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состояний)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 xml:space="preserve"> по Международной статистической классификации болезней и проблем,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связанных со здоровьем.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tabs>
          <w:tab w:val="center" w:pos="687"/>
          <w:tab w:val="center" w:pos="3882"/>
        </w:tabs>
        <w:spacing w:after="121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H 40.3  </w:t>
      </w:r>
      <w:r>
        <w:rPr>
          <w:rFonts w:ascii="Times New Roman" w:eastAsia="Times New Roman" w:hAnsi="Times New Roman" w:cs="Times New Roman"/>
          <w:sz w:val="24"/>
        </w:rPr>
        <w:tab/>
        <w:t xml:space="preserve">Глаукома вторичная посттравматическая </w:t>
      </w:r>
    </w:p>
    <w:p w:rsidR="001C2479" w:rsidRDefault="00863A7D">
      <w:pPr>
        <w:tabs>
          <w:tab w:val="center" w:pos="687"/>
          <w:tab w:val="center" w:pos="5262"/>
        </w:tabs>
        <w:spacing w:after="119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H 40.4  </w:t>
      </w:r>
      <w:r>
        <w:rPr>
          <w:rFonts w:ascii="Times New Roman" w:eastAsia="Times New Roman" w:hAnsi="Times New Roman" w:cs="Times New Roman"/>
          <w:sz w:val="24"/>
        </w:rPr>
        <w:tab/>
        <w:t xml:space="preserve">Глаукома вторичная вследствие воспалительного заболевания глаза </w:t>
      </w:r>
    </w:p>
    <w:p w:rsidR="001C2479" w:rsidRDefault="00863A7D">
      <w:pPr>
        <w:tabs>
          <w:tab w:val="center" w:pos="687"/>
          <w:tab w:val="center" w:pos="4587"/>
        </w:tabs>
        <w:spacing w:after="121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H 40.5  </w:t>
      </w:r>
      <w:r>
        <w:rPr>
          <w:rFonts w:ascii="Times New Roman" w:eastAsia="Times New Roman" w:hAnsi="Times New Roman" w:cs="Times New Roman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Глаукома вторичная вследствие других болезней глаза </w:t>
      </w:r>
    </w:p>
    <w:p w:rsidR="001C2479" w:rsidRDefault="00863A7D">
      <w:pPr>
        <w:tabs>
          <w:tab w:val="center" w:pos="687"/>
          <w:tab w:val="center" w:pos="5167"/>
        </w:tabs>
        <w:spacing w:after="119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H 40.6  </w:t>
      </w:r>
      <w:r>
        <w:rPr>
          <w:rFonts w:ascii="Times New Roman" w:eastAsia="Times New Roman" w:hAnsi="Times New Roman" w:cs="Times New Roman"/>
          <w:sz w:val="24"/>
        </w:rPr>
        <w:tab/>
        <w:t xml:space="preserve">Глаукома вторичная вызванная приемом лекарственного средства </w:t>
      </w:r>
    </w:p>
    <w:p w:rsidR="001C2479" w:rsidRDefault="00863A7D">
      <w:pPr>
        <w:tabs>
          <w:tab w:val="center" w:pos="687"/>
          <w:tab w:val="center" w:pos="2634"/>
        </w:tabs>
        <w:spacing w:after="121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Н 40.8  </w:t>
      </w:r>
      <w:r>
        <w:rPr>
          <w:rFonts w:ascii="Times New Roman" w:eastAsia="Times New Roman" w:hAnsi="Times New Roman" w:cs="Times New Roman"/>
          <w:sz w:val="24"/>
        </w:rPr>
        <w:tab/>
        <w:t xml:space="preserve">Другая глаукома </w:t>
      </w:r>
    </w:p>
    <w:p w:rsidR="001C2479" w:rsidRDefault="00863A7D">
      <w:pPr>
        <w:tabs>
          <w:tab w:val="center" w:pos="687"/>
          <w:tab w:val="center" w:pos="3000"/>
        </w:tabs>
        <w:spacing w:after="119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Н 40.9  </w:t>
      </w:r>
      <w:r>
        <w:rPr>
          <w:rFonts w:ascii="Times New Roman" w:eastAsia="Times New Roman" w:hAnsi="Times New Roman" w:cs="Times New Roman"/>
          <w:sz w:val="24"/>
        </w:rPr>
        <w:tab/>
        <w:t xml:space="preserve">Глаукома неуточненная </w:t>
      </w:r>
    </w:p>
    <w:p w:rsidR="001C2479" w:rsidRDefault="00863A7D">
      <w:pPr>
        <w:tabs>
          <w:tab w:val="center" w:pos="687"/>
          <w:tab w:val="center" w:pos="5508"/>
        </w:tabs>
        <w:spacing w:after="129"/>
      </w:pPr>
      <w:r>
        <w:tab/>
      </w:r>
      <w:r>
        <w:rPr>
          <w:rFonts w:ascii="Times New Roman" w:eastAsia="Times New Roman" w:hAnsi="Times New Roman" w:cs="Times New Roman"/>
          <w:sz w:val="24"/>
        </w:rPr>
        <w:t xml:space="preserve">H 42.8  </w:t>
      </w:r>
      <w:r>
        <w:rPr>
          <w:rFonts w:ascii="Times New Roman" w:eastAsia="Times New Roman" w:hAnsi="Times New Roman" w:cs="Times New Roman"/>
          <w:sz w:val="24"/>
        </w:rPr>
        <w:tab/>
        <w:t>Глаукома при других болезнях, классифицированных в других руб</w:t>
      </w:r>
      <w:r>
        <w:rPr>
          <w:rFonts w:ascii="Times New Roman" w:eastAsia="Times New Roman" w:hAnsi="Times New Roman" w:cs="Times New Roman"/>
          <w:sz w:val="24"/>
        </w:rPr>
        <w:t xml:space="preserve">риках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1.5 Классификация заболевания или состояния (группы заболеваний или состояний)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Единой классификации вторичных глауком у детей нет. Вторичную глаукому у детей классифицируют по этиологии (см. раздел 1.2), патогенезу, уровню офтальмотонуса, степени из</w:t>
      </w:r>
      <w:r>
        <w:rPr>
          <w:rFonts w:ascii="Times New Roman" w:eastAsia="Times New Roman" w:hAnsi="Times New Roman" w:cs="Times New Roman"/>
          <w:sz w:val="24"/>
        </w:rPr>
        <w:t xml:space="preserve">менения полей зрения и специфических изменений диска зрительного нерва, а также по клиническому течению (динамике зрительных функций) [5, 12, </w:t>
      </w:r>
      <w:r>
        <w:rPr>
          <w:rFonts w:ascii="Times New Roman" w:eastAsia="Times New Roman" w:hAnsi="Times New Roman" w:cs="Times New Roman"/>
          <w:color w:val="242021"/>
          <w:sz w:val="24"/>
        </w:rPr>
        <w:t>20, 21</w:t>
      </w:r>
      <w:r>
        <w:rPr>
          <w:rFonts w:ascii="Times New Roman" w:eastAsia="Times New Roman" w:hAnsi="Times New Roman" w:cs="Times New Roman"/>
          <w:sz w:val="24"/>
        </w:rPr>
        <w:t xml:space="preserve">]. </w:t>
      </w:r>
    </w:p>
    <w:p w:rsidR="001C2479" w:rsidRDefault="00863A7D">
      <w:pPr>
        <w:spacing w:after="115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 уровню ВГД (табл. 1): </w:t>
      </w:r>
    </w:p>
    <w:p w:rsidR="001C2479" w:rsidRDefault="00863A7D">
      <w:pPr>
        <w:spacing w:after="3"/>
        <w:ind w:left="2278" w:right="361" w:firstLine="635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Таблица 1.  Классификационная схема уровней ВГД при глаукоме  </w:t>
      </w:r>
    </w:p>
    <w:tbl>
      <w:tblPr>
        <w:tblStyle w:val="TableGrid"/>
        <w:tblW w:w="9595" w:type="dxa"/>
        <w:tblInd w:w="252" w:type="dxa"/>
        <w:tblCellMar>
          <w:top w:w="12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07"/>
        <w:gridCol w:w="3123"/>
        <w:gridCol w:w="3365"/>
      </w:tblGrid>
      <w:tr w:rsidR="001C2479">
        <w:trPr>
          <w:trHeight w:val="842"/>
        </w:trPr>
        <w:tc>
          <w:tcPr>
            <w:tcW w:w="3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112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Уровень  </w:t>
            </w:r>
          </w:p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ВГД </w:t>
            </w:r>
          </w:p>
        </w:tc>
        <w:tc>
          <w:tcPr>
            <w:tcW w:w="31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112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ВГД тонометрическое,  </w:t>
            </w:r>
          </w:p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Pt (мм рт.ст.) </w:t>
            </w:r>
          </w:p>
        </w:tc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138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ВГД истинное,  </w:t>
            </w:r>
          </w:p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Р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 xml:space="preserve">0 </w:t>
            </w:r>
            <w:r>
              <w:rPr>
                <w:rFonts w:ascii="Times New Roman" w:eastAsia="Times New Roman" w:hAnsi="Times New Roman" w:cs="Times New Roman"/>
                <w:sz w:val="24"/>
              </w:rPr>
              <w:t>(мм рт.ст.)</w:t>
            </w:r>
            <w:r>
              <w:rPr>
                <w:rFonts w:ascii="Times New Roman" w:eastAsia="Times New Roman" w:hAnsi="Times New Roman" w:cs="Times New Roman"/>
                <w:sz w:val="24"/>
                <w:vertAlign w:val="subscript"/>
              </w:rPr>
              <w:t xml:space="preserve"> </w:t>
            </w:r>
          </w:p>
        </w:tc>
      </w:tr>
      <w:tr w:rsidR="001C2479">
        <w:trPr>
          <w:trHeight w:val="427"/>
        </w:trPr>
        <w:tc>
          <w:tcPr>
            <w:tcW w:w="3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Нормальное  </w:t>
            </w:r>
          </w:p>
        </w:tc>
        <w:tc>
          <w:tcPr>
            <w:tcW w:w="31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≤ 25,0  </w:t>
            </w:r>
          </w:p>
        </w:tc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≤ 21,0 </w:t>
            </w:r>
          </w:p>
        </w:tc>
      </w:tr>
      <w:tr w:rsidR="001C2479">
        <w:trPr>
          <w:trHeight w:val="430"/>
        </w:trPr>
        <w:tc>
          <w:tcPr>
            <w:tcW w:w="3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Умеренно повышенное  </w:t>
            </w:r>
          </w:p>
        </w:tc>
        <w:tc>
          <w:tcPr>
            <w:tcW w:w="31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26-32 </w:t>
            </w:r>
          </w:p>
        </w:tc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22-28 </w:t>
            </w:r>
          </w:p>
        </w:tc>
      </w:tr>
      <w:tr w:rsidR="001C2479">
        <w:trPr>
          <w:trHeight w:val="430"/>
        </w:trPr>
        <w:tc>
          <w:tcPr>
            <w:tcW w:w="3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Высокое  </w:t>
            </w:r>
          </w:p>
        </w:tc>
        <w:tc>
          <w:tcPr>
            <w:tcW w:w="31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≥ 33  </w:t>
            </w:r>
          </w:p>
        </w:tc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≥ 29 </w:t>
            </w:r>
          </w:p>
        </w:tc>
      </w:tr>
    </w:tbl>
    <w:p w:rsidR="001C2479" w:rsidRDefault="00863A7D">
      <w:pPr>
        <w:spacing w:after="115"/>
        <w:ind w:left="36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113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 степени изменения полей зрения и поражения диска зрительного нерва (табл. 2): </w:t>
      </w:r>
    </w:p>
    <w:p w:rsidR="001C2479" w:rsidRDefault="00863A7D">
      <w:pPr>
        <w:spacing w:after="115"/>
        <w:ind w:left="10" w:right="351" w:hanging="10"/>
        <w:jc w:val="right"/>
      </w:pPr>
      <w:r>
        <w:rPr>
          <w:rFonts w:ascii="Times New Roman" w:eastAsia="Times New Roman" w:hAnsi="Times New Roman" w:cs="Times New Roman"/>
          <w:sz w:val="24"/>
        </w:rPr>
        <w:t xml:space="preserve">Таблица 2. </w:t>
      </w:r>
    </w:p>
    <w:p w:rsidR="001C2479" w:rsidRDefault="00863A7D">
      <w:pPr>
        <w:spacing w:after="3"/>
        <w:ind w:left="10" w:right="12" w:hanging="10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Классификационная схема стадий глаукомы </w:t>
      </w:r>
    </w:p>
    <w:tbl>
      <w:tblPr>
        <w:tblStyle w:val="TableGrid"/>
        <w:tblW w:w="9458" w:type="dxa"/>
        <w:tblInd w:w="259" w:type="dxa"/>
        <w:tblCellMar>
          <w:top w:w="110" w:type="dxa"/>
          <w:left w:w="98" w:type="dxa"/>
          <w:bottom w:w="0" w:type="dxa"/>
          <w:right w:w="61" w:type="dxa"/>
        </w:tblCellMar>
        <w:tblLook w:val="04A0" w:firstRow="1" w:lastRow="0" w:firstColumn="1" w:lastColumn="0" w:noHBand="0" w:noVBand="1"/>
      </w:tblPr>
      <w:tblGrid>
        <w:gridCol w:w="2086"/>
        <w:gridCol w:w="3915"/>
        <w:gridCol w:w="3457"/>
      </w:tblGrid>
      <w:tr w:rsidR="001C2479">
        <w:trPr>
          <w:trHeight w:val="63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right="3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Стадии </w:t>
            </w:r>
          </w:p>
        </w:tc>
        <w:tc>
          <w:tcPr>
            <w:tcW w:w="73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Признаки </w:t>
            </w:r>
          </w:p>
        </w:tc>
      </w:tr>
      <w:tr w:rsidR="001C2479">
        <w:trPr>
          <w:trHeight w:val="701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left="2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right="4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Поле зрения </w:t>
            </w:r>
          </w:p>
        </w:tc>
        <w:tc>
          <w:tcPr>
            <w:tcW w:w="3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right="3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Диск зрительного нерва </w:t>
            </w:r>
          </w:p>
        </w:tc>
      </w:tr>
      <w:tr w:rsidR="001C2479">
        <w:trPr>
          <w:trHeight w:val="2698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112"/>
              <w:ind w:right="36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 </w:t>
            </w:r>
          </w:p>
          <w:p w:rsidR="001C2479" w:rsidRDefault="00863A7D">
            <w:pPr>
              <w:spacing w:after="0"/>
              <w:ind w:right="3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начальная </w:t>
            </w:r>
          </w:p>
        </w:tc>
        <w:tc>
          <w:tcPr>
            <w:tcW w:w="3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 w:line="357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Границы ПЗ нормальные, небольшие изменения (скотомы) в парацентральных участках ПЗ (мелкие парацентральные скотомы, относительная скотома в зоне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Бьеррума) </w:t>
            </w:r>
          </w:p>
        </w:tc>
        <w:tc>
          <w:tcPr>
            <w:tcW w:w="3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>Асимметрия экскавации на двух глазах, вертикальноовальная форма экскавации, экскавация расширена, н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о не доходит до края ДЗН </w:t>
            </w:r>
          </w:p>
        </w:tc>
      </w:tr>
      <w:tr w:rsidR="001C2479">
        <w:trPr>
          <w:trHeight w:val="1872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112"/>
              <w:ind w:right="39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II </w:t>
            </w:r>
          </w:p>
          <w:p w:rsidR="001C2479" w:rsidRDefault="00863A7D">
            <w:pPr>
              <w:spacing w:after="0"/>
              <w:ind w:right="4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развитая </w:t>
            </w:r>
          </w:p>
        </w:tc>
        <w:tc>
          <w:tcPr>
            <w:tcW w:w="3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Сужение границ ПЗ с носовой стороны более чем на 10° или слияние мелких парацентральных скотом в дугообразную скотому </w:t>
            </w:r>
          </w:p>
        </w:tc>
        <w:tc>
          <w:tcPr>
            <w:tcW w:w="3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 w:line="358" w:lineRule="auto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Экскавация ДЗН расширена, появляется краевая экскавация </w:t>
            </w:r>
          </w:p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ДЗН </w:t>
            </w:r>
          </w:p>
        </w:tc>
      </w:tr>
      <w:tr w:rsidR="001C2479">
        <w:trPr>
          <w:trHeight w:val="3113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112"/>
              <w:ind w:right="4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III </w:t>
            </w:r>
          </w:p>
          <w:p w:rsidR="001C2479" w:rsidRDefault="00863A7D">
            <w:pPr>
              <w:spacing w:after="0"/>
              <w:ind w:left="96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далекозашедшая </w:t>
            </w:r>
          </w:p>
        </w:tc>
        <w:tc>
          <w:tcPr>
            <w:tcW w:w="3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right="3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Граница ПЗ с носовой стороны (или концентрически) находятся менее чем в 15° от точки фиксации. К этой стадии относят также случаи с сохранившимся только на периферии участком ПЗ при отсутствии центрального зрения </w:t>
            </w:r>
          </w:p>
        </w:tc>
        <w:tc>
          <w:tcPr>
            <w:tcW w:w="3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Краевая субтотальная экскавация ДЗН  </w:t>
            </w:r>
          </w:p>
        </w:tc>
      </w:tr>
      <w:tr w:rsidR="001C2479">
        <w:trPr>
          <w:trHeight w:val="629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left="63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IV, терминальная </w:t>
            </w:r>
          </w:p>
        </w:tc>
        <w:tc>
          <w:tcPr>
            <w:tcW w:w="3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Утрата предметного зрения </w:t>
            </w:r>
          </w:p>
        </w:tc>
        <w:tc>
          <w:tcPr>
            <w:tcW w:w="3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Экскавация тотальная </w:t>
            </w:r>
          </w:p>
        </w:tc>
      </w:tr>
    </w:tbl>
    <w:p w:rsidR="001C2479" w:rsidRDefault="00863A7D">
      <w:pPr>
        <w:spacing w:after="115"/>
        <w:ind w:left="36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113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 течению (табл. 3):  </w:t>
      </w:r>
    </w:p>
    <w:p w:rsidR="001C2479" w:rsidRDefault="00863A7D">
      <w:pPr>
        <w:spacing w:after="115"/>
        <w:ind w:left="10" w:right="351" w:hanging="10"/>
        <w:jc w:val="right"/>
      </w:pPr>
      <w:r>
        <w:rPr>
          <w:rFonts w:ascii="Times New Roman" w:eastAsia="Times New Roman" w:hAnsi="Times New Roman" w:cs="Times New Roman"/>
          <w:sz w:val="24"/>
        </w:rPr>
        <w:t xml:space="preserve">Таблица 3.  </w:t>
      </w:r>
    </w:p>
    <w:p w:rsidR="001C2479" w:rsidRDefault="00863A7D">
      <w:pPr>
        <w:spacing w:after="3"/>
        <w:ind w:left="10" w:right="10" w:hanging="10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Классификационная схема глаукомы по характеру течения болезни </w:t>
      </w:r>
    </w:p>
    <w:tbl>
      <w:tblPr>
        <w:tblStyle w:val="TableGrid"/>
        <w:tblW w:w="9458" w:type="dxa"/>
        <w:tblInd w:w="259" w:type="dxa"/>
        <w:tblCellMar>
          <w:top w:w="110" w:type="dxa"/>
          <w:left w:w="99" w:type="dxa"/>
          <w:bottom w:w="0" w:type="dxa"/>
          <w:right w:w="83" w:type="dxa"/>
        </w:tblCellMar>
        <w:tblLook w:val="04A0" w:firstRow="1" w:lastRow="0" w:firstColumn="1" w:lastColumn="0" w:noHBand="0" w:noVBand="1"/>
      </w:tblPr>
      <w:tblGrid>
        <w:gridCol w:w="2612"/>
        <w:gridCol w:w="6846"/>
      </w:tblGrid>
      <w:tr w:rsidR="001C2479">
        <w:trPr>
          <w:trHeight w:val="634"/>
        </w:trPr>
        <w:tc>
          <w:tcPr>
            <w:tcW w:w="26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Течение глаукомы  </w:t>
            </w:r>
          </w:p>
        </w:tc>
        <w:tc>
          <w:tcPr>
            <w:tcW w:w="68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Клиническая характеристика </w:t>
            </w:r>
          </w:p>
        </w:tc>
      </w:tr>
      <w:tr w:rsidR="001C2479">
        <w:trPr>
          <w:trHeight w:val="1044"/>
        </w:trPr>
        <w:tc>
          <w:tcPr>
            <w:tcW w:w="26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Стабилизированная  </w:t>
            </w:r>
          </w:p>
        </w:tc>
        <w:tc>
          <w:tcPr>
            <w:tcW w:w="68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Отсутствие отрицательной динамики в состоянии ДЗН и ПЗ при продолжительном наблюдении за больным (не менее 6 месяцев) </w:t>
            </w:r>
          </w:p>
        </w:tc>
      </w:tr>
      <w:tr w:rsidR="001C2479">
        <w:trPr>
          <w:trHeight w:val="1457"/>
        </w:trPr>
        <w:tc>
          <w:tcPr>
            <w:tcW w:w="26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Нестабилизированная </w:t>
            </w:r>
          </w:p>
        </w:tc>
        <w:tc>
          <w:tcPr>
            <w:tcW w:w="68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 повторных исследованиях регистрируют отрицательную динамику структурных (ДЗН, нервные волокна сетчатки) и функциональных (ПЗ) показателей </w:t>
            </w:r>
          </w:p>
        </w:tc>
      </w:tr>
    </w:tbl>
    <w:p w:rsidR="001C2479" w:rsidRDefault="00863A7D">
      <w:pPr>
        <w:spacing w:after="113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По гониоскопической картине: </w:t>
      </w:r>
    </w:p>
    <w:p w:rsidR="001C2479" w:rsidRDefault="00863A7D">
      <w:pPr>
        <w:numPr>
          <w:ilvl w:val="0"/>
          <w:numId w:val="5"/>
        </w:numPr>
        <w:spacing w:after="121"/>
        <w:ind w:right="361" w:hanging="76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открытоугольная </w:t>
      </w:r>
    </w:p>
    <w:p w:rsidR="001C2479" w:rsidRDefault="00863A7D">
      <w:pPr>
        <w:numPr>
          <w:ilvl w:val="0"/>
          <w:numId w:val="5"/>
        </w:numPr>
        <w:spacing w:after="126"/>
        <w:ind w:right="361" w:hanging="76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закрытоугольная </w:t>
      </w:r>
    </w:p>
    <w:p w:rsidR="001C2479" w:rsidRDefault="00863A7D">
      <w:pPr>
        <w:spacing w:after="0" w:line="361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 xml:space="preserve">1.6 </w:t>
      </w: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Клиническая картина заболевания или состояния (группы заболеваний или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pStyle w:val="Heading1"/>
        <w:spacing w:after="0" w:line="361" w:lineRule="auto"/>
        <w:ind w:left="356" w:right="354"/>
      </w:pPr>
      <w:r>
        <w:t>состояний)</w:t>
      </w:r>
      <w:r>
        <w:rPr>
          <w:u w:val="none"/>
        </w:rPr>
        <w:t xml:space="preserve">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Анамнез, жалобы и клинические проявления вторичной глаукомы зависят от этиологии основного заболевания, этиопатогенеза степени компенсации вторичной глаукомы. </w:t>
      </w:r>
    </w:p>
    <w:p w:rsidR="001C2479" w:rsidRDefault="00863A7D">
      <w:pPr>
        <w:spacing w:after="111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Жалобы </w:t>
      </w:r>
      <w:r>
        <w:rPr>
          <w:rFonts w:ascii="Times New Roman" w:eastAsia="Times New Roman" w:hAnsi="Times New Roman" w:cs="Times New Roman"/>
          <w:b/>
          <w:sz w:val="24"/>
        </w:rPr>
        <w:t xml:space="preserve">(у маленьких детей - со слов родителей): </w:t>
      </w:r>
    </w:p>
    <w:p w:rsidR="001C2479" w:rsidRDefault="00863A7D">
      <w:pPr>
        <w:numPr>
          <w:ilvl w:val="0"/>
          <w:numId w:val="6"/>
        </w:numPr>
        <w:spacing w:after="3" w:line="362" w:lineRule="auto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роговичный синдром – светобоязнь, слезотечение, блефароспазм (может отсутствовать); - увеличение глаза и роговицы в размере (при манифестации глаукомы в возрасте до 3-5 лет); </w:t>
      </w:r>
    </w:p>
    <w:p w:rsidR="001C2479" w:rsidRDefault="00863A7D">
      <w:pPr>
        <w:numPr>
          <w:ilvl w:val="0"/>
          <w:numId w:val="6"/>
        </w:numPr>
        <w:spacing w:after="115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>периодические затуманивания (явления о</w:t>
      </w:r>
      <w:r>
        <w:rPr>
          <w:rFonts w:ascii="Times New Roman" w:eastAsia="Times New Roman" w:hAnsi="Times New Roman" w:cs="Times New Roman"/>
          <w:sz w:val="24"/>
        </w:rPr>
        <w:t xml:space="preserve">тека), а затем – стойкое помутнение роговицы; </w:t>
      </w:r>
    </w:p>
    <w:p w:rsidR="001C2479" w:rsidRDefault="00863A7D">
      <w:pPr>
        <w:numPr>
          <w:ilvl w:val="0"/>
          <w:numId w:val="6"/>
        </w:numPr>
        <w:spacing w:after="112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снижение зрения (возможно обнаружить у детей старшего возраста) </w:t>
      </w:r>
    </w:p>
    <w:p w:rsidR="001C2479" w:rsidRDefault="00863A7D">
      <w:pPr>
        <w:numPr>
          <w:ilvl w:val="0"/>
          <w:numId w:val="6"/>
        </w:numPr>
        <w:spacing w:after="3" w:line="362" w:lineRule="auto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боли в глазу (у детей младшего возраста - изменение поведения: плохо спит, капризен, теряет аппетит).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Следует отметить, что вторичная глаукома </w:t>
      </w:r>
      <w:r>
        <w:rPr>
          <w:rFonts w:ascii="Times New Roman" w:eastAsia="Times New Roman" w:hAnsi="Times New Roman" w:cs="Times New Roman"/>
          <w:sz w:val="24"/>
        </w:rPr>
        <w:t xml:space="preserve">иногда бывает внешне бессимптомной, пациенты и их родители не предъявляют характерных жалоб, и заболевание выявляется при контрольном осмотре по поводу основного заболевания. 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3" w:line="362" w:lineRule="auto"/>
        <w:ind w:left="356" w:right="1122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Основными клиническими признаками </w:t>
      </w:r>
      <w:r>
        <w:rPr>
          <w:rFonts w:ascii="Times New Roman" w:eastAsia="Times New Roman" w:hAnsi="Times New Roman" w:cs="Times New Roman"/>
          <w:sz w:val="24"/>
        </w:rPr>
        <w:t xml:space="preserve">вторичной глаукомы у детей являются: - </w:t>
      </w:r>
      <w:r>
        <w:rPr>
          <w:rFonts w:ascii="Times New Roman" w:eastAsia="Times New Roman" w:hAnsi="Times New Roman" w:cs="Times New Roman"/>
          <w:sz w:val="24"/>
        </w:rPr>
        <w:t xml:space="preserve">повышение уровня ВГД (см. раздел 1.5); </w:t>
      </w:r>
    </w:p>
    <w:p w:rsidR="001C2479" w:rsidRDefault="00863A7D">
      <w:pPr>
        <w:numPr>
          <w:ilvl w:val="0"/>
          <w:numId w:val="6"/>
        </w:numPr>
        <w:spacing w:after="112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развитие отека и помутнения роговицы; </w:t>
      </w:r>
    </w:p>
    <w:p w:rsidR="001C2479" w:rsidRDefault="00863A7D">
      <w:pPr>
        <w:numPr>
          <w:ilvl w:val="0"/>
          <w:numId w:val="6"/>
        </w:numPr>
        <w:spacing w:after="3" w:line="362" w:lineRule="auto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увеличение диаметра роговицы и растяжение лимба (при манифестации глаукомы в возрасте до 3-5 лет); </w:t>
      </w:r>
    </w:p>
    <w:p w:rsidR="001C2479" w:rsidRDefault="00863A7D">
      <w:pPr>
        <w:numPr>
          <w:ilvl w:val="0"/>
          <w:numId w:val="6"/>
        </w:numPr>
        <w:spacing w:after="115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углубление или измельчение передней камеры (в норме в центре 2,75–3,5 мм); </w:t>
      </w:r>
    </w:p>
    <w:p w:rsidR="001C2479" w:rsidRDefault="00863A7D">
      <w:pPr>
        <w:numPr>
          <w:ilvl w:val="0"/>
          <w:numId w:val="6"/>
        </w:numPr>
        <w:spacing w:after="3" w:line="362" w:lineRule="auto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>р</w:t>
      </w:r>
      <w:r>
        <w:rPr>
          <w:rFonts w:ascii="Times New Roman" w:eastAsia="Times New Roman" w:hAnsi="Times New Roman" w:cs="Times New Roman"/>
          <w:sz w:val="24"/>
        </w:rPr>
        <w:t xml:space="preserve">азвитие глаукомной атрофии зрительного нерва (с экскавацией и истончением слоя перипапиллярных нервных волокон и слоя ганглиозных клеток сетчатки); </w:t>
      </w:r>
    </w:p>
    <w:p w:rsidR="001C2479" w:rsidRDefault="00863A7D">
      <w:pPr>
        <w:numPr>
          <w:ilvl w:val="0"/>
          <w:numId w:val="6"/>
        </w:numPr>
        <w:spacing w:after="3" w:line="362" w:lineRule="auto"/>
        <w:ind w:left="488" w:right="361" w:hanging="142"/>
        <w:jc w:val="both"/>
      </w:pPr>
      <w:r>
        <w:rPr>
          <w:rFonts w:ascii="Times New Roman" w:eastAsia="Times New Roman" w:hAnsi="Times New Roman" w:cs="Times New Roman"/>
          <w:sz w:val="24"/>
        </w:rPr>
        <w:t>увеличение сагиттальной оси глазного яблока по сравнению с возрастными нормами; - образование истончений ск</w:t>
      </w:r>
      <w:r>
        <w:rPr>
          <w:rFonts w:ascii="Times New Roman" w:eastAsia="Times New Roman" w:hAnsi="Times New Roman" w:cs="Times New Roman"/>
          <w:sz w:val="24"/>
        </w:rPr>
        <w:t xml:space="preserve">леры, выпячивающихся в виде стафилом </w:t>
      </w:r>
    </w:p>
    <w:p w:rsidR="001C2479" w:rsidRDefault="00863A7D">
      <w:pPr>
        <w:spacing w:after="3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 одностороннем процессе важным является асимметрия выраженности перечисленных признаков (длины сагиттального размера, диаметра роговицы, усиления рефракции, экскавации диска зрительного нерва). </w:t>
      </w:r>
    </w:p>
    <w:p w:rsidR="001C2479" w:rsidRDefault="00863A7D">
      <w:pPr>
        <w:spacing w:after="3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Существуют различия </w:t>
      </w:r>
      <w:r>
        <w:rPr>
          <w:rFonts w:ascii="Times New Roman" w:eastAsia="Times New Roman" w:hAnsi="Times New Roman" w:cs="Times New Roman"/>
          <w:sz w:val="24"/>
        </w:rPr>
        <w:t xml:space="preserve">в проявлении указанных клинических признаков при различной этиологии вторичной глаукомы, а также у детей различного возраста. </w:t>
      </w:r>
    </w:p>
    <w:p w:rsidR="001C2479" w:rsidRDefault="00863A7D">
      <w:pPr>
        <w:spacing w:after="275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отсутствии компенсации офтальмотонуса, стабилизации глаукомной нейрооптикопатии, а также остановки растяжения оболочек глазно</w:t>
      </w:r>
      <w:r>
        <w:rPr>
          <w:rFonts w:ascii="Times New Roman" w:eastAsia="Times New Roman" w:hAnsi="Times New Roman" w:cs="Times New Roman"/>
          <w:sz w:val="24"/>
        </w:rPr>
        <w:t xml:space="preserve">го яблока течение вторичной глаукомы прогрессирующее с развитием необратимой слепоты. </w:t>
      </w:r>
    </w:p>
    <w:p w:rsidR="001C2479" w:rsidRDefault="00863A7D">
      <w:pPr>
        <w:spacing w:after="0" w:line="358" w:lineRule="auto"/>
        <w:ind w:left="319" w:right="309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2. Диагностика заболевания или состояния (группы заболеваний или состояний), медицинские показания и противопоказания к применению </w:t>
      </w:r>
    </w:p>
    <w:p w:rsidR="001C2479" w:rsidRDefault="00863A7D">
      <w:pPr>
        <w:spacing w:after="0"/>
        <w:ind w:left="319" w:right="319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>методов диагностики</w:t>
      </w:r>
      <w:r>
        <w:rPr>
          <w:rFonts w:ascii="Times New Roman" w:eastAsia="Times New Roman" w:hAnsi="Times New Roman" w:cs="Times New Roman"/>
          <w:b/>
          <w:sz w:val="37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3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Диагноз вторичной глаукомы выставляют на основании анализа жалоб и анамнеза заболевания, результатов офтальмологического клинического и инструментального обследования: повышение ВГД выше целевого и выявление признаков глаукомной оптической нейропатии. </w:t>
      </w:r>
    </w:p>
    <w:p w:rsidR="001C2479" w:rsidRDefault="00863A7D">
      <w:pPr>
        <w:spacing w:after="3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Ран</w:t>
      </w:r>
      <w:r>
        <w:rPr>
          <w:rFonts w:ascii="Times New Roman" w:eastAsia="Times New Roman" w:hAnsi="Times New Roman" w:cs="Times New Roman"/>
          <w:sz w:val="24"/>
        </w:rPr>
        <w:t xml:space="preserve">няя диагностика направлена на выявление начальных проявлений атрофических процессов в диске зрительного нерва, слое нервных волокон сетчатки, у детей младшего возраста – признаков растяжения глаза, вызванных подъемом ВГД.  </w:t>
      </w:r>
    </w:p>
    <w:p w:rsidR="001C2479" w:rsidRDefault="00863A7D">
      <w:pPr>
        <w:spacing w:after="3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>У детей с манифестацией вторично</w:t>
      </w:r>
      <w:r>
        <w:rPr>
          <w:rFonts w:ascii="Times New Roman" w:eastAsia="Times New Roman" w:hAnsi="Times New Roman" w:cs="Times New Roman"/>
          <w:sz w:val="24"/>
        </w:rPr>
        <w:t xml:space="preserve">й глаукомы в возрасте до 3-5 лет и развитием классической клинической картины гидрофтальма диагностика заболевания не представляет особых сложностей. При более позднем развитии вторичной глаукомы диагностика может представлять значительные трудности из-за </w:t>
      </w:r>
      <w:r>
        <w:rPr>
          <w:rFonts w:ascii="Times New Roman" w:eastAsia="Times New Roman" w:hAnsi="Times New Roman" w:cs="Times New Roman"/>
          <w:sz w:val="24"/>
        </w:rPr>
        <w:t>отсутствия или слабой выраженности характерной симптоматики, растянутого во времени развития патологического процесса, сложностей в оценке состояния зрительного нерва, данных тонометрии из-за непрозрачной, рубцово измененной или утолщенной роговицы, помутн</w:t>
      </w:r>
      <w:r>
        <w:rPr>
          <w:rFonts w:ascii="Times New Roman" w:eastAsia="Times New Roman" w:hAnsi="Times New Roman" w:cs="Times New Roman"/>
          <w:sz w:val="24"/>
        </w:rPr>
        <w:t>ения оптических сред, изменений зрительного нерва вследствие основного заболевания. Постановка диагноза вторичной глаукомы должна базироваться на комплексном анализе данных</w:t>
      </w:r>
      <w:r>
        <w:rPr>
          <w:rFonts w:ascii="Times New Roman" w:eastAsia="Times New Roman" w:hAnsi="Times New Roman" w:cs="Times New Roman"/>
          <w:i/>
          <w:sz w:val="24"/>
        </w:rPr>
        <w:t>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124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112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2.1 Жалобы и анамнез.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0" w:line="360" w:lineRule="auto"/>
        <w:ind w:left="361" w:right="308"/>
      </w:pPr>
      <w:r>
        <w:rPr>
          <w:rFonts w:ascii="Times New Roman" w:eastAsia="Times New Roman" w:hAnsi="Times New Roman" w:cs="Times New Roman"/>
          <w:b/>
          <w:sz w:val="24"/>
        </w:rPr>
        <w:t xml:space="preserve">• </w:t>
      </w:r>
      <w:r>
        <w:rPr>
          <w:rFonts w:ascii="Times New Roman" w:eastAsia="Times New Roman" w:hAnsi="Times New Roman" w:cs="Times New Roman"/>
          <w:b/>
          <w:sz w:val="24"/>
        </w:rPr>
        <w:tab/>
        <w:t xml:space="preserve">Рекомендуется сбор анамнеза и жалоб у всех пациентов </w:t>
      </w:r>
      <w:r>
        <w:rPr>
          <w:rFonts w:ascii="Times New Roman" w:eastAsia="Times New Roman" w:hAnsi="Times New Roman" w:cs="Times New Roman"/>
          <w:b/>
          <w:sz w:val="24"/>
        </w:rPr>
        <w:t xml:space="preserve">/ родителей пациентов с подозрением на/риском развития вторичной глаукомы с целью выявления факторов, которые могут повлиять на верификацию диагноза и выбор тактики лечения [12].  </w:t>
      </w:r>
    </w:p>
    <w:p w:rsidR="001C2479" w:rsidRDefault="00863A7D">
      <w:pPr>
        <w:spacing w:after="1" w:line="358" w:lineRule="auto"/>
        <w:ind w:left="356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</w:t>
      </w:r>
      <w:r>
        <w:rPr>
          <w:rFonts w:ascii="Times New Roman" w:eastAsia="Times New Roman" w:hAnsi="Times New Roman" w:cs="Times New Roman"/>
          <w:b/>
          <w:sz w:val="24"/>
        </w:rPr>
        <w:t xml:space="preserve">– 5). Комментарии: </w:t>
      </w:r>
      <w:r>
        <w:rPr>
          <w:rFonts w:ascii="Times New Roman" w:eastAsia="Times New Roman" w:hAnsi="Times New Roman" w:cs="Times New Roman"/>
          <w:i/>
          <w:sz w:val="24"/>
        </w:rPr>
        <w:t>важным является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определение возможных предрасполагающих факторов возникновения вторичной глаукомы (заболевания и повреждения глазного яблока, наличие общих заболеваний организма, местное или системное применение глюкокортикоидов), следуе</w:t>
      </w:r>
      <w:r>
        <w:rPr>
          <w:rFonts w:ascii="Times New Roman" w:eastAsia="Times New Roman" w:hAnsi="Times New Roman" w:cs="Times New Roman"/>
          <w:i/>
          <w:sz w:val="24"/>
        </w:rPr>
        <w:t xml:space="preserve">т также обращать внимание на внешние симптомы вторичной глаукомы и динамику зрительных функций (см. раздел 1.6 – «жалобы»). </w:t>
      </w:r>
    </w:p>
    <w:p w:rsidR="001C2479" w:rsidRDefault="00863A7D">
      <w:pPr>
        <w:pStyle w:val="Heading1"/>
        <w:ind w:left="356" w:right="354"/>
      </w:pPr>
      <w:r>
        <w:t xml:space="preserve">2.2 </w:t>
      </w:r>
      <w:r>
        <w:t>Физикальное обследование</w:t>
      </w:r>
      <w:r>
        <w:rPr>
          <w:u w:val="none"/>
        </w:rPr>
        <w:t xml:space="preserve"> </w:t>
      </w:r>
    </w:p>
    <w:p w:rsidR="001C2479" w:rsidRDefault="00863A7D">
      <w:pPr>
        <w:spacing w:after="115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Физикальное обследование неинформативно. </w:t>
      </w:r>
    </w:p>
    <w:p w:rsidR="001C2479" w:rsidRDefault="00863A7D">
      <w:pPr>
        <w:spacing w:after="9" w:line="353" w:lineRule="auto"/>
        <w:ind w:left="356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Пациенты направляются на общесоматическое обследование и к профильным специалистам перед выполнением оперативного лечения. </w:t>
      </w:r>
    </w:p>
    <w:p w:rsidR="001C2479" w:rsidRDefault="00863A7D">
      <w:pPr>
        <w:pStyle w:val="Heading1"/>
        <w:ind w:left="356" w:right="354"/>
      </w:pPr>
      <w:r>
        <w:t xml:space="preserve">2.3 </w:t>
      </w:r>
      <w:r>
        <w:t>Лабораторные диагностические исследования</w:t>
      </w:r>
      <w:r>
        <w:rPr>
          <w:u w:val="none"/>
        </w:rPr>
        <w:t xml:space="preserve">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Лабораторные диагностические исследования при вторичной глаукоме в настоящее время не применяются, продолжаются научные исследования. </w:t>
      </w:r>
    </w:p>
    <w:p w:rsidR="001C2479" w:rsidRDefault="00863A7D">
      <w:pPr>
        <w:spacing w:after="123"/>
        <w:ind w:left="361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1C2479" w:rsidRDefault="00863A7D">
      <w:pPr>
        <w:pStyle w:val="Heading1"/>
        <w:ind w:left="356" w:right="354"/>
      </w:pPr>
      <w:r>
        <w:t xml:space="preserve">2.4 </w:t>
      </w:r>
      <w:r>
        <w:t>Инструментальные диагностические исследования</w:t>
      </w:r>
      <w:r>
        <w:rPr>
          <w:u w:val="none"/>
        </w:rPr>
        <w:t xml:space="preserve"> </w:t>
      </w:r>
    </w:p>
    <w:p w:rsidR="001C2479" w:rsidRDefault="00863A7D">
      <w:pPr>
        <w:numPr>
          <w:ilvl w:val="0"/>
          <w:numId w:val="7"/>
        </w:numPr>
        <w:spacing w:after="5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 визометрия A02.26.004 всем пациентам с вторичной глаук</w:t>
      </w:r>
      <w:r>
        <w:rPr>
          <w:rFonts w:ascii="Times New Roman" w:eastAsia="Times New Roman" w:hAnsi="Times New Roman" w:cs="Times New Roman"/>
          <w:b/>
          <w:sz w:val="24"/>
        </w:rPr>
        <w:t xml:space="preserve">омой при диагностике заболевания, динамическом наблюдении и контроле за лечением с целью определения тяжести зрительных расстройств [12].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5). Комментарии: </w:t>
      </w:r>
      <w:r>
        <w:rPr>
          <w:rFonts w:ascii="Times New Roman" w:eastAsia="Times New Roman" w:hAnsi="Times New Roman" w:cs="Times New Roman"/>
          <w:i/>
          <w:sz w:val="24"/>
        </w:rPr>
        <w:t>у детей старше 3 – 5 ле</w:t>
      </w:r>
      <w:r>
        <w:rPr>
          <w:rFonts w:ascii="Times New Roman" w:eastAsia="Times New Roman" w:hAnsi="Times New Roman" w:cs="Times New Roman"/>
          <w:i/>
          <w:sz w:val="24"/>
        </w:rPr>
        <w:t xml:space="preserve">т визометрия проводится по таблицам (Орловой, Сивцева и Головина, кольцам Ландольта или др.), в младшем возрасте – ориентировочно, путем предъявления предметов разного размера.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 начальной стадии глаукомы и у пациентов с низкой остротой зрения она может с</w:t>
      </w:r>
      <w:r>
        <w:rPr>
          <w:rFonts w:ascii="Times New Roman" w:eastAsia="Times New Roman" w:hAnsi="Times New Roman" w:cs="Times New Roman"/>
          <w:i/>
          <w:sz w:val="24"/>
        </w:rPr>
        <w:t xml:space="preserve">ущественно не меняться. </w:t>
      </w:r>
    </w:p>
    <w:p w:rsidR="001C2479" w:rsidRDefault="00863A7D">
      <w:pPr>
        <w:numPr>
          <w:ilvl w:val="0"/>
          <w:numId w:val="7"/>
        </w:numPr>
        <w:spacing w:after="5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 рефрактометрия A03.26.008 всем пациентам с вторичной глаукомой с целью определения аномалий рефракции и возможности их коррекции, а также в комплексной диагностике и оценке темпов прогрессирования глаукомного процесса</w:t>
      </w:r>
      <w:r>
        <w:rPr>
          <w:rFonts w:ascii="Times New Roman" w:eastAsia="Times New Roman" w:hAnsi="Times New Roman" w:cs="Times New Roman"/>
          <w:b/>
          <w:sz w:val="24"/>
        </w:rPr>
        <w:t xml:space="preserve"> [12].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5). Комментарии: </w:t>
      </w:r>
      <w:r>
        <w:rPr>
          <w:rFonts w:ascii="Times New Roman" w:eastAsia="Times New Roman" w:hAnsi="Times New Roman" w:cs="Times New Roman"/>
          <w:i/>
          <w:sz w:val="24"/>
        </w:rPr>
        <w:t>при развитии в раннем возрасте и некомпенсации глаукомы у детей происходит растяжение глаза и формируется миопическая рефракция нередко с астигматизмом (</w:t>
      </w:r>
      <w:r>
        <w:rPr>
          <w:rFonts w:ascii="Times New Roman" w:eastAsia="Times New Roman" w:hAnsi="Times New Roman" w:cs="Times New Roman"/>
          <w:i/>
          <w:sz w:val="24"/>
        </w:rPr>
        <w:t xml:space="preserve">вследствие неравномерного растяжения оболочек глаза). Соответственно, усиление клинической рефракции может быть одним из симптомов некомпенсации глаукомы. </w:t>
      </w:r>
    </w:p>
    <w:p w:rsidR="001C2479" w:rsidRDefault="00863A7D">
      <w:pPr>
        <w:spacing w:after="9" w:line="353" w:lineRule="auto"/>
        <w:ind w:left="346" w:right="221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 настоящее время эталонным методом рефрактометрии у детей раннего возраста продолжает оставаться ск</w:t>
      </w:r>
      <w:r>
        <w:rPr>
          <w:rFonts w:ascii="Times New Roman" w:eastAsia="Times New Roman" w:hAnsi="Times New Roman" w:cs="Times New Roman"/>
          <w:i/>
          <w:sz w:val="24"/>
        </w:rPr>
        <w:t xml:space="preserve">иаскопия. Вместе с тем, ее успешно дополняют приборные методы, включая портативные рефрактометры. Неоспоримыми преимуществом рефрактометров является возможность точного определения меридиана астигматизма, в том числе при обследовании ребенка в наркозе. </w:t>
      </w:r>
    </w:p>
    <w:p w:rsidR="001C2479" w:rsidRDefault="00863A7D">
      <w:pPr>
        <w:numPr>
          <w:ilvl w:val="0"/>
          <w:numId w:val="7"/>
        </w:numPr>
        <w:spacing w:after="5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</w:t>
      </w:r>
      <w:r>
        <w:rPr>
          <w:rFonts w:ascii="Times New Roman" w:eastAsia="Times New Roman" w:hAnsi="Times New Roman" w:cs="Times New Roman"/>
          <w:b/>
          <w:sz w:val="24"/>
        </w:rPr>
        <w:t xml:space="preserve">комендуется офтальмотонометрия A02.26.015 всем пациентам с вторичной глаукомой и подозрением на данное заболевание с целью диагностики, динамического наблюдения и контроля эффективности проводимого лечения [1, 12] (см. приложение Б).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</w:t>
      </w:r>
      <w:r>
        <w:rPr>
          <w:rFonts w:ascii="Times New Roman" w:eastAsia="Times New Roman" w:hAnsi="Times New Roman" w:cs="Times New Roman"/>
          <w:b/>
          <w:sz w:val="24"/>
        </w:rPr>
        <w:t xml:space="preserve">и рекомендаций С (уровень достоверности доказательств – 5). Комментарии: </w:t>
      </w:r>
      <w:r>
        <w:rPr>
          <w:rFonts w:ascii="Times New Roman" w:eastAsia="Times New Roman" w:hAnsi="Times New Roman" w:cs="Times New Roman"/>
          <w:i/>
          <w:sz w:val="24"/>
        </w:rPr>
        <w:t xml:space="preserve">для контроля ВГД рекомендовано использовать аппланационный тонометр Маклакова (стандарт тонометрии в РФ), аппланационный тонометр Гольдмана (стандарт тонометрии в мире) или различные </w:t>
      </w:r>
      <w:r>
        <w:rPr>
          <w:rFonts w:ascii="Times New Roman" w:eastAsia="Times New Roman" w:hAnsi="Times New Roman" w:cs="Times New Roman"/>
          <w:i/>
          <w:sz w:val="24"/>
        </w:rPr>
        <w:t xml:space="preserve">типы бесконтактных тонометров. Удобным для детей представляется так называемый рикошетный тонометр Icare, позволяющий измерять истинное ВГД без местной анестезии, в том числе у детей раннего возраста в различных положениях тела ребенка.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Многим современным</w:t>
      </w:r>
      <w:r>
        <w:rPr>
          <w:rFonts w:ascii="Times New Roman" w:eastAsia="Times New Roman" w:hAnsi="Times New Roman" w:cs="Times New Roman"/>
          <w:i/>
          <w:sz w:val="24"/>
        </w:rPr>
        <w:t xml:space="preserve"> методикам «приборной» тонометрии свойственны ошибки результатов измерения, обычно в сторону завышения показателей офтальмотонуса. Они во многом связаны с возрастной спецификой механических свойств роговицы, еще более изменяющихся при развитии гидрофтальма</w:t>
      </w:r>
      <w:r>
        <w:rPr>
          <w:rFonts w:ascii="Times New Roman" w:eastAsia="Times New Roman" w:hAnsi="Times New Roman" w:cs="Times New Roman"/>
          <w:i/>
          <w:sz w:val="24"/>
        </w:rPr>
        <w:t xml:space="preserve">, поэтому при получении противоречивых показателей ВГД или сомнении в их достоверности целесообразно прибегнуть к офтальмотонометрии с помощью тонометра Маклакова.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У детей раннего возраста цифры ВГД могут не отражать истинной картины заболевания, так как </w:t>
      </w:r>
      <w:r>
        <w:rPr>
          <w:rFonts w:ascii="Times New Roman" w:eastAsia="Times New Roman" w:hAnsi="Times New Roman" w:cs="Times New Roman"/>
          <w:i/>
          <w:sz w:val="24"/>
        </w:rPr>
        <w:t>растяжение глаза компенсирует его повышение, поэтому характеристики офтальмотонуса должны рассматриваться в совокупности с морфометрией глаза.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анализе данных тонометрии учитывают абсолютные цифры ВГД, суточные колебания и при одностороннем заболевании</w:t>
      </w:r>
      <w:r>
        <w:rPr>
          <w:rFonts w:ascii="Times New Roman" w:eastAsia="Times New Roman" w:hAnsi="Times New Roman" w:cs="Times New Roman"/>
          <w:i/>
          <w:sz w:val="24"/>
        </w:rPr>
        <w:t xml:space="preserve"> – разницу офтальмотонуса между глазами. Суточные колебания уровня ВГД, а также его асимметрия между парными глазами у здоровых лиц, как правило, находятся в пределах 2-3 мм рт. ст. и лишь в редких случаях достигают 4-6 мм рт. ст.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Рt  – показатели тономет</w:t>
      </w:r>
      <w:r>
        <w:rPr>
          <w:rFonts w:ascii="Times New Roman" w:eastAsia="Times New Roman" w:hAnsi="Times New Roman" w:cs="Times New Roman"/>
          <w:i/>
          <w:sz w:val="24"/>
        </w:rPr>
        <w:t xml:space="preserve">рии при измерении ВГД контактным тонометром Маклакова, чаще грузом массой 10 г.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Р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 xml:space="preserve">0 </w:t>
      </w:r>
      <w:r>
        <w:rPr>
          <w:rFonts w:ascii="Times New Roman" w:eastAsia="Times New Roman" w:hAnsi="Times New Roman" w:cs="Times New Roman"/>
          <w:i/>
          <w:sz w:val="24"/>
        </w:rPr>
        <w:t xml:space="preserve">– истинное ВГД – показатели тонометрии при измерении ВГД большинством современных методов (тонометрия по Гольдману, пневмотонометрия, тонометрия Icare и т.д.).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>Статистичес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кая норма </w:t>
      </w:r>
      <w:r>
        <w:rPr>
          <w:rFonts w:ascii="Times New Roman" w:eastAsia="Times New Roman" w:hAnsi="Times New Roman" w:cs="Times New Roman"/>
          <w:i/>
          <w:sz w:val="24"/>
        </w:rPr>
        <w:t>истинного уровня ВГД (P</w:t>
      </w:r>
      <w:r>
        <w:rPr>
          <w:rFonts w:ascii="Times New Roman" w:eastAsia="Times New Roman" w:hAnsi="Times New Roman" w:cs="Times New Roman"/>
          <w:i/>
          <w:sz w:val="24"/>
          <w:vertAlign w:val="subscript"/>
        </w:rPr>
        <w:t>0</w:t>
      </w:r>
      <w:r>
        <w:rPr>
          <w:rFonts w:ascii="Times New Roman" w:eastAsia="Times New Roman" w:hAnsi="Times New Roman" w:cs="Times New Roman"/>
          <w:i/>
          <w:sz w:val="24"/>
        </w:rPr>
        <w:t xml:space="preserve">) составляет от 10 до 21 мм рт. ст., тонометрического уровня ВГД (Pt) — от 12 до 25 мм рт. ст.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Критерии подбора «целевого» ВГД для конкретного пациента в настоящее время не установлены. Ориентировочные характеристики верхней границы «целевого» офтальмотонуса у пациентов с различными стадиями глаукомы приведены в табл. 4 </w:t>
      </w:r>
    </w:p>
    <w:p w:rsidR="001C2479" w:rsidRDefault="00863A7D">
      <w:pPr>
        <w:spacing w:after="118"/>
        <w:ind w:left="10" w:right="351" w:hanging="10"/>
        <w:jc w:val="right"/>
      </w:pPr>
      <w:r>
        <w:rPr>
          <w:rFonts w:ascii="Times New Roman" w:eastAsia="Times New Roman" w:hAnsi="Times New Roman" w:cs="Times New Roman"/>
          <w:i/>
          <w:sz w:val="24"/>
        </w:rPr>
        <w:t>Таблица 4.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spacing w:after="9"/>
        <w:ind w:left="469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Характеристики в</w:t>
      </w:r>
      <w:r>
        <w:rPr>
          <w:rFonts w:ascii="Times New Roman" w:eastAsia="Times New Roman" w:hAnsi="Times New Roman" w:cs="Times New Roman"/>
          <w:i/>
          <w:sz w:val="24"/>
        </w:rPr>
        <w:t xml:space="preserve">ерхней границы «целевого» офтальмотонуса у пациентов с глаукомой </w:t>
      </w:r>
    </w:p>
    <w:p w:rsidR="001C2479" w:rsidRDefault="00863A7D">
      <w:pPr>
        <w:spacing w:after="0"/>
        <w:ind w:left="51"/>
        <w:jc w:val="center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tbl>
      <w:tblPr>
        <w:tblStyle w:val="TableGrid"/>
        <w:tblW w:w="9261" w:type="dxa"/>
        <w:tblInd w:w="252" w:type="dxa"/>
        <w:tblCellMar>
          <w:top w:w="11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087"/>
        <w:gridCol w:w="3087"/>
        <w:gridCol w:w="3087"/>
      </w:tblGrid>
      <w:tr w:rsidR="001C2479">
        <w:trPr>
          <w:trHeight w:val="422"/>
        </w:trPr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Стадия глаукомы 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Pt, мм рт. ст. 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z w:val="24"/>
                <w:vertAlign w:val="subscript"/>
              </w:rPr>
              <w:t>0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, мм рт. ст. </w:t>
            </w:r>
          </w:p>
        </w:tc>
      </w:tr>
      <w:tr w:rsidR="001C2479">
        <w:trPr>
          <w:trHeight w:val="425"/>
        </w:trPr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Начальная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22–24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18–20 </w:t>
            </w:r>
          </w:p>
        </w:tc>
      </w:tr>
      <w:tr w:rsidR="001C2479">
        <w:trPr>
          <w:trHeight w:val="425"/>
        </w:trPr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Развитая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19–21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15–17 </w:t>
            </w:r>
          </w:p>
        </w:tc>
      </w:tr>
      <w:tr w:rsidR="001C2479">
        <w:trPr>
          <w:trHeight w:val="473"/>
        </w:trPr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Далекозашедшая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16–18 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10–14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</w:p>
        </w:tc>
      </w:tr>
    </w:tbl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 связи с тем, что на данные тонометрии оказывают влияние толщина и диаметр роговицы, а также изменение ее вязкоэластичных свойств, в том числе вследствие основного заболевания (рубцы, дистрофия и др.), целесообразно учитывать эти параметры. В частности, п</w:t>
      </w:r>
      <w:r>
        <w:rPr>
          <w:rFonts w:ascii="Times New Roman" w:eastAsia="Times New Roman" w:hAnsi="Times New Roman" w:cs="Times New Roman"/>
          <w:i/>
          <w:sz w:val="24"/>
        </w:rPr>
        <w:t xml:space="preserve">ри утолщенной отечней роговице ВГД показатели тонометрии могут быть занижены, а при наличии рубцов роговицы завышены вследствие снижения ее ригидности [22].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Адекватность значений «целевого» ВГД у конкретного пациента определяется в ходе динамического набл</w:t>
      </w:r>
      <w:r>
        <w:rPr>
          <w:rFonts w:ascii="Times New Roman" w:eastAsia="Times New Roman" w:hAnsi="Times New Roman" w:cs="Times New Roman"/>
          <w:i/>
          <w:sz w:val="24"/>
        </w:rPr>
        <w:t xml:space="preserve">юдения (стабилизация или прогрессирование глаукомного процесса). </w:t>
      </w:r>
    </w:p>
    <w:p w:rsidR="001C2479" w:rsidRDefault="00863A7D">
      <w:pPr>
        <w:spacing w:after="5" w:line="357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• Рекомендуется ультразвуковая кератопахиметрия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A03.26.011.001 всем пациентам с вторичной глаукомой с целью правильной интерпретации результатов тонометрии </w:t>
      </w:r>
      <w:r>
        <w:rPr>
          <w:rFonts w:ascii="Times New Roman" w:eastAsia="Times New Roman" w:hAnsi="Times New Roman" w:cs="Times New Roman"/>
          <w:sz w:val="24"/>
        </w:rPr>
        <w:t xml:space="preserve">[12].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</w:t>
      </w:r>
      <w:r>
        <w:rPr>
          <w:rFonts w:ascii="Times New Roman" w:eastAsia="Times New Roman" w:hAnsi="Times New Roman" w:cs="Times New Roman"/>
          <w:b/>
          <w:sz w:val="24"/>
        </w:rPr>
        <w:t xml:space="preserve">омендаций С (уровень достоверности доказательств – 5). Комментарии: </w:t>
      </w:r>
      <w:r>
        <w:rPr>
          <w:rFonts w:ascii="Times New Roman" w:eastAsia="Times New Roman" w:hAnsi="Times New Roman" w:cs="Times New Roman"/>
          <w:i/>
          <w:sz w:val="24"/>
        </w:rPr>
        <w:t>средняя толщина роговицы в оптической зоне (центральная толщина роговицы – ЦТР) детей в возрасте 5 – 15 лет составляет 529 ± 0,034 мкм [23]. Роговицы принято классифицировать как тонкие пр</w:t>
      </w:r>
      <w:r>
        <w:rPr>
          <w:rFonts w:ascii="Times New Roman" w:eastAsia="Times New Roman" w:hAnsi="Times New Roman" w:cs="Times New Roman"/>
          <w:i/>
          <w:sz w:val="24"/>
        </w:rPr>
        <w:t xml:space="preserve">и ЦТР ≤ 520 мкм, нормальные (&gt;521&lt;580 мкм) и толстые ≥ 581 мкм. Данные тонометрии в глазах с роговицей, имеющей ЦТР отличную от нормальной нуждаются в коррекции (табл. 5). </w:t>
      </w:r>
    </w:p>
    <w:p w:rsidR="001C2479" w:rsidRDefault="00863A7D">
      <w:pPr>
        <w:spacing w:after="1"/>
        <w:ind w:left="497" w:firstLine="8150"/>
      </w:pPr>
      <w:r>
        <w:rPr>
          <w:rFonts w:ascii="Times New Roman" w:eastAsia="Times New Roman" w:hAnsi="Times New Roman" w:cs="Times New Roman"/>
          <w:i/>
          <w:sz w:val="24"/>
        </w:rPr>
        <w:t>Таблица 5.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Ориентировочные корректирующие показатели для определения уровня внутриг</w:t>
      </w:r>
      <w:r>
        <w:rPr>
          <w:rFonts w:ascii="Times New Roman" w:eastAsia="Times New Roman" w:hAnsi="Times New Roman" w:cs="Times New Roman"/>
          <w:i/>
          <w:sz w:val="24"/>
        </w:rPr>
        <w:t xml:space="preserve">лазного давления </w:t>
      </w:r>
    </w:p>
    <w:tbl>
      <w:tblPr>
        <w:tblStyle w:val="TableGrid"/>
        <w:tblW w:w="9573" w:type="dxa"/>
        <w:tblInd w:w="252" w:type="dxa"/>
        <w:tblCellMar>
          <w:top w:w="12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384"/>
        <w:gridCol w:w="2401"/>
        <w:gridCol w:w="2386"/>
        <w:gridCol w:w="2403"/>
      </w:tblGrid>
      <w:tr w:rsidR="001C2479">
        <w:trPr>
          <w:trHeight w:val="422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ЦТР (µm)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Коррекция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ЦТР (µm)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Коррекция </w:t>
            </w:r>
          </w:p>
        </w:tc>
      </w:tr>
      <w:tr w:rsidR="001C2479">
        <w:trPr>
          <w:trHeight w:val="425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405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+ 7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565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– 1 </w:t>
            </w:r>
          </w:p>
        </w:tc>
      </w:tr>
      <w:tr w:rsidR="001C2479">
        <w:trPr>
          <w:trHeight w:val="425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425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+ 6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585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– 2 </w:t>
            </w:r>
          </w:p>
        </w:tc>
      </w:tr>
      <w:tr w:rsidR="001C2479">
        <w:trPr>
          <w:trHeight w:val="425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445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+ 5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605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– 3 </w:t>
            </w:r>
          </w:p>
        </w:tc>
      </w:tr>
      <w:tr w:rsidR="001C2479">
        <w:trPr>
          <w:trHeight w:val="425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465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+ 4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625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– 4 </w:t>
            </w:r>
          </w:p>
        </w:tc>
      </w:tr>
      <w:tr w:rsidR="001C2479">
        <w:trPr>
          <w:trHeight w:val="423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485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+ 3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645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– 5 </w:t>
            </w:r>
          </w:p>
        </w:tc>
      </w:tr>
      <w:tr w:rsidR="001C2479">
        <w:trPr>
          <w:trHeight w:val="425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505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+ 2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665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– 6 </w:t>
            </w:r>
          </w:p>
        </w:tc>
      </w:tr>
      <w:tr w:rsidR="001C2479">
        <w:trPr>
          <w:trHeight w:val="425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525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+ 1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685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– 7 </w:t>
            </w:r>
          </w:p>
        </w:tc>
      </w:tr>
      <w:tr w:rsidR="001C2479">
        <w:trPr>
          <w:trHeight w:val="422"/>
        </w:trPr>
        <w:tc>
          <w:tcPr>
            <w:tcW w:w="2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545 </w:t>
            </w:r>
          </w:p>
        </w:tc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0 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705 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– 8 </w:t>
            </w:r>
          </w:p>
        </w:tc>
      </w:tr>
    </w:tbl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Измерение толщины роговицы может быть проведено с помощью ультразвуковой кератопахиметрии A03.26.011.001, ОКТ переднего отрезка глаза A03.26.019.001 (оптическое исследование переднего отдела глаза с помощью компьютерного анализатора), оптической биометрии </w:t>
      </w:r>
      <w:r>
        <w:rPr>
          <w:rFonts w:ascii="Times New Roman" w:eastAsia="Times New Roman" w:hAnsi="Times New Roman" w:cs="Times New Roman"/>
          <w:i/>
          <w:sz w:val="24"/>
        </w:rPr>
        <w:t xml:space="preserve">глаза A05.26.007 и ряда других методов, результаты которых несколько отличаются между собой и не могут сравниваться «напрямую».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Следует учитывать, что ЦТР увеличивается в возрасте от 1 до 11 лет, затем – стабилизируется. ЦТР у мальчиков больше, чем у дев</w:t>
      </w:r>
      <w:r>
        <w:rPr>
          <w:rFonts w:ascii="Times New Roman" w:eastAsia="Times New Roman" w:hAnsi="Times New Roman" w:cs="Times New Roman"/>
          <w:i/>
          <w:sz w:val="24"/>
        </w:rPr>
        <w:t xml:space="preserve">очек приблизительно на 5 мкм. [24], немного варьирует в различных этнических группах, в зависимости от времени суток и проводимой локальной гипотензивной терапии, на нее оказывает влияние ношение контактных линз, а поправочные коэффициенты разработаны для </w:t>
      </w:r>
      <w:r>
        <w:rPr>
          <w:rFonts w:ascii="Times New Roman" w:eastAsia="Times New Roman" w:hAnsi="Times New Roman" w:cs="Times New Roman"/>
          <w:i/>
          <w:sz w:val="24"/>
        </w:rPr>
        <w:t xml:space="preserve">нормальных роговиц (без структурных изменений). </w:t>
      </w:r>
    </w:p>
    <w:p w:rsidR="001C2479" w:rsidRDefault="00863A7D">
      <w:pPr>
        <w:spacing w:after="5" w:line="357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• Рекомендуется биомикроскопия глаза A03.26.001 всем пациентам с вторичной глаукомой и подозрением на данное заболевание с целью выявления признаков глаукомы со стороны переднего отрезка глаза [12]. </w:t>
      </w:r>
    </w:p>
    <w:p w:rsidR="001C2479" w:rsidRDefault="00863A7D">
      <w:pPr>
        <w:spacing w:after="116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</w:t>
      </w:r>
      <w:r>
        <w:rPr>
          <w:rFonts w:ascii="Times New Roman" w:eastAsia="Times New Roman" w:hAnsi="Times New Roman" w:cs="Times New Roman"/>
          <w:b/>
          <w:sz w:val="24"/>
        </w:rPr>
        <w:t xml:space="preserve"> убедительности рекомендаций С (уровень достоверности доказательств – 5). </w:t>
      </w:r>
    </w:p>
    <w:p w:rsidR="001C2479" w:rsidRDefault="00863A7D">
      <w:pPr>
        <w:spacing w:after="112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Комментарии.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Конъюнктива. </w:t>
      </w:r>
      <w:r>
        <w:rPr>
          <w:rFonts w:ascii="Times New Roman" w:eastAsia="Times New Roman" w:hAnsi="Times New Roman" w:cs="Times New Roman"/>
          <w:i/>
          <w:sz w:val="24"/>
        </w:rPr>
        <w:t>При вторичной глаукоме с компенсированным и субкомпенсированным ВГД состояние конъюнктивы чаще всего не изменено. При стойком, а также внезапном выраженно</w:t>
      </w:r>
      <w:r>
        <w:rPr>
          <w:rFonts w:ascii="Times New Roman" w:eastAsia="Times New Roman" w:hAnsi="Times New Roman" w:cs="Times New Roman"/>
          <w:i/>
          <w:sz w:val="24"/>
        </w:rPr>
        <w:t xml:space="preserve">м повышении офтальмотонуса наблюдается застойная инъекции глазного яблока.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наличии фильтрационных подушек (после хирургических вмешательств) необходимо обращать внимание на их размеры, толщину стенки, степень васкуляризации и кистозных изменений.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Роговица. </w:t>
      </w:r>
      <w:r>
        <w:rPr>
          <w:rFonts w:ascii="Times New Roman" w:eastAsia="Times New Roman" w:hAnsi="Times New Roman" w:cs="Times New Roman"/>
          <w:i/>
          <w:sz w:val="24"/>
        </w:rPr>
        <w:t xml:space="preserve">При высоком ВГД может наблюдаться отек роговицы, купирующийся после его нормализации.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У детей раннего возраста при длительной некомпенсации ВГД диаметр роговицы увеличивается, что вызывает образование разрывов и трещин эндотелия и десцеметовой </w:t>
      </w:r>
      <w:r>
        <w:rPr>
          <w:rFonts w:ascii="Times New Roman" w:eastAsia="Times New Roman" w:hAnsi="Times New Roman" w:cs="Times New Roman"/>
          <w:i/>
          <w:sz w:val="24"/>
        </w:rPr>
        <w:t xml:space="preserve">мембраны в виде единичных, а затем множественных полосчатых помутнений. За счет нарушения барьерной функции в строму роговицы проникает ВГЖ, что вызывает отек и, затем, помутнение роговицы. Также происходит растяжение лимба, сначала верхнего, в дальнейшем </w:t>
      </w:r>
      <w:r>
        <w:rPr>
          <w:rFonts w:ascii="Times New Roman" w:eastAsia="Times New Roman" w:hAnsi="Times New Roman" w:cs="Times New Roman"/>
          <w:i/>
          <w:sz w:val="24"/>
        </w:rPr>
        <w:t xml:space="preserve">– во всех отделах.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Передняя камера. </w:t>
      </w:r>
      <w:r>
        <w:rPr>
          <w:rFonts w:ascii="Times New Roman" w:eastAsia="Times New Roman" w:hAnsi="Times New Roman" w:cs="Times New Roman"/>
          <w:i/>
          <w:sz w:val="24"/>
        </w:rPr>
        <w:t>В норме в области зрачка глубина передней камеры составляет 2,75– 3,5 мм. У детей с вторичной глаукомой возможно углубление передней камеры (при растяжении глазного яблока у детей с развитием вторичной глаукомы в первые</w:t>
      </w:r>
      <w:r>
        <w:rPr>
          <w:rFonts w:ascii="Times New Roman" w:eastAsia="Times New Roman" w:hAnsi="Times New Roman" w:cs="Times New Roman"/>
          <w:i/>
          <w:sz w:val="24"/>
        </w:rPr>
        <w:t xml:space="preserve"> 3-5 лет жизни, в ряде случаев при посттравматической и афакической глаукоме). В случаях развития передних синехий, зрачкового блока или злокачественной глаукомы передняя камера может быть неравномерной или мелкой. Необходимо также оценить прозрачность вла</w:t>
      </w:r>
      <w:r>
        <w:rPr>
          <w:rFonts w:ascii="Times New Roman" w:eastAsia="Times New Roman" w:hAnsi="Times New Roman" w:cs="Times New Roman"/>
          <w:i/>
          <w:sz w:val="24"/>
        </w:rPr>
        <w:t xml:space="preserve">ги передней камеры (наличие экссудата, крови, пигмента, силиконового масла).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Радужка. </w:t>
      </w:r>
      <w:r>
        <w:rPr>
          <w:rFonts w:ascii="Times New Roman" w:eastAsia="Times New Roman" w:hAnsi="Times New Roman" w:cs="Times New Roman"/>
          <w:i/>
          <w:sz w:val="24"/>
        </w:rPr>
        <w:t>У детей раннего возраста при некомпенсации глаукомы и растяжении глаза возникают атрофические изменения радужки: сглаживается рисунок, развивается атрофия зрачковой кай</w:t>
      </w:r>
      <w:r>
        <w:rPr>
          <w:rFonts w:ascii="Times New Roman" w:eastAsia="Times New Roman" w:hAnsi="Times New Roman" w:cs="Times New Roman"/>
          <w:i/>
          <w:sz w:val="24"/>
        </w:rPr>
        <w:t xml:space="preserve">мы, крипты становятся менее выражены, визуализируются сосуды (необходимо дифференцировать с неоваскуляризацией), появляется мидриаз, снижается реакция на свет. У пациентов с неоваскулярной глаукомой наблюдается рост новообразованных сосудов на поверхности </w:t>
      </w:r>
      <w:r>
        <w:rPr>
          <w:rFonts w:ascii="Times New Roman" w:eastAsia="Times New Roman" w:hAnsi="Times New Roman" w:cs="Times New Roman"/>
          <w:i/>
          <w:sz w:val="24"/>
        </w:rPr>
        <w:t xml:space="preserve">радужки, развивается выворот пигментной каймы ригидность зрачка и мидриаз.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Следует обращать внимание на наличие периферических передних сращений, гранулем, кист, новообразованиий радужки, иридокорнеального контакта с блокадой УПК, являющихся факторами рис</w:t>
      </w:r>
      <w:r>
        <w:rPr>
          <w:rFonts w:ascii="Times New Roman" w:eastAsia="Times New Roman" w:hAnsi="Times New Roman" w:cs="Times New Roman"/>
          <w:i/>
          <w:sz w:val="24"/>
        </w:rPr>
        <w:t xml:space="preserve">ка, а при установленном диагнозе – патогенеза повышения </w:t>
      </w:r>
    </w:p>
    <w:p w:rsidR="001C2479" w:rsidRDefault="00863A7D">
      <w:pPr>
        <w:spacing w:after="117"/>
        <w:ind w:left="361"/>
      </w:pPr>
      <w:r>
        <w:rPr>
          <w:rFonts w:ascii="Times New Roman" w:eastAsia="Times New Roman" w:hAnsi="Times New Roman" w:cs="Times New Roman"/>
          <w:i/>
          <w:sz w:val="24"/>
        </w:rPr>
        <w:t xml:space="preserve">ВГД. 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Хрусталик. </w:t>
      </w:r>
      <w:r>
        <w:rPr>
          <w:rFonts w:ascii="Times New Roman" w:eastAsia="Times New Roman" w:hAnsi="Times New Roman" w:cs="Times New Roman"/>
          <w:i/>
          <w:sz w:val="24"/>
        </w:rPr>
        <w:t>Следует обращать внимание на размеры (толщина хрусталика увеличивается при его набухании – факоморфическая глаукома и уменьшается при рассасывании вещества хрусталика – факолитическ</w:t>
      </w:r>
      <w:r>
        <w:rPr>
          <w:rFonts w:ascii="Times New Roman" w:eastAsia="Times New Roman" w:hAnsi="Times New Roman" w:cs="Times New Roman"/>
          <w:i/>
          <w:sz w:val="24"/>
        </w:rPr>
        <w:t xml:space="preserve">ая глаукома), форму и положение хрусталика (подвывих, вывих в переднюю камеру или в стекловидное тело), отмечают также факодонез.  </w:t>
      </w:r>
    </w:p>
    <w:p w:rsidR="001C2479" w:rsidRDefault="00863A7D">
      <w:pPr>
        <w:numPr>
          <w:ilvl w:val="0"/>
          <w:numId w:val="8"/>
        </w:numPr>
        <w:spacing w:after="5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 гониоскопия A03.26.002 всем пациентам с вторичной глаукомой и подозрением на данное заболевание с целью выявле</w:t>
      </w:r>
      <w:r>
        <w:rPr>
          <w:rFonts w:ascii="Times New Roman" w:eastAsia="Times New Roman" w:hAnsi="Times New Roman" w:cs="Times New Roman"/>
          <w:b/>
          <w:sz w:val="24"/>
        </w:rPr>
        <w:t xml:space="preserve">ния </w:t>
      </w:r>
      <w:r>
        <w:rPr>
          <w:rFonts w:ascii="Times New Roman" w:eastAsia="Times New Roman" w:hAnsi="Times New Roman" w:cs="Times New Roman"/>
          <w:b/>
          <w:sz w:val="23"/>
        </w:rPr>
        <w:t>изменений угла передней камеры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3"/>
        </w:rPr>
        <w:t xml:space="preserve">[1, 12].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доказательств – 5). Комментарии</w:t>
      </w:r>
      <w:r>
        <w:rPr>
          <w:rFonts w:ascii="Times New Roman" w:eastAsia="Times New Roman" w:hAnsi="Times New Roman" w:cs="Times New Roman"/>
          <w:sz w:val="24"/>
        </w:rPr>
        <w:t xml:space="preserve">: </w:t>
      </w:r>
      <w:r>
        <w:rPr>
          <w:rFonts w:ascii="Times New Roman" w:eastAsia="Times New Roman" w:hAnsi="Times New Roman" w:cs="Times New Roman"/>
          <w:i/>
          <w:sz w:val="24"/>
        </w:rPr>
        <w:t xml:space="preserve">необходимо оценить дренажную зону – </w:t>
      </w:r>
      <w:r>
        <w:rPr>
          <w:rFonts w:ascii="Times New Roman" w:eastAsia="Times New Roman" w:hAnsi="Times New Roman" w:cs="Times New Roman"/>
          <w:i/>
          <w:sz w:val="24"/>
        </w:rPr>
        <w:t>наличие и протяженность гониосинехий, неоваскуляризации, фиброзных мембран, рецессии угла передней камеры, отложение экссудата, крови, фибрина, пигмента, микропузырьков силиконового масла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</w:p>
    <w:p w:rsidR="001C2479" w:rsidRDefault="00863A7D">
      <w:pPr>
        <w:spacing w:after="9" w:line="278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Гониоскопия может быть дополнена биомикрофотографией глаза A03.26.</w:t>
      </w:r>
      <w:r>
        <w:rPr>
          <w:rFonts w:ascii="Times New Roman" w:eastAsia="Times New Roman" w:hAnsi="Times New Roman" w:cs="Times New Roman"/>
          <w:i/>
          <w:sz w:val="24"/>
        </w:rPr>
        <w:t>005 (например, с помощью RetCam).</w:t>
      </w:r>
      <w:r>
        <w:rPr>
          <w:i/>
          <w:sz w:val="24"/>
        </w:rPr>
        <w:t xml:space="preserve">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Гониоскопия не показана пациентам с воспалительными процессами глазной поверхности и не может быть выполнена при наличии выраженных помутнений роговицы, гифемы, непрозрачного экссудата в передней камере, периферических пе</w:t>
      </w:r>
      <w:r>
        <w:rPr>
          <w:rFonts w:ascii="Times New Roman" w:eastAsia="Times New Roman" w:hAnsi="Times New Roman" w:cs="Times New Roman"/>
          <w:i/>
          <w:sz w:val="24"/>
        </w:rPr>
        <w:t xml:space="preserve">редних сращений (иридокорнеального контакта).  </w:t>
      </w:r>
    </w:p>
    <w:p w:rsidR="001C2479" w:rsidRDefault="00863A7D">
      <w:pPr>
        <w:numPr>
          <w:ilvl w:val="0"/>
          <w:numId w:val="8"/>
        </w:numPr>
        <w:spacing w:after="5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 офтальмоскопия A02.26.003 / биомикроскопия глазного дна A03.26.018 всем пациентам с вторичной глаукомой и подозрением на данное заболевание при сохранной прозрачности оптических сред с целью выя</w:t>
      </w:r>
      <w:r>
        <w:rPr>
          <w:rFonts w:ascii="Times New Roman" w:eastAsia="Times New Roman" w:hAnsi="Times New Roman" w:cs="Times New Roman"/>
          <w:b/>
          <w:sz w:val="24"/>
        </w:rPr>
        <w:t xml:space="preserve">вления глаукомной оптической нейропатии и возможных изменений сетчатки, являющихся этиологическим фактором развития вторичной глаукомы [1, 12, 17] (см. приложение </w:t>
      </w:r>
    </w:p>
    <w:p w:rsidR="001C2479" w:rsidRDefault="00863A7D">
      <w:pPr>
        <w:spacing w:after="119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Б).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доказательств – 5). Коммен</w:t>
      </w:r>
      <w:r>
        <w:rPr>
          <w:rFonts w:ascii="Times New Roman" w:eastAsia="Times New Roman" w:hAnsi="Times New Roman" w:cs="Times New Roman"/>
          <w:b/>
          <w:sz w:val="24"/>
        </w:rPr>
        <w:t xml:space="preserve">тарии. </w:t>
      </w:r>
      <w:r>
        <w:rPr>
          <w:rFonts w:ascii="Times New Roman" w:eastAsia="Times New Roman" w:hAnsi="Times New Roman" w:cs="Times New Roman"/>
          <w:i/>
          <w:sz w:val="24"/>
        </w:rPr>
        <w:t>Одной из основных причин снижения зрительных функций у детей с вторичной глаукомой является развитие глаукомной оптической нейропатии, что требует детальной характеристики изменений ДЗН. Сложность заключается в частой невозможности визуализации стру</w:t>
      </w:r>
      <w:r>
        <w:rPr>
          <w:rFonts w:ascii="Times New Roman" w:eastAsia="Times New Roman" w:hAnsi="Times New Roman" w:cs="Times New Roman"/>
          <w:i/>
          <w:sz w:val="24"/>
        </w:rPr>
        <w:t xml:space="preserve">ктур глазного дна из-за помутнений оптических вследствие основного заболевания. </w:t>
      </w:r>
    </w:p>
    <w:p w:rsidR="001C2479" w:rsidRDefault="00863A7D">
      <w:pPr>
        <w:spacing w:after="9" w:line="353" w:lineRule="auto"/>
        <w:ind w:left="346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Для глаукомы характерны атрофические изменения в ДЗН, проявляющиеся в деколорации атрофических участков, расширении и деформации экскавации диска.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осмотре ДЗН необходимо проводить количественную и качественную оценку следующих параметров. 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Количественная оценка ДЗН: </w:t>
      </w:r>
    </w:p>
    <w:p w:rsidR="001C2479" w:rsidRDefault="00863A7D">
      <w:pPr>
        <w:numPr>
          <w:ilvl w:val="0"/>
          <w:numId w:val="9"/>
        </w:numPr>
        <w:spacing w:after="118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>размер диска зрительного нерва;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numPr>
          <w:ilvl w:val="0"/>
          <w:numId w:val="9"/>
        </w:numPr>
        <w:spacing w:after="115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соотношение экскавации к диску (Э/Д); </w:t>
      </w:r>
    </w:p>
    <w:p w:rsidR="001C2479" w:rsidRDefault="00863A7D">
      <w:pPr>
        <w:numPr>
          <w:ilvl w:val="0"/>
          <w:numId w:val="9"/>
        </w:numPr>
        <w:spacing w:after="9" w:line="353" w:lineRule="auto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соотношение нейроретинального пояска (НРП) к диску </w:t>
      </w:r>
      <w:r>
        <w:rPr>
          <w:rFonts w:ascii="Times New Roman" w:eastAsia="Times New Roman" w:hAnsi="Times New Roman" w:cs="Times New Roman"/>
          <w:b/>
          <w:i/>
          <w:sz w:val="24"/>
        </w:rPr>
        <w:t>Качествен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ная оценка ДЗН: </w:t>
      </w:r>
    </w:p>
    <w:p w:rsidR="001C2479" w:rsidRDefault="00863A7D">
      <w:pPr>
        <w:numPr>
          <w:ilvl w:val="0"/>
          <w:numId w:val="9"/>
        </w:numPr>
        <w:spacing w:after="9" w:line="353" w:lineRule="auto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форма, высота и цвет НРП, тенденция к его истончению или отсутствие (краевая экскавация); </w:t>
      </w:r>
    </w:p>
    <w:p w:rsidR="001C2479" w:rsidRDefault="00863A7D">
      <w:pPr>
        <w:numPr>
          <w:ilvl w:val="0"/>
          <w:numId w:val="9"/>
        </w:numPr>
        <w:spacing w:after="119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деколорация атрофических участков ДЗН; </w:t>
      </w:r>
    </w:p>
    <w:p w:rsidR="001C2479" w:rsidRDefault="00863A7D">
      <w:pPr>
        <w:numPr>
          <w:ilvl w:val="0"/>
          <w:numId w:val="9"/>
        </w:numPr>
        <w:spacing w:after="113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сдвиг сосудистого пучка.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>Размер диска зрительного нерва.</w:t>
      </w:r>
      <w:r>
        <w:rPr>
          <w:rFonts w:ascii="Times New Roman" w:eastAsia="Times New Roman" w:hAnsi="Times New Roman" w:cs="Times New Roman"/>
          <w:i/>
          <w:sz w:val="24"/>
        </w:rPr>
        <w:t xml:space="preserve"> Среднестатистические размеры ДЗН находятся в преде</w:t>
      </w:r>
      <w:r>
        <w:rPr>
          <w:rFonts w:ascii="Times New Roman" w:eastAsia="Times New Roman" w:hAnsi="Times New Roman" w:cs="Times New Roman"/>
          <w:i/>
          <w:sz w:val="24"/>
        </w:rPr>
        <w:t>лах от 1,9 до 2,8 мм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>. К малым относят ДЗН площадью меньше 1,5 мм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>, к средним – от 1,51 до 2,5 мм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>, к большим &gt;2,51 мм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>2</w:t>
      </w:r>
      <w:r>
        <w:rPr>
          <w:rFonts w:ascii="Times New Roman" w:eastAsia="Times New Roman" w:hAnsi="Times New Roman" w:cs="Times New Roman"/>
          <w:i/>
          <w:sz w:val="24"/>
        </w:rPr>
        <w:t>. При миопии ДЗН может немного (на 1,2±0,15%) возрастать на каждую диоптрию аметропии. Чем больше ДЗН, тем больше Э/Д и НРП. Соответствен</w:t>
      </w:r>
      <w:r>
        <w:rPr>
          <w:rFonts w:ascii="Times New Roman" w:eastAsia="Times New Roman" w:hAnsi="Times New Roman" w:cs="Times New Roman"/>
          <w:i/>
          <w:sz w:val="24"/>
        </w:rPr>
        <w:t xml:space="preserve">но, большая экскавация в большом ДЗН может быть физиологической, в то время как маленькая экскавация в маленьком ДЗН может быть следствием глаукомного повреждения, что существенно затрудняет офтальмоскопическую диагностику рассматриваемой патологии.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>Соотн</w:t>
      </w:r>
      <w:r>
        <w:rPr>
          <w:rFonts w:ascii="Times New Roman" w:eastAsia="Times New Roman" w:hAnsi="Times New Roman" w:cs="Times New Roman"/>
          <w:b/>
          <w:i/>
          <w:sz w:val="24"/>
        </w:rPr>
        <w:t>ошение Э/Д.</w:t>
      </w:r>
      <w:r>
        <w:rPr>
          <w:rFonts w:ascii="Times New Roman" w:eastAsia="Times New Roman" w:hAnsi="Times New Roman" w:cs="Times New Roman"/>
          <w:i/>
          <w:sz w:val="24"/>
        </w:rPr>
        <w:t xml:space="preserve"> Физиологическая экскавация ДЗН, как правило, имеет горизонтально-овальную форму: горизонтальный диаметр длиннее вертикального примерно на 8%. Увеличенная физиологическая экскавация при большом размере диска чаще имеет округлую форму. В норме эк</w:t>
      </w:r>
      <w:r>
        <w:rPr>
          <w:rFonts w:ascii="Times New Roman" w:eastAsia="Times New Roman" w:hAnsi="Times New Roman" w:cs="Times New Roman"/>
          <w:i/>
          <w:sz w:val="24"/>
        </w:rPr>
        <w:t xml:space="preserve">скавация на обоих глазах симметричная. При этом в 96% случаев соотношение Э/Д находится в пределах </w:t>
      </w:r>
      <w:r>
        <w:rPr>
          <w:rFonts w:ascii="Times New Roman" w:eastAsia="Times New Roman" w:hAnsi="Times New Roman" w:cs="Times New Roman"/>
          <w:i/>
          <w:sz w:val="34"/>
          <w:vertAlign w:val="subscript"/>
        </w:rPr>
        <w:t xml:space="preserve">0,3 </w:t>
      </w:r>
      <w:r>
        <w:rPr>
          <w:rFonts w:ascii="Times New Roman" w:eastAsia="Times New Roman" w:hAnsi="Times New Roman" w:cs="Times New Roman"/>
          <w:i/>
          <w:sz w:val="24"/>
        </w:rPr>
        <w:t xml:space="preserve">ДД. В начальной стадии глаукомы чаще четких различий между физиологической и глаукомной экскавацией не существует. 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Расширение экскавации при глаукоме о</w:t>
      </w:r>
      <w:r>
        <w:rPr>
          <w:rFonts w:ascii="Times New Roman" w:eastAsia="Times New Roman" w:hAnsi="Times New Roman" w:cs="Times New Roman"/>
          <w:i/>
          <w:sz w:val="24"/>
        </w:rPr>
        <w:t xml:space="preserve">бычно происходит во всех направлениях, однако чаще всего – в вертикальном, за счет истончения НРП в верхнем и нижнем секторах ДЗН, что связано с особенностями строения решетчатой пластинки.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обследовании пациента с повышенным уровнем ВГД следует придер</w:t>
      </w:r>
      <w:r>
        <w:rPr>
          <w:rFonts w:ascii="Times New Roman" w:eastAsia="Times New Roman" w:hAnsi="Times New Roman" w:cs="Times New Roman"/>
          <w:i/>
          <w:sz w:val="24"/>
        </w:rPr>
        <w:t xml:space="preserve">живаться принципа: чем больше экскавация, тем больше вероятность, что она глаукомная. 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Нейроретинальный поясок. </w:t>
      </w:r>
      <w:r>
        <w:rPr>
          <w:rFonts w:ascii="Times New Roman" w:eastAsia="Times New Roman" w:hAnsi="Times New Roman" w:cs="Times New Roman"/>
          <w:i/>
          <w:sz w:val="24"/>
        </w:rPr>
        <w:t xml:space="preserve">При развитии глаукомного процесса постепенно происходит уменьшение ширины НРП, </w:t>
      </w:r>
      <w:r>
        <w:rPr>
          <w:rFonts w:ascii="Times New Roman" w:eastAsia="Times New Roman" w:hAnsi="Times New Roman" w:cs="Times New Roman"/>
          <w:i/>
          <w:sz w:val="24"/>
        </w:rPr>
        <w:t xml:space="preserve">которое может быть равномерным по всей окружности, локальным краевым или сочетанным. Для глаукомы характерны также атрофические изменения в НРП. Клинически они проявляются в деколорации участков НРП, чаще в темпоральной зоне.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>Перипапиллярная атрофия</w:t>
      </w:r>
      <w:r>
        <w:rPr>
          <w:rFonts w:ascii="Times New Roman" w:eastAsia="Times New Roman" w:hAnsi="Times New Roman" w:cs="Times New Roman"/>
          <w:i/>
          <w:sz w:val="24"/>
        </w:rPr>
        <w:t xml:space="preserve"> – ист</w:t>
      </w:r>
      <w:r>
        <w:rPr>
          <w:rFonts w:ascii="Times New Roman" w:eastAsia="Times New Roman" w:hAnsi="Times New Roman" w:cs="Times New Roman"/>
          <w:i/>
          <w:sz w:val="24"/>
        </w:rPr>
        <w:t xml:space="preserve">ончение/разрушение хориоретинальной ткани вокруг ДЗН. При глаукоме распространенность перипапиллярной атрофии выше, особенно с носовой стороны диска. 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вторичной глаукоме следует учитывать возможные изменения ДЗН вследствие основного заболевания (отек, атрофия), при офтальмоскопии обращать внимание на наличие зон ишемии и неоваскуляризации, новообразованиий сетчатки.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Для документирования состояния се</w:t>
      </w:r>
      <w:r>
        <w:rPr>
          <w:rFonts w:ascii="Times New Roman" w:eastAsia="Times New Roman" w:hAnsi="Times New Roman" w:cs="Times New Roman"/>
          <w:i/>
          <w:sz w:val="24"/>
        </w:rPr>
        <w:t xml:space="preserve">тчатки и ДЗН удобно использовать фоторегистрацию. </w:t>
      </w:r>
    </w:p>
    <w:p w:rsidR="001C2479" w:rsidRDefault="00863A7D">
      <w:pPr>
        <w:spacing w:after="5" w:line="357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• Рекомендуется исследование поля зрения (компьютерная периметрия) всем пациентам с вторичной глаукомой и подозрением на данное заболевание с целью комплексной диагностики, оценки стадии и динамики течения</w:t>
      </w:r>
      <w:r>
        <w:rPr>
          <w:rFonts w:ascii="Times New Roman" w:eastAsia="Times New Roman" w:hAnsi="Times New Roman" w:cs="Times New Roman"/>
          <w:b/>
          <w:sz w:val="24"/>
        </w:rPr>
        <w:t xml:space="preserve"> глаукомного процесса </w:t>
      </w:r>
      <w:r>
        <w:rPr>
          <w:rFonts w:ascii="Times New Roman" w:eastAsia="Times New Roman" w:hAnsi="Times New Roman" w:cs="Times New Roman"/>
          <w:b/>
          <w:sz w:val="23"/>
        </w:rPr>
        <w:t>[12, 17] (см. приложение Б).</w:t>
      </w:r>
      <w:r>
        <w:rPr>
          <w:rFonts w:ascii="Times New Roman" w:eastAsia="Times New Roman" w:hAnsi="Times New Roman" w:cs="Times New Roman"/>
          <w:b/>
          <w:sz w:val="24"/>
        </w:rPr>
        <w:t xml:space="preserve">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 Комментарии: </w:t>
      </w:r>
      <w:r>
        <w:rPr>
          <w:rFonts w:ascii="Times New Roman" w:eastAsia="Times New Roman" w:hAnsi="Times New Roman" w:cs="Times New Roman"/>
          <w:i/>
          <w:sz w:val="24"/>
        </w:rPr>
        <w:t>Исследование возможно при условии достаточного интеллектуального развития ребенка и наличии предметного зрения</w:t>
      </w:r>
      <w:r>
        <w:rPr>
          <w:rFonts w:ascii="Times New Roman" w:eastAsia="Times New Roman" w:hAnsi="Times New Roman" w:cs="Times New Roman"/>
          <w:i/>
          <w:sz w:val="24"/>
        </w:rPr>
        <w:t>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9" w:line="353" w:lineRule="auto"/>
        <w:ind w:left="346" w:right="222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Значение имеет исследование поля зрения как с помощью неподвижных (статическая периметрия), так и движущихся стимулов Метод позволяет обнаружить даже минимальные дефекты как центрального, так и периферического поля зрения, существенно повышая эффективно</w:t>
      </w:r>
      <w:r>
        <w:rPr>
          <w:rFonts w:ascii="Times New Roman" w:eastAsia="Times New Roman" w:hAnsi="Times New Roman" w:cs="Times New Roman"/>
          <w:i/>
          <w:sz w:val="24"/>
        </w:rPr>
        <w:t>сть диагностики и мониторинга начальной и развитой вторичной глаукомы у детей подросткового возраста. Оценке подлежат положение периферических границ поля зрения, наличие абсолютных и относительных скотом, границы слепого пятна. При оценке результатов стат</w:t>
      </w:r>
      <w:r>
        <w:rPr>
          <w:rFonts w:ascii="Times New Roman" w:eastAsia="Times New Roman" w:hAnsi="Times New Roman" w:cs="Times New Roman"/>
          <w:i/>
          <w:sz w:val="24"/>
        </w:rPr>
        <w:t xml:space="preserve">ической автоматической периметрии, кроме того, используют такие индексы как средний дефект или среднее отклонение (MD) и очаговые дефекты (PSD). </w:t>
      </w:r>
    </w:p>
    <w:p w:rsidR="001C2479" w:rsidRDefault="00863A7D">
      <w:pPr>
        <w:spacing w:after="9" w:line="353" w:lineRule="auto"/>
        <w:ind w:left="346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 далекозашедшей стадии приемлемой альтернативой может быть исследование поля зрения с помощью движущихся стим</w:t>
      </w:r>
      <w:r>
        <w:rPr>
          <w:rFonts w:ascii="Times New Roman" w:eastAsia="Times New Roman" w:hAnsi="Times New Roman" w:cs="Times New Roman"/>
          <w:i/>
          <w:sz w:val="24"/>
        </w:rPr>
        <w:t xml:space="preserve">улов для определения периферических границ ПЗ. </w:t>
      </w:r>
    </w:p>
    <w:p w:rsidR="001C2479" w:rsidRDefault="00863A7D">
      <w:pPr>
        <w:spacing w:after="52" w:line="353" w:lineRule="auto"/>
        <w:ind w:left="346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оценке результатов периметрии у пациентов с вторичной глаукомой следует учитывать возможные изменения ПЗ вследствие основного заболевания. </w:t>
      </w:r>
    </w:p>
    <w:p w:rsidR="001C2479" w:rsidRDefault="00863A7D">
      <w:pPr>
        <w:numPr>
          <w:ilvl w:val="0"/>
          <w:numId w:val="10"/>
        </w:numPr>
        <w:spacing w:after="43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Рекомендуется оптическое исследование сетчатки, головки зрительн</w:t>
      </w:r>
      <w:r>
        <w:rPr>
          <w:rFonts w:ascii="Times New Roman" w:eastAsia="Times New Roman" w:hAnsi="Times New Roman" w:cs="Times New Roman"/>
          <w:b/>
          <w:sz w:val="24"/>
        </w:rPr>
        <w:t xml:space="preserve">ого нерва и слоя нервных волокон с помощью компьютерного анализатора (оптическая когерентная томография, ОКТ) всем пациентам с вторичной глаукомой с целью количественной и качественной оценки состояния зрительного нерва, изменений сетчатки и хориоидеи при </w:t>
      </w:r>
      <w:r>
        <w:rPr>
          <w:rFonts w:ascii="Times New Roman" w:eastAsia="Times New Roman" w:hAnsi="Times New Roman" w:cs="Times New Roman"/>
          <w:b/>
          <w:sz w:val="24"/>
        </w:rPr>
        <w:t xml:space="preserve">диагностике и мониторинге заболевания [1, 12] (см. приложение Б). </w:t>
      </w:r>
    </w:p>
    <w:p w:rsidR="001C2479" w:rsidRDefault="00863A7D">
      <w:pPr>
        <w:numPr>
          <w:ilvl w:val="0"/>
          <w:numId w:val="10"/>
        </w:numPr>
        <w:spacing w:after="5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5). </w:t>
      </w:r>
    </w:p>
    <w:p w:rsidR="001C2479" w:rsidRDefault="00863A7D">
      <w:pPr>
        <w:spacing w:after="117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Комментарии: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исследование возможно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при достаточной прозрачности оптических сред. </w:t>
      </w:r>
    </w:p>
    <w:p w:rsidR="001C2479" w:rsidRDefault="00863A7D">
      <w:pPr>
        <w:spacing w:after="9" w:line="353" w:lineRule="auto"/>
        <w:ind w:left="346" w:right="226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С помощью ОКТ </w:t>
      </w:r>
      <w:r>
        <w:rPr>
          <w:rFonts w:ascii="Times New Roman" w:eastAsia="Times New Roman" w:hAnsi="Times New Roman" w:cs="Times New Roman"/>
          <w:i/>
          <w:sz w:val="24"/>
        </w:rPr>
        <w:t xml:space="preserve">при вторичной глаукоме можно выявить, записать и количественно оценить комплекс объективных морфометрических данных, нарастающих по мере ее прогрессирования: </w:t>
      </w:r>
    </w:p>
    <w:p w:rsidR="001C2479" w:rsidRDefault="00863A7D">
      <w:pPr>
        <w:numPr>
          <w:ilvl w:val="1"/>
          <w:numId w:val="10"/>
        </w:numPr>
        <w:spacing w:after="116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увеличение размеров экскавации ДЗН (глубина, ширина, объем); </w:t>
      </w:r>
    </w:p>
    <w:p w:rsidR="001C2479" w:rsidRDefault="00863A7D">
      <w:pPr>
        <w:numPr>
          <w:ilvl w:val="1"/>
          <w:numId w:val="10"/>
        </w:numPr>
        <w:spacing w:after="116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>уменьшение толщины слоя нервных вол</w:t>
      </w:r>
      <w:r>
        <w:rPr>
          <w:rFonts w:ascii="Times New Roman" w:eastAsia="Times New Roman" w:hAnsi="Times New Roman" w:cs="Times New Roman"/>
          <w:i/>
          <w:sz w:val="24"/>
        </w:rPr>
        <w:t xml:space="preserve">окон сетчатки в перипапиллярной зоне; </w:t>
      </w:r>
    </w:p>
    <w:p w:rsidR="001C2479" w:rsidRDefault="00863A7D">
      <w:pPr>
        <w:numPr>
          <w:ilvl w:val="1"/>
          <w:numId w:val="10"/>
        </w:numPr>
        <w:spacing w:after="117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>уменьшение ширины НРП;</w:t>
      </w:r>
      <w:r>
        <w:rPr>
          <w:rFonts w:ascii="Times New Roman" w:eastAsia="Times New Roman" w:hAnsi="Times New Roman" w:cs="Times New Roman"/>
          <w:i/>
        </w:rPr>
        <w:t xml:space="preserve"> </w:t>
      </w:r>
    </w:p>
    <w:p w:rsidR="001C2479" w:rsidRDefault="00863A7D">
      <w:pPr>
        <w:numPr>
          <w:ilvl w:val="1"/>
          <w:numId w:val="10"/>
        </w:numPr>
        <w:spacing w:after="113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уменьшение толщины слоя ганглиозных клеток и ганглиозного комплекса. </w:t>
      </w:r>
    </w:p>
    <w:p w:rsidR="001C2479" w:rsidRDefault="00863A7D">
      <w:pPr>
        <w:spacing w:after="9" w:line="353" w:lineRule="auto"/>
        <w:ind w:left="346" w:right="22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исходной и динамической оценке вышеперечисленных параметров следует оценивать влияние на них основного заболевания. В о</w:t>
      </w:r>
      <w:r>
        <w:rPr>
          <w:rFonts w:ascii="Times New Roman" w:eastAsia="Times New Roman" w:hAnsi="Times New Roman" w:cs="Times New Roman"/>
          <w:i/>
          <w:sz w:val="24"/>
        </w:rPr>
        <w:t xml:space="preserve">тсутствие других причин их ухудшение в динамике является важным признаком прогрессирования вторичной глаукомы. </w:t>
      </w:r>
    </w:p>
    <w:p w:rsidR="001C2479" w:rsidRDefault="00863A7D">
      <w:pPr>
        <w:spacing w:after="9" w:line="353" w:lineRule="auto"/>
        <w:ind w:left="346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нормализации ВГД у детей с глаукомой может наблюдаться регресс изменений ДЗН: уменьшение размеров экскавации и увеличение размеров НРП. </w:t>
      </w:r>
    </w:p>
    <w:p w:rsidR="001C2479" w:rsidRDefault="00863A7D">
      <w:pPr>
        <w:spacing w:after="5" w:line="357" w:lineRule="auto"/>
        <w:ind w:left="346" w:right="223" w:firstLine="708"/>
        <w:jc w:val="both"/>
      </w:pPr>
      <w:r>
        <w:rPr>
          <w:rFonts w:ascii="Times New Roman" w:eastAsia="Times New Roman" w:hAnsi="Times New Roman" w:cs="Times New Roman"/>
          <w:b/>
          <w:sz w:val="24"/>
        </w:rPr>
        <w:t>• Р</w:t>
      </w:r>
      <w:r>
        <w:rPr>
          <w:rFonts w:ascii="Times New Roman" w:eastAsia="Times New Roman" w:hAnsi="Times New Roman" w:cs="Times New Roman"/>
          <w:b/>
          <w:sz w:val="24"/>
        </w:rPr>
        <w:t>екомендуется оптическое исследование переднего отдела глаза с помощью компьютерного анализатора (ОКТ переднего отрезка глаза</w:t>
      </w:r>
      <w:r>
        <w:rPr>
          <w:rFonts w:ascii="Times New Roman" w:eastAsia="Times New Roman" w:hAnsi="Times New Roman" w:cs="Times New Roman"/>
          <w:sz w:val="24"/>
        </w:rPr>
        <w:t xml:space="preserve">) </w:t>
      </w:r>
      <w:r>
        <w:rPr>
          <w:rFonts w:ascii="Times New Roman" w:eastAsia="Times New Roman" w:hAnsi="Times New Roman" w:cs="Times New Roman"/>
          <w:b/>
          <w:sz w:val="24"/>
        </w:rPr>
        <w:t>пациентам с вторичной глаукомой с целью количественной и качественной оценки изменений со стороны переднего отрезка глаза [1, 12].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5" w:line="357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 Комментарии. </w:t>
      </w:r>
      <w:r>
        <w:rPr>
          <w:rFonts w:ascii="Times New Roman" w:eastAsia="Times New Roman" w:hAnsi="Times New Roman" w:cs="Times New Roman"/>
          <w:i/>
          <w:sz w:val="24"/>
        </w:rPr>
        <w:t>Бесконтактный метод,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превосходящий по разрешающей способности ультразвуковое сканирование переднего отдела глаза, позволяет оценить структуру, измерить и </w:t>
      </w:r>
      <w:r>
        <w:rPr>
          <w:rFonts w:ascii="Times New Roman" w:eastAsia="Times New Roman" w:hAnsi="Times New Roman" w:cs="Times New Roman"/>
          <w:i/>
          <w:sz w:val="24"/>
        </w:rPr>
        <w:t xml:space="preserve">зарегистрировать состояние слоев роговицы, радужки и параметры УПК. </w:t>
      </w:r>
      <w:r>
        <w:rPr>
          <w:rFonts w:ascii="Times New Roman" w:eastAsia="Times New Roman" w:hAnsi="Times New Roman" w:cs="Times New Roman"/>
          <w:b/>
          <w:sz w:val="24"/>
        </w:rPr>
        <w:t xml:space="preserve">• Рекомендуются </w:t>
      </w:r>
      <w:r>
        <w:rPr>
          <w:rFonts w:ascii="Times New Roman" w:eastAsia="Times New Roman" w:hAnsi="Times New Roman" w:cs="Times New Roman"/>
          <w:sz w:val="24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регистрация зрительных вызванных потенциалов коры головного мозга A05.26.002 и электроретинография (A05.26.001)</w:t>
      </w:r>
      <w:r>
        <w:rPr>
          <w:rFonts w:ascii="Times New Roman" w:eastAsia="Times New Roman" w:hAnsi="Times New Roman" w:cs="Times New Roman"/>
          <w:b/>
          <w:sz w:val="24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пациентам с вторичной глаукомой с целью объективной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оценки функциональных нарушений сетчатки, зрительного нерва и зрительных проводящих путей [1, 12].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5). Комментарии. </w:t>
      </w:r>
      <w:r>
        <w:rPr>
          <w:rFonts w:ascii="Times New Roman" w:eastAsia="Times New Roman" w:hAnsi="Times New Roman" w:cs="Times New Roman"/>
          <w:i/>
          <w:sz w:val="24"/>
        </w:rPr>
        <w:t>При некомпенсации ВГД прогрессирующее растяжение оболочек глаз</w:t>
      </w:r>
      <w:r>
        <w:rPr>
          <w:rFonts w:ascii="Times New Roman" w:eastAsia="Times New Roman" w:hAnsi="Times New Roman" w:cs="Times New Roman"/>
          <w:i/>
          <w:sz w:val="24"/>
        </w:rPr>
        <w:t xml:space="preserve">а обуславливает нарушение кровоснабжения, обменных и биохимических процессов в сетчатке и зрительном нерве. Это ведет сначала к компенсаторной активизации, а затем – к снижению биоэлектрической активности сетчатки, регистрируемой при электроретинографии. </w:t>
      </w:r>
    </w:p>
    <w:p w:rsidR="001C2479" w:rsidRDefault="00863A7D">
      <w:pPr>
        <w:spacing w:after="9" w:line="353" w:lineRule="auto"/>
        <w:ind w:left="346" w:right="224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Проведение электроретинографии до и после нормализации ВГД позволяет оценить состояние сетчатки и зрительного нерва, динамику изменений и прогнозировать конечные функциональные результаты. Регистрация супернормальной ЭРГ одновременно с высокими цифрами вну</w:t>
      </w:r>
      <w:r>
        <w:rPr>
          <w:rFonts w:ascii="Times New Roman" w:eastAsia="Times New Roman" w:hAnsi="Times New Roman" w:cs="Times New Roman"/>
          <w:i/>
          <w:sz w:val="24"/>
        </w:rPr>
        <w:t>триглазного давления свидетельствует о непродолжительном периоде гипертензии и благоприятном функциональном исходе. Высокие цифры ВГД с низкой амплитудой ЭРГ характерны для более выраженных патологических изменений в структуре сетчатки и более тяжелом функ</w:t>
      </w:r>
      <w:r>
        <w:rPr>
          <w:rFonts w:ascii="Times New Roman" w:eastAsia="Times New Roman" w:hAnsi="Times New Roman" w:cs="Times New Roman"/>
          <w:i/>
          <w:sz w:val="24"/>
        </w:rPr>
        <w:t>циональном прогнозе. После нормализации ВГД амплитуда ЭРГ в течение 3-6 месяцев снижается до величин, соответствующих стадии заболевания и сохранности нейроэпителия сетчатки. При стойкой нормализации ВГД ЭРГ имеет тенденцию к умеренному повышению амплитуды</w:t>
      </w:r>
      <w:r>
        <w:rPr>
          <w:rFonts w:ascii="Times New Roman" w:eastAsia="Times New Roman" w:hAnsi="Times New Roman" w:cs="Times New Roman"/>
          <w:i/>
          <w:sz w:val="24"/>
        </w:rPr>
        <w:t>.</w:t>
      </w:r>
      <w:r>
        <w:rPr>
          <w:rFonts w:ascii="Times New Roman" w:eastAsia="Times New Roman" w:hAnsi="Times New Roman" w:cs="Times New Roman"/>
          <w:i/>
          <w:sz w:val="34"/>
          <w:vertAlign w:val="subscript"/>
        </w:rPr>
        <w:t xml:space="preserve"> </w:t>
      </w:r>
    </w:p>
    <w:p w:rsidR="001C2479" w:rsidRDefault="00863A7D">
      <w:pPr>
        <w:spacing w:after="9" w:line="353" w:lineRule="auto"/>
        <w:ind w:left="346" w:right="219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Зрительные вызванные потенциалы уже в начальной стадии глаукомы меняют свои амплитудно – временные характеристики во всем диапазоне пространственных частот, что отражает состояние аксонов ганглиозных клеток сетчатки. По мере прогрессирования заболевания</w:t>
      </w:r>
      <w:r>
        <w:rPr>
          <w:rFonts w:ascii="Times New Roman" w:eastAsia="Times New Roman" w:hAnsi="Times New Roman" w:cs="Times New Roman"/>
          <w:i/>
          <w:sz w:val="24"/>
        </w:rPr>
        <w:t xml:space="preserve"> латентность увеличивается, а амплитуда снижается, и к абсолютной стадии глаукомы зрительные вызванные потенциалы не регистрируются. При стойкой компенсации внутриглазного давления происходит стабилизация, а затем частичное восстановление амплитудно-времен</w:t>
      </w:r>
      <w:r>
        <w:rPr>
          <w:rFonts w:ascii="Times New Roman" w:eastAsia="Times New Roman" w:hAnsi="Times New Roman" w:cs="Times New Roman"/>
          <w:i/>
          <w:sz w:val="24"/>
        </w:rPr>
        <w:t>ных характеристик ЗВП.</w:t>
      </w:r>
      <w:r>
        <w:rPr>
          <w:rFonts w:ascii="Times New Roman" w:eastAsia="Times New Roman" w:hAnsi="Times New Roman" w:cs="Times New Roman"/>
          <w:i/>
          <w:sz w:val="32"/>
          <w:vertAlign w:val="subscript"/>
        </w:rPr>
        <w:t xml:space="preserve"> </w:t>
      </w:r>
    </w:p>
    <w:p w:rsidR="001C2479" w:rsidRDefault="00863A7D">
      <w:pPr>
        <w:spacing w:after="9" w:line="353" w:lineRule="auto"/>
        <w:ind w:left="346" w:right="220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Особенно важными представляются данные ЭФИ при отсутствии возможности оценки остроты зрения из-за возраста ребенка и при помутнении оптических сред, когда нельзя визуализировать структуры заднего полюса. </w:t>
      </w:r>
    </w:p>
    <w:p w:rsidR="001C2479" w:rsidRDefault="00863A7D">
      <w:pPr>
        <w:spacing w:after="9" w:line="353" w:lineRule="auto"/>
        <w:ind w:left="346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оценке результатов ЭФИ </w:t>
      </w:r>
      <w:r>
        <w:rPr>
          <w:rFonts w:ascii="Times New Roman" w:eastAsia="Times New Roman" w:hAnsi="Times New Roman" w:cs="Times New Roman"/>
          <w:i/>
          <w:sz w:val="24"/>
        </w:rPr>
        <w:t xml:space="preserve">у пациентов с вторичной глаукомой следует учитывать возможные изменения показателей вследствие основного заболевания. </w:t>
      </w:r>
    </w:p>
    <w:p w:rsidR="001C2479" w:rsidRDefault="00863A7D">
      <w:pPr>
        <w:spacing w:after="5" w:line="357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• Рекомендуется ультразвуковое исследование глазного яблока всем пациентам с вторичной глаукомой и подозрением на данное заболевание с це</w:t>
      </w:r>
      <w:r>
        <w:rPr>
          <w:rFonts w:ascii="Times New Roman" w:eastAsia="Times New Roman" w:hAnsi="Times New Roman" w:cs="Times New Roman"/>
          <w:b/>
          <w:sz w:val="24"/>
        </w:rPr>
        <w:t xml:space="preserve">лью определения размеров и структурных изменений глазного яблока [12] (см. приложение Б). 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 Комментарии: </w:t>
      </w:r>
      <w:r>
        <w:rPr>
          <w:rFonts w:ascii="Times New Roman" w:eastAsia="Times New Roman" w:hAnsi="Times New Roman" w:cs="Times New Roman"/>
          <w:i/>
          <w:sz w:val="24"/>
        </w:rPr>
        <w:t>Ультразвуковая биометрия глаза (А-сканирование или эхобиометрия) позволя</w:t>
      </w:r>
      <w:r>
        <w:rPr>
          <w:rFonts w:ascii="Times New Roman" w:eastAsia="Times New Roman" w:hAnsi="Times New Roman" w:cs="Times New Roman"/>
          <w:i/>
          <w:sz w:val="24"/>
        </w:rPr>
        <w:t xml:space="preserve">ет определить передне-задний размер глазного яблока, глубину передней камеры, толщину хрусталика, что важно в комплексной оценке прогрессирования глаукомы и в ряде случаев определения патогенетических механизмов повышения ВГД.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Ультразвуковое исследование </w:t>
      </w:r>
      <w:r>
        <w:rPr>
          <w:rFonts w:ascii="Times New Roman" w:eastAsia="Times New Roman" w:hAnsi="Times New Roman" w:cs="Times New Roman"/>
          <w:i/>
          <w:sz w:val="24"/>
        </w:rPr>
        <w:t>глазного яблока позволяет оценить состояние внутренних структур глаза (положение оболочек, хрусталика, состояние стекловидного тела, и др.), что особенно актуально при непрозрачных преломляющих средах.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Ультразвуковое сканирование переднего отдела глаза п</w:t>
      </w:r>
      <w:r>
        <w:rPr>
          <w:rFonts w:ascii="Times New Roman" w:eastAsia="Times New Roman" w:hAnsi="Times New Roman" w:cs="Times New Roman"/>
          <w:i/>
          <w:sz w:val="24"/>
        </w:rPr>
        <w:t>роводится при необходимости получить детальное изображение структур переднего отрезка глаза (особенно важно при помутнении роговицы), УПК и задней камеры. При этом возможно измерить толщину склеры, роговицы, радужки, цилиарного тела, хрусталика, глубину пе</w:t>
      </w:r>
      <w:r>
        <w:rPr>
          <w:rFonts w:ascii="Times New Roman" w:eastAsia="Times New Roman" w:hAnsi="Times New Roman" w:cs="Times New Roman"/>
          <w:i/>
          <w:sz w:val="24"/>
        </w:rPr>
        <w:t>редней камеры, величину иридокорнеального угла (град.), определить наличие, структуру и размеры патологических образований переднего отрезка глаза и др.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При вторичной глаукоме у детей возможно изменение толщины и структуры роговицы, толщины, структуры и по</w:t>
      </w:r>
      <w:r>
        <w:rPr>
          <w:rFonts w:ascii="Times New Roman" w:eastAsia="Times New Roman" w:hAnsi="Times New Roman" w:cs="Times New Roman"/>
          <w:i/>
          <w:sz w:val="24"/>
        </w:rPr>
        <w:t>ложения радужки, размеров иридокорнеального угла, размеров и положения хрусталика, положения интраокулярной линзы, структуры, размеров и положения цилиарного тела и др. Анализ выявленных изменений позволяет уточнить причину развития и выработать оптимальну</w:t>
      </w:r>
      <w:r>
        <w:rPr>
          <w:rFonts w:ascii="Times New Roman" w:eastAsia="Times New Roman" w:hAnsi="Times New Roman" w:cs="Times New Roman"/>
          <w:i/>
          <w:sz w:val="24"/>
        </w:rPr>
        <w:t xml:space="preserve">ю тактику лечения вторичной глаукомы. </w:t>
      </w:r>
    </w:p>
    <w:p w:rsidR="001C2479" w:rsidRDefault="00863A7D">
      <w:pPr>
        <w:spacing w:after="285" w:line="353" w:lineRule="auto"/>
        <w:ind w:left="356" w:right="3880" w:hanging="10"/>
        <w:jc w:val="both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2.5. Иные диагностические методы исследования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При вторичной глаукоме у детей не применяются. </w:t>
      </w:r>
    </w:p>
    <w:p w:rsidR="001C2479" w:rsidRDefault="00863A7D">
      <w:pPr>
        <w:spacing w:after="0" w:line="356" w:lineRule="auto"/>
        <w:ind w:left="1443" w:hanging="920"/>
      </w:pPr>
      <w:r>
        <w:rPr>
          <w:rFonts w:ascii="Times New Roman" w:eastAsia="Times New Roman" w:hAnsi="Times New Roman" w:cs="Times New Roman"/>
          <w:b/>
          <w:sz w:val="28"/>
        </w:rPr>
        <w:t xml:space="preserve">3. 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Лечение детей с вторичной глаукомой проводится с помощью гипотензивных медикаментозных преп</w:t>
      </w:r>
      <w:r>
        <w:rPr>
          <w:rFonts w:ascii="Times New Roman" w:eastAsia="Times New Roman" w:hAnsi="Times New Roman" w:cs="Times New Roman"/>
          <w:sz w:val="24"/>
        </w:rPr>
        <w:t xml:space="preserve">аратов, лазерными и хирургическими методами. </w:t>
      </w:r>
    </w:p>
    <w:p w:rsidR="001C2479" w:rsidRDefault="00863A7D">
      <w:pPr>
        <w:pStyle w:val="Heading1"/>
        <w:ind w:left="356" w:right="354"/>
      </w:pPr>
      <w:r>
        <w:t>3.1 Медикаментозное гипотензивное лечение</w:t>
      </w:r>
      <w:r>
        <w:rPr>
          <w:u w:val="none"/>
        </w:rPr>
        <w:t xml:space="preserve"> </w:t>
      </w:r>
    </w:p>
    <w:p w:rsidR="001C2479" w:rsidRDefault="00863A7D">
      <w:pPr>
        <w:spacing w:after="5" w:line="357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• Рекомендуется назначение противоглаукомных препаратов и миотических средств всем пациентам с вторичной глаукомой с целью достижения целевого ВГД и предотвращения про</w:t>
      </w:r>
      <w:r>
        <w:rPr>
          <w:rFonts w:ascii="Times New Roman" w:eastAsia="Times New Roman" w:hAnsi="Times New Roman" w:cs="Times New Roman"/>
          <w:b/>
          <w:sz w:val="24"/>
        </w:rPr>
        <w:t xml:space="preserve">грессирования ГОН </w:t>
      </w:r>
      <w:r>
        <w:rPr>
          <w:rFonts w:ascii="Times New Roman" w:eastAsia="Times New Roman" w:hAnsi="Times New Roman" w:cs="Times New Roman"/>
          <w:sz w:val="24"/>
        </w:rPr>
        <w:t xml:space="preserve">[12] </w:t>
      </w:r>
      <w:r>
        <w:rPr>
          <w:rFonts w:ascii="Times New Roman" w:eastAsia="Times New Roman" w:hAnsi="Times New Roman" w:cs="Times New Roman"/>
          <w:b/>
          <w:sz w:val="24"/>
        </w:rPr>
        <w:t>(см. приложение Б).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121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– С (уровень достоверности доказательств – </w:t>
      </w:r>
    </w:p>
    <w:p w:rsidR="001C2479" w:rsidRDefault="00863A7D">
      <w:pPr>
        <w:spacing w:after="112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5).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Комментарии.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В настоящее время в России имеется широкий спектр противоглаукомных препаратов. Механизм, эффективность и возможные побочные эффекты их действия представлены в таблице 6. </w:t>
      </w:r>
    </w:p>
    <w:p w:rsidR="001C2479" w:rsidRDefault="00863A7D">
      <w:pPr>
        <w:spacing w:after="118"/>
        <w:ind w:left="10" w:right="351" w:hanging="10"/>
        <w:jc w:val="right"/>
      </w:pPr>
      <w:r>
        <w:rPr>
          <w:rFonts w:ascii="Times New Roman" w:eastAsia="Times New Roman" w:hAnsi="Times New Roman" w:cs="Times New Roman"/>
          <w:i/>
          <w:sz w:val="24"/>
        </w:rPr>
        <w:t xml:space="preserve">Таблица 6. </w:t>
      </w:r>
    </w:p>
    <w:p w:rsidR="001C2479" w:rsidRDefault="00863A7D">
      <w:pPr>
        <w:spacing w:after="0"/>
        <w:ind w:left="2768" w:hanging="10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Медикаментозные средства для лечения глаукомы </w:t>
      </w:r>
    </w:p>
    <w:tbl>
      <w:tblPr>
        <w:tblStyle w:val="TableGrid"/>
        <w:tblW w:w="10034" w:type="dxa"/>
        <w:tblInd w:w="252" w:type="dxa"/>
        <w:tblCellMar>
          <w:top w:w="7" w:type="dxa"/>
          <w:left w:w="106" w:type="dxa"/>
          <w:bottom w:w="0" w:type="dxa"/>
          <w:right w:w="62" w:type="dxa"/>
        </w:tblCellMar>
        <w:tblLook w:val="04A0" w:firstRow="1" w:lastRow="0" w:firstColumn="1" w:lastColumn="0" w:noHBand="0" w:noVBand="1"/>
      </w:tblPr>
      <w:tblGrid>
        <w:gridCol w:w="1556"/>
        <w:gridCol w:w="3942"/>
        <w:gridCol w:w="1699"/>
        <w:gridCol w:w="2837"/>
      </w:tblGrid>
      <w:tr w:rsidR="001C2479">
        <w:trPr>
          <w:trHeight w:val="958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Группа препаратов </w:t>
            </w:r>
          </w:p>
        </w:tc>
        <w:tc>
          <w:tcPr>
            <w:tcW w:w="3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  <w:ind w:right="48"/>
              <w:jc w:val="center"/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Механизм действия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Ожидаемый гипотензивный эффект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  <w:ind w:right="45"/>
              <w:jc w:val="center"/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Побочные эффекты </w:t>
            </w:r>
          </w:p>
        </w:tc>
      </w:tr>
      <w:tr w:rsidR="001C2479">
        <w:trPr>
          <w:trHeight w:val="1908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 w:line="241" w:lineRule="auto"/>
              <w:ind w:left="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Бетаадреноблока торы </w:t>
            </w:r>
          </w:p>
          <w:p w:rsidR="001C2479" w:rsidRDefault="00863A7D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(S01ED) </w:t>
            </w:r>
          </w:p>
        </w:tc>
        <w:tc>
          <w:tcPr>
            <w:tcW w:w="3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60" w:line="240" w:lineRule="auto"/>
              <w:ind w:left="2" w:right="4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Снижение продукции внутриглазной жидкости: </w:t>
            </w:r>
          </w:p>
          <w:p w:rsidR="001C2479" w:rsidRDefault="00863A7D">
            <w:pPr>
              <w:numPr>
                <w:ilvl w:val="0"/>
                <w:numId w:val="23"/>
              </w:numPr>
              <w:spacing w:after="60" w:line="241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угнетение функции ресничного эпителия; </w:t>
            </w:r>
          </w:p>
          <w:p w:rsidR="001C2479" w:rsidRDefault="00863A7D">
            <w:pPr>
              <w:numPr>
                <w:ilvl w:val="0"/>
                <w:numId w:val="23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сужение передних цилиарных артерий.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20 – 25% от исходного уровня ВГД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Апноэ, бронхопазм, брадикардия </w:t>
            </w:r>
          </w:p>
        </w:tc>
      </w:tr>
      <w:tr w:rsidR="001C2479">
        <w:trPr>
          <w:trHeight w:val="4054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Ингибиторы карбоангидр азы</w:t>
            </w:r>
            <w:r>
              <w:rPr>
                <w:rFonts w:ascii="Arial" w:eastAsia="Arial" w:hAnsi="Arial" w:cs="Arial"/>
                <w:sz w:val="20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S01EC) </w:t>
            </w:r>
          </w:p>
        </w:tc>
        <w:tc>
          <w:tcPr>
            <w:tcW w:w="3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56" w:line="242" w:lineRule="auto"/>
              <w:ind w:left="2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Снижение продукции водянистой влаги: </w:t>
            </w:r>
          </w:p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Торможение образования ионов бикарбоната с последующим снижением транспорта Na и жидкости.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63" w:line="239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&gt;25% от исходного уровня ВГД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(эффектив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ность системного применения выше)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" w:right="88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При системном применении – метаболический ацидоз, парестезии, диарея, анорексия, подавление роста, уролитиаз. При местном применении раздражение и воспалительные реакции переднего отрезка глазного яблока, головная боль, к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ожные реакции </w:t>
            </w:r>
          </w:p>
        </w:tc>
      </w:tr>
      <w:tr w:rsidR="001C2479">
        <w:trPr>
          <w:trHeight w:val="1510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 w:line="240" w:lineRule="auto"/>
              <w:ind w:left="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Аналоги простагландинов </w:t>
            </w:r>
          </w:p>
          <w:p w:rsidR="001C2479" w:rsidRDefault="00863A7D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(S01EE) </w:t>
            </w:r>
          </w:p>
        </w:tc>
        <w:tc>
          <w:tcPr>
            <w:tcW w:w="3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Улучшение оттока водянистой влаги по увеосклеральному пути.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25–35% от исходного уровня ВГД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Гиперемия, раздражение </w:t>
            </w:r>
          </w:p>
          <w:p w:rsidR="001C2479" w:rsidRDefault="00863A7D">
            <w:pPr>
              <w:spacing w:after="0"/>
              <w:ind w:left="2" w:right="137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глаз, утолщение и удлинение ресниц, потемнение радужки, увеит, макулярный отек </w:t>
            </w:r>
          </w:p>
        </w:tc>
      </w:tr>
      <w:tr w:rsidR="001C2479">
        <w:trPr>
          <w:trHeight w:val="1294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38" w:line="239" w:lineRule="auto"/>
              <w:ind w:left="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Миотики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(парасимпа томиметик</w:t>
            </w:r>
          </w:p>
          <w:p w:rsidR="001C2479" w:rsidRDefault="00863A7D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и) S01EB  </w:t>
            </w:r>
          </w:p>
        </w:tc>
        <w:tc>
          <w:tcPr>
            <w:tcW w:w="3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Улучшение оттока водянистой влаги через трабекулярную сеть: сокращение сфинктера зрачка и цилиарной мышцы способствует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17–20% от исходного уровня ВГД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Спазм аккомодации, гиперемия конъюнктивы, головные боли </w:t>
            </w:r>
          </w:p>
        </w:tc>
      </w:tr>
      <w:tr w:rsidR="001C2479">
        <w:trPr>
          <w:trHeight w:val="622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1C2479"/>
        </w:tc>
        <w:tc>
          <w:tcPr>
            <w:tcW w:w="3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" w:right="51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открытию шлеммова канала и трабекулярной сети.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1C2479"/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1C2479"/>
        </w:tc>
      </w:tr>
      <w:tr w:rsidR="001C2479">
        <w:trPr>
          <w:trHeight w:val="2062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3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α2-адреномиметики (Симпатоми метики для лечения глаукомы) (S01EA) </w:t>
            </w:r>
          </w:p>
        </w:tc>
        <w:tc>
          <w:tcPr>
            <w:tcW w:w="3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56" w:line="242" w:lineRule="auto"/>
              <w:ind w:left="2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Снижение продукции водянистой влаги. </w:t>
            </w:r>
          </w:p>
          <w:p w:rsidR="001C2479" w:rsidRDefault="00863A7D">
            <w:pPr>
              <w:spacing w:after="0"/>
              <w:ind w:left="2"/>
              <w:jc w:val="both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Улучшение оттока водянистой влаги по увеосклеральному пути.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20% от исходного уровня ВГД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раздражение глаза, катаракта, сонливость (у детей до 2 лет), тахиаритмия, апноэ повышение АД </w:t>
            </w:r>
          </w:p>
        </w:tc>
      </w:tr>
    </w:tbl>
    <w:p w:rsidR="001C2479" w:rsidRDefault="00863A7D">
      <w:pPr>
        <w:spacing w:after="115"/>
        <w:ind w:left="1212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9" w:line="353" w:lineRule="auto"/>
        <w:ind w:left="346" w:right="357" w:firstLine="852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Однако в настоящее время детям до одного года разрешена только часть гипотензивных препаратов. Основные зарегистрированные лекарственные средства и их возрастные ограничения представлены в таблице 7. </w:t>
      </w:r>
    </w:p>
    <w:p w:rsidR="001C2479" w:rsidRDefault="00863A7D">
      <w:pPr>
        <w:spacing w:after="118"/>
        <w:ind w:left="10" w:right="351" w:hanging="10"/>
        <w:jc w:val="right"/>
      </w:pPr>
      <w:r>
        <w:rPr>
          <w:rFonts w:ascii="Times New Roman" w:eastAsia="Times New Roman" w:hAnsi="Times New Roman" w:cs="Times New Roman"/>
          <w:i/>
          <w:sz w:val="24"/>
        </w:rPr>
        <w:t xml:space="preserve">Таблица 7. </w:t>
      </w:r>
    </w:p>
    <w:p w:rsidR="001C2479" w:rsidRDefault="00863A7D">
      <w:pPr>
        <w:spacing w:after="0" w:line="239" w:lineRule="auto"/>
        <w:ind w:left="60" w:right="9"/>
        <w:jc w:val="center"/>
      </w:pPr>
      <w:r>
        <w:rPr>
          <w:rFonts w:ascii="Times New Roman" w:eastAsia="Times New Roman" w:hAnsi="Times New Roman" w:cs="Times New Roman"/>
          <w:b/>
          <w:i/>
          <w:sz w:val="24"/>
        </w:rPr>
        <w:t>Возрастные ограничения к назначению наиболе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е распространенных в Российской Федерации гипотензивных препаратов </w:t>
      </w:r>
    </w:p>
    <w:p w:rsidR="001C2479" w:rsidRDefault="00863A7D">
      <w:pPr>
        <w:spacing w:after="0"/>
        <w:ind w:left="51"/>
        <w:jc w:val="center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tbl>
      <w:tblPr>
        <w:tblStyle w:val="TableGrid"/>
        <w:tblW w:w="10209" w:type="dxa"/>
        <w:tblInd w:w="106" w:type="dxa"/>
        <w:tblCellMar>
          <w:top w:w="0" w:type="dxa"/>
          <w:left w:w="10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975"/>
        <w:gridCol w:w="7235"/>
      </w:tblGrid>
      <w:tr w:rsidR="001C2479">
        <w:trPr>
          <w:trHeight w:val="286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МНН </w:t>
            </w:r>
          </w:p>
        </w:tc>
        <w:tc>
          <w:tcPr>
            <w:tcW w:w="7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Минимальный возраст </w:t>
            </w:r>
          </w:p>
        </w:tc>
      </w:tr>
      <w:tr w:rsidR="001C2479">
        <w:trPr>
          <w:trHeight w:val="4911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Тимолол* </w:t>
            </w:r>
          </w:p>
        </w:tc>
        <w:tc>
          <w:tcPr>
            <w:tcW w:w="7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 рождения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</w:tr>
      <w:tr w:rsidR="001C2479">
        <w:trPr>
          <w:trHeight w:val="2290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Дорзоламид**  </w:t>
            </w:r>
          </w:p>
        </w:tc>
        <w:tc>
          <w:tcPr>
            <w:tcW w:w="7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 1 недели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</w:tr>
      <w:tr w:rsidR="001C2479">
        <w:trPr>
          <w:trHeight w:val="2288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Латанопрост  </w:t>
            </w:r>
          </w:p>
        </w:tc>
        <w:tc>
          <w:tcPr>
            <w:tcW w:w="7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 1 года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</w:tr>
      <w:tr w:rsidR="001C2479">
        <w:trPr>
          <w:trHeight w:val="1717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Бримонидин </w:t>
            </w:r>
          </w:p>
        </w:tc>
        <w:tc>
          <w:tcPr>
            <w:tcW w:w="7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 2 лет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</w:tr>
      <w:tr w:rsidR="001C2479">
        <w:trPr>
          <w:trHeight w:val="545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Пилокарпин** </w:t>
            </w:r>
          </w:p>
        </w:tc>
        <w:tc>
          <w:tcPr>
            <w:tcW w:w="7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Не указан </w:t>
            </w:r>
          </w:p>
        </w:tc>
      </w:tr>
    </w:tbl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1C2479" w:rsidRDefault="00863A7D">
      <w:pPr>
        <w:spacing w:after="9" w:line="353" w:lineRule="auto"/>
        <w:ind w:left="346" w:right="357" w:firstLine="852"/>
        <w:jc w:val="both"/>
      </w:pPr>
      <w:r>
        <w:rPr>
          <w:rFonts w:ascii="Times New Roman" w:eastAsia="Times New Roman" w:hAnsi="Times New Roman" w:cs="Times New Roman"/>
          <w:i/>
          <w:sz w:val="24"/>
        </w:rPr>
        <w:t>Комбинированные противоглаукомные средства не разрешены в детском возрасте и применяются по строгим показаниям.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1C2479" w:rsidRDefault="00863A7D">
      <w:pPr>
        <w:spacing w:after="9" w:line="353" w:lineRule="auto"/>
        <w:ind w:left="346" w:right="357" w:firstLine="852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Гипотензивная терапия назначается сразу после выявления повышенного ВГД. При выборе препаратов необходимо учитывать их эффективность, возраст </w:t>
      </w:r>
      <w:r>
        <w:rPr>
          <w:rFonts w:ascii="Times New Roman" w:eastAsia="Times New Roman" w:hAnsi="Times New Roman" w:cs="Times New Roman"/>
          <w:i/>
          <w:sz w:val="24"/>
        </w:rPr>
        <w:t xml:space="preserve">ребенка, возможные побочные эффекты, потенциальную стоимость, доступность и предпочтения пациента (родителей пациента).  </w:t>
      </w:r>
    </w:p>
    <w:p w:rsidR="001C2479" w:rsidRDefault="00863A7D">
      <w:pPr>
        <w:spacing w:after="121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Необходимо стремиться к снижению ВГД до уровня «целевого» (табл.2). </w:t>
      </w:r>
    </w:p>
    <w:p w:rsidR="001C2479" w:rsidRDefault="00863A7D">
      <w:pPr>
        <w:spacing w:after="112"/>
        <w:ind w:left="356" w:hanging="10"/>
      </w:pPr>
      <w:r>
        <w:rPr>
          <w:rFonts w:ascii="Times New Roman" w:eastAsia="Times New Roman" w:hAnsi="Times New Roman" w:cs="Times New Roman"/>
          <w:b/>
          <w:i/>
          <w:sz w:val="24"/>
        </w:rPr>
        <w:t>Основные принципы гипотензивной терапии: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numPr>
          <w:ilvl w:val="0"/>
          <w:numId w:val="11"/>
        </w:numPr>
        <w:spacing w:after="9" w:line="353" w:lineRule="auto"/>
        <w:ind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Лечение начинать с монотерапии. Препаратами первого выбора в зависимости от клинической ситуации являются ингибиторы карбоангидразы, β-адреноблокаторы или аналоги простагландина. У пациентов с постувеальной глаукомой противопоказано применение миотиков, а </w:t>
      </w:r>
      <w:r>
        <w:rPr>
          <w:rFonts w:ascii="Times New Roman" w:eastAsia="Times New Roman" w:hAnsi="Times New Roman" w:cs="Times New Roman"/>
          <w:i/>
          <w:sz w:val="24"/>
        </w:rPr>
        <w:t>аналоги простагландина назначаются только при неактивном воспалении.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numPr>
          <w:ilvl w:val="0"/>
          <w:numId w:val="11"/>
        </w:numPr>
        <w:spacing w:after="9" w:line="353" w:lineRule="auto"/>
        <w:ind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Если препарат первой линии не эффективен, необходимо заменить его на препарат из другой фармакологической группы.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numPr>
          <w:ilvl w:val="0"/>
          <w:numId w:val="11"/>
        </w:numPr>
        <w:spacing w:after="9" w:line="353" w:lineRule="auto"/>
        <w:ind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недостаточности монотерапии следует назначить комбинацию препаратов</w:t>
      </w:r>
      <w:r>
        <w:rPr>
          <w:rFonts w:ascii="Times New Roman" w:eastAsia="Times New Roman" w:hAnsi="Times New Roman" w:cs="Times New Roman"/>
          <w:i/>
          <w:sz w:val="24"/>
        </w:rPr>
        <w:t xml:space="preserve"> или комбинированные препараты.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numPr>
          <w:ilvl w:val="0"/>
          <w:numId w:val="11"/>
        </w:numPr>
        <w:spacing w:after="9" w:line="353" w:lineRule="auto"/>
        <w:ind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 процессе лечения необходимо тщательно контролировать общий и локальный статус ребенка для раннего выявления возможных побочных эффектов терапии.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112"/>
        <w:ind w:left="356" w:hanging="10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Показатели эффективности: </w:t>
      </w:r>
    </w:p>
    <w:p w:rsidR="001C2479" w:rsidRDefault="00863A7D">
      <w:pPr>
        <w:numPr>
          <w:ilvl w:val="0"/>
          <w:numId w:val="12"/>
        </w:numPr>
        <w:spacing w:after="127"/>
        <w:ind w:right="357" w:hanging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Удержание ВГД в пределах оптимального (целевого)</w:t>
      </w:r>
      <w:r>
        <w:rPr>
          <w:rFonts w:ascii="Times New Roman" w:eastAsia="Times New Roman" w:hAnsi="Times New Roman" w:cs="Times New Roman"/>
          <w:i/>
          <w:sz w:val="24"/>
        </w:rPr>
        <w:t xml:space="preserve"> уровня. </w:t>
      </w:r>
    </w:p>
    <w:p w:rsidR="001C2479" w:rsidRDefault="00863A7D">
      <w:pPr>
        <w:numPr>
          <w:ilvl w:val="0"/>
          <w:numId w:val="12"/>
        </w:numPr>
        <w:spacing w:after="124"/>
        <w:ind w:right="357" w:hanging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Отсутствие ускользания эффекта в течение длительного периода. </w:t>
      </w:r>
    </w:p>
    <w:p w:rsidR="001C2479" w:rsidRDefault="00863A7D">
      <w:pPr>
        <w:numPr>
          <w:ilvl w:val="0"/>
          <w:numId w:val="12"/>
        </w:numPr>
        <w:spacing w:after="9"/>
        <w:ind w:right="357" w:hanging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Минимальное системное воздействие, минимум побочных эффектов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Местные гипотензивные препараты применяют как самостоятельный вид терапии, а </w:t>
      </w:r>
      <w:r>
        <w:rPr>
          <w:rFonts w:ascii="Times New Roman" w:eastAsia="Times New Roman" w:hAnsi="Times New Roman" w:cs="Times New Roman"/>
          <w:i/>
          <w:sz w:val="24"/>
        </w:rPr>
        <w:t xml:space="preserve">также в период подготовки ребенка к операции и в ряде случаев при недостаточном гипотензивном эффекте вмешательства.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Как самостоятельный вид лечения гипотензивная терапия применяется преимущественно в случаях открытоугольной и смешанной (с наличием гониос</w:t>
      </w:r>
      <w:r>
        <w:rPr>
          <w:rFonts w:ascii="Times New Roman" w:eastAsia="Times New Roman" w:hAnsi="Times New Roman" w:cs="Times New Roman"/>
          <w:i/>
          <w:sz w:val="24"/>
        </w:rPr>
        <w:t xml:space="preserve">инехий) формах глаукомы, при этом в сроки более 5 лет нормализовать ВГД удается в 30 - 50% случаев [24].  </w:t>
      </w:r>
    </w:p>
    <w:p w:rsidR="001C2479" w:rsidRDefault="00863A7D">
      <w:pPr>
        <w:spacing w:after="159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3.2 Медикаментозное нейротрофическое лечение </w:t>
      </w:r>
    </w:p>
    <w:p w:rsidR="001C2479" w:rsidRDefault="00863A7D">
      <w:pPr>
        <w:spacing w:after="5" w:line="357" w:lineRule="auto"/>
        <w:ind w:left="346" w:right="354" w:firstLine="358"/>
        <w:jc w:val="both"/>
      </w:pPr>
      <w:r>
        <w:rPr>
          <w:rFonts w:ascii="Segoe UI Symbol" w:eastAsia="Segoe UI Symbol" w:hAnsi="Segoe UI Symbol" w:cs="Segoe UI Symbol"/>
          <w:sz w:val="24"/>
        </w:rPr>
        <w:t>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 xml:space="preserve">Рекомендуется медикаментозное нейротрофическое лечение детям с вторичной </w:t>
      </w:r>
      <w:r>
        <w:rPr>
          <w:rFonts w:ascii="Times New Roman" w:eastAsia="Times New Roman" w:hAnsi="Times New Roman" w:cs="Times New Roman"/>
          <w:b/>
          <w:sz w:val="24"/>
        </w:rPr>
        <w:t>глаукомой с целью сохранения и стимуляции зрительных функций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[12] (см. приложение Б).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9" w:line="353" w:lineRule="auto"/>
        <w:ind w:left="356" w:right="225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убедительности рекомендаций С (уровень достоверности доказательств – 5). Комментарии.</w:t>
      </w:r>
      <w:r>
        <w:rPr>
          <w:rFonts w:ascii="Times New Roman" w:eastAsia="Times New Roman" w:hAnsi="Times New Roman" w:cs="Times New Roman"/>
          <w:sz w:val="24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Ишемия зрительного нерва, а также растяжение оболочек и компрессионное давл</w:t>
      </w:r>
      <w:r>
        <w:rPr>
          <w:rFonts w:ascii="Times New Roman" w:eastAsia="Times New Roman" w:hAnsi="Times New Roman" w:cs="Times New Roman"/>
          <w:i/>
          <w:sz w:val="24"/>
        </w:rPr>
        <w:t xml:space="preserve">ение на сетчатку и хориоидею при глаукоме приводит к апоптозу нейрональных элементов зрительной системы.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Для нейротрофического лечения применяют препараты, влияющие на периферическое кровообращение и улучшающие микроциркуляцию: другие психостимуляторы и н</w:t>
      </w:r>
      <w:r>
        <w:rPr>
          <w:rFonts w:ascii="Times New Roman" w:eastAsia="Times New Roman" w:hAnsi="Times New Roman" w:cs="Times New Roman"/>
          <w:i/>
          <w:sz w:val="24"/>
        </w:rPr>
        <w:t>оотропные препараты (N06BX), прочие препараты для лечения заболеваний нервной системы (N07XX), ангиопротекторы (C05), дротаверин** (A03AD02), папаверин (A03AD01) поливитамины,в комбинации с другими средствами (A11A). Терапию следует проводить регулярно 2 р</w:t>
      </w:r>
      <w:r>
        <w:rPr>
          <w:rFonts w:ascii="Times New Roman" w:eastAsia="Times New Roman" w:hAnsi="Times New Roman" w:cs="Times New Roman"/>
          <w:i/>
          <w:sz w:val="24"/>
        </w:rPr>
        <w:t xml:space="preserve">аза в год. </w:t>
      </w:r>
    </w:p>
    <w:p w:rsidR="001C2479" w:rsidRDefault="00863A7D">
      <w:pPr>
        <w:pStyle w:val="Heading1"/>
        <w:spacing w:after="19"/>
        <w:ind w:left="356" w:right="354"/>
      </w:pPr>
      <w:r>
        <w:t xml:space="preserve">3.3 </w:t>
      </w:r>
      <w:r>
        <w:t>Хирургическое лечение</w:t>
      </w:r>
      <w:r>
        <w:rPr>
          <w:i/>
          <w:sz w:val="32"/>
          <w:u w:val="none"/>
        </w:rPr>
        <w:t xml:space="preserve"> </w:t>
      </w:r>
    </w:p>
    <w:p w:rsidR="001C2479" w:rsidRDefault="00863A7D">
      <w:pPr>
        <w:spacing w:after="27" w:line="357" w:lineRule="auto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• Рекомендуется хирургическое и / или лазерное лечение детям с вторичной глаукомой с целью достижения целевого ВГД и предотвращения прогрессирования </w:t>
      </w:r>
    </w:p>
    <w:p w:rsidR="001C2479" w:rsidRDefault="00863A7D">
      <w:pPr>
        <w:spacing w:after="121"/>
        <w:ind w:left="361"/>
      </w:pPr>
      <w:r>
        <w:rPr>
          <w:rFonts w:ascii="Times New Roman" w:eastAsia="Times New Roman" w:hAnsi="Times New Roman" w:cs="Times New Roman"/>
          <w:b/>
          <w:sz w:val="24"/>
        </w:rPr>
        <w:t>ГОН [1, 4, 5, 6, 8, 11, 12, 26-61] (см. приложение Б).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Уровень убе</w:t>
      </w:r>
      <w:r>
        <w:rPr>
          <w:rFonts w:ascii="Times New Roman" w:eastAsia="Times New Roman" w:hAnsi="Times New Roman" w:cs="Times New Roman"/>
          <w:b/>
          <w:sz w:val="24"/>
        </w:rPr>
        <w:t xml:space="preserve">дительности рекомендаций В (уровень достоверности доказательств – 4). Комментарии. </w:t>
      </w:r>
      <w:r>
        <w:rPr>
          <w:rFonts w:ascii="Times New Roman" w:eastAsia="Times New Roman" w:hAnsi="Times New Roman" w:cs="Times New Roman"/>
          <w:i/>
          <w:sz w:val="24"/>
        </w:rPr>
        <w:t xml:space="preserve">Хирургическое лечение показано в случаях медикаментозной некомпенсации глаукомы у пациентов с открытоугольной и смешанной (с наличием гониосинехий) формах глаукомы, а также </w:t>
      </w:r>
      <w:r>
        <w:rPr>
          <w:rFonts w:ascii="Times New Roman" w:eastAsia="Times New Roman" w:hAnsi="Times New Roman" w:cs="Times New Roman"/>
          <w:i/>
          <w:sz w:val="24"/>
        </w:rPr>
        <w:t xml:space="preserve">при глаукоме зрачкового блока, факогенной, злокачественной глаукоме, в ряде случаев при глаукоме на фоне рефрактерной гифемы или гемофтальма [21]. 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Методы хирургического лечения вторичной глаукомы у детей предусматривают 3 направления: </w:t>
      </w:r>
    </w:p>
    <w:p w:rsidR="001C2479" w:rsidRDefault="00863A7D">
      <w:pPr>
        <w:numPr>
          <w:ilvl w:val="0"/>
          <w:numId w:val="13"/>
        </w:numPr>
        <w:spacing w:after="117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восстановление пут</w:t>
      </w:r>
      <w:r>
        <w:rPr>
          <w:rFonts w:ascii="Times New Roman" w:eastAsia="Times New Roman" w:hAnsi="Times New Roman" w:cs="Times New Roman"/>
          <w:i/>
          <w:sz w:val="24"/>
        </w:rPr>
        <w:t xml:space="preserve">ей оттока ВГЖ; </w:t>
      </w:r>
    </w:p>
    <w:p w:rsidR="001C2479" w:rsidRDefault="00863A7D">
      <w:pPr>
        <w:numPr>
          <w:ilvl w:val="0"/>
          <w:numId w:val="13"/>
        </w:numPr>
        <w:spacing w:after="9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сокращение продукции водянистой влаги; </w:t>
      </w:r>
    </w:p>
    <w:p w:rsidR="001C2479" w:rsidRDefault="00863A7D">
      <w:pPr>
        <w:numPr>
          <w:ilvl w:val="0"/>
          <w:numId w:val="13"/>
        </w:numPr>
        <w:spacing w:after="9" w:line="353" w:lineRule="auto"/>
        <w:ind w:right="357" w:hanging="139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оптико-реконструктивные вмешательства для восстановление нормальной внутриглазной циркуляции ВГЖ </w:t>
      </w:r>
    </w:p>
    <w:p w:rsidR="001C2479" w:rsidRDefault="00863A7D">
      <w:pPr>
        <w:spacing w:after="114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Выбор хирургического вмешательства определяется:  </w:t>
      </w:r>
    </w:p>
    <w:p w:rsidR="001C2479" w:rsidRDefault="00863A7D">
      <w:pPr>
        <w:numPr>
          <w:ilvl w:val="0"/>
          <w:numId w:val="14"/>
        </w:numPr>
        <w:spacing w:after="122"/>
        <w:ind w:right="357" w:hanging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уровнем исходного и «целевого» ВГД; </w:t>
      </w:r>
    </w:p>
    <w:p w:rsidR="001C2479" w:rsidRDefault="00863A7D">
      <w:pPr>
        <w:numPr>
          <w:ilvl w:val="0"/>
          <w:numId w:val="14"/>
        </w:numPr>
        <w:spacing w:after="119"/>
        <w:ind w:right="357" w:hanging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характером ретенции оттоку (этиопатогенетической формой глаукомы); </w:t>
      </w:r>
    </w:p>
    <w:p w:rsidR="001C2479" w:rsidRDefault="00863A7D">
      <w:pPr>
        <w:numPr>
          <w:ilvl w:val="0"/>
          <w:numId w:val="14"/>
        </w:numPr>
        <w:spacing w:after="9" w:line="353" w:lineRule="auto"/>
        <w:ind w:right="357" w:hanging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данными анамнеза о предшествующих лазерных и / или хирургических вмешательствах и их эффективности; </w:t>
      </w:r>
    </w:p>
    <w:p w:rsidR="001C2479" w:rsidRDefault="00863A7D">
      <w:pPr>
        <w:numPr>
          <w:ilvl w:val="0"/>
          <w:numId w:val="14"/>
        </w:numPr>
        <w:spacing w:after="121"/>
        <w:ind w:right="357" w:hanging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техническими возможностями, опытом и предпочтениями хирурга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Гониотомия. A16.26.067. </w:t>
      </w:r>
      <w:r>
        <w:rPr>
          <w:rFonts w:ascii="Times New Roman" w:eastAsia="Times New Roman" w:hAnsi="Times New Roman" w:cs="Times New Roman"/>
          <w:i/>
          <w:sz w:val="24"/>
        </w:rPr>
        <w:t>По данным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ряда исследований эффективна при увеальной и афакической глаукоме [1, 11, 27, 31, 32, 39, 42, 43, 45, 50, 56, 61].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Этапы хирургического лечения включают парацентез роговицы, введение в камеру вискоэластика. Далее с помощью введенного в переднюю</w:t>
      </w:r>
      <w:r>
        <w:rPr>
          <w:rFonts w:ascii="Times New Roman" w:eastAsia="Times New Roman" w:hAnsi="Times New Roman" w:cs="Times New Roman"/>
          <w:i/>
          <w:sz w:val="24"/>
        </w:rPr>
        <w:t xml:space="preserve"> камеру гониотомического ножа производится разрушение ткани, закрывающей трабекулу и самой трабекулы с противоположной стороны камеры на 100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>0</w:t>
      </w:r>
      <w:r>
        <w:rPr>
          <w:rFonts w:ascii="Times New Roman" w:eastAsia="Times New Roman" w:hAnsi="Times New Roman" w:cs="Times New Roman"/>
          <w:i/>
          <w:sz w:val="24"/>
        </w:rPr>
        <w:t xml:space="preserve"> – 110</w:t>
      </w:r>
      <w:r>
        <w:rPr>
          <w:rFonts w:ascii="Times New Roman" w:eastAsia="Times New Roman" w:hAnsi="Times New Roman" w:cs="Times New Roman"/>
          <w:i/>
          <w:sz w:val="24"/>
          <w:vertAlign w:val="superscript"/>
        </w:rPr>
        <w:t xml:space="preserve">0 </w:t>
      </w:r>
      <w:r>
        <w:rPr>
          <w:rFonts w:ascii="Times New Roman" w:eastAsia="Times New Roman" w:hAnsi="Times New Roman" w:cs="Times New Roman"/>
          <w:i/>
          <w:sz w:val="24"/>
        </w:rPr>
        <w:t>(в пределах визуализации гониолинзой). После успешной манипуляции ВГЖ дренируется в Шлеммов канал. В случая</w:t>
      </w:r>
      <w:r>
        <w:rPr>
          <w:rFonts w:ascii="Times New Roman" w:eastAsia="Times New Roman" w:hAnsi="Times New Roman" w:cs="Times New Roman"/>
          <w:i/>
          <w:sz w:val="24"/>
        </w:rPr>
        <w:t xml:space="preserve">х неудачи манипуляции можно повторять. Возможные осложнения операции включают гифему, циклодиализ, иридодиализ, периферические передние синехии, а также катаракту. 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Трабекулотомия. A16.26.069 </w:t>
      </w:r>
      <w:r>
        <w:rPr>
          <w:rFonts w:ascii="Times New Roman" w:eastAsia="Times New Roman" w:hAnsi="Times New Roman" w:cs="Times New Roman"/>
          <w:i/>
          <w:sz w:val="24"/>
        </w:rPr>
        <w:t>Операцию можно применять для лечения различных типов вторичной гл</w:t>
      </w:r>
      <w:r>
        <w:rPr>
          <w:rFonts w:ascii="Times New Roman" w:eastAsia="Times New Roman" w:hAnsi="Times New Roman" w:cs="Times New Roman"/>
          <w:i/>
          <w:sz w:val="24"/>
        </w:rPr>
        <w:t xml:space="preserve">аукомы у детей – афакической, постувеальной и др. [1, 11, 12, 32, 43, 45, 56, 57, 60].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Возможно выполнение трабекулотомии с использованием металлических зондов - трабекулотомов и с помощью нити или микрокатетера с освещенным атравматическим наконечником п</w:t>
      </w:r>
      <w:r>
        <w:rPr>
          <w:rFonts w:ascii="Times New Roman" w:eastAsia="Times New Roman" w:hAnsi="Times New Roman" w:cs="Times New Roman"/>
          <w:i/>
          <w:sz w:val="24"/>
        </w:rPr>
        <w:t xml:space="preserve">о окружности 360 градусов.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Стандартная трабекулотомия. После разреза конъюнктивы выкраивают склеральный лоскут на половину толщины склеры. Локализуют Шлеммов канал, вскрывают его радиально, а во входное отверстие вводят рабочий зонд трабекулотома наскольк</w:t>
      </w:r>
      <w:r>
        <w:rPr>
          <w:rFonts w:ascii="Times New Roman" w:eastAsia="Times New Roman" w:hAnsi="Times New Roman" w:cs="Times New Roman"/>
          <w:i/>
          <w:sz w:val="24"/>
        </w:rPr>
        <w:t xml:space="preserve">о позволяет кривизна зонда, и, проворачивая его вращательным движением в сторону передней камеры, извлекают по принципу «разрушая-уходи».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Трабекулотомия с использованием нити по окружности 360 градусов.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В ходе операции используется полипропиленовая нить 6/0 с оплавленным с помощью термокаутера закругленным концом. Нить в просвете Шлеммового канала медленно продвигают анатомическим пинцетом, а для контроля ее положения используют гониолинзу. После ее прове</w:t>
      </w:r>
      <w:r>
        <w:rPr>
          <w:rFonts w:ascii="Times New Roman" w:eastAsia="Times New Roman" w:hAnsi="Times New Roman" w:cs="Times New Roman"/>
          <w:i/>
          <w:sz w:val="24"/>
        </w:rPr>
        <w:t>дения проксимальный и дистальный концы выводят через разрез склеры и натягивают в противоположных направлениях иглодержателями, производя таким образом трабекулотомию на 360 градусов. Вместо полипропиленовой шовной нити в Шлеммов канал также можно ввести м</w:t>
      </w:r>
      <w:r>
        <w:rPr>
          <w:rFonts w:ascii="Times New Roman" w:eastAsia="Times New Roman" w:hAnsi="Times New Roman" w:cs="Times New Roman"/>
          <w:i/>
          <w:sz w:val="24"/>
        </w:rPr>
        <w:t xml:space="preserve">икрокатетер с подсвеченным концом, для лучшей визуализации катетера по мере его продвижения в канале.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Возможные осложнения трабекулотомии включают гифему, серозную или геморрагическую ЦХО, иридодиализ, циклодиализ, отслойку десцеметовой оболочки, отрыв ци</w:t>
      </w:r>
      <w:r>
        <w:rPr>
          <w:rFonts w:ascii="Times New Roman" w:eastAsia="Times New Roman" w:hAnsi="Times New Roman" w:cs="Times New Roman"/>
          <w:i/>
          <w:sz w:val="24"/>
        </w:rPr>
        <w:t xml:space="preserve">нновых связок.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Синустрабекулоэктомия (трабекулоэктомия) A16.26.070 </w:t>
      </w:r>
      <w:r>
        <w:rPr>
          <w:rFonts w:ascii="Times New Roman" w:eastAsia="Times New Roman" w:hAnsi="Times New Roman" w:cs="Times New Roman"/>
          <w:i/>
          <w:sz w:val="24"/>
        </w:rPr>
        <w:t xml:space="preserve">– фистулизирующая операция, часто проводимая в качестве первичной операции при глаукоме различной этиологии у детей [1, 4, 5, 8, 10, 11, 12, 32, 34, 38, 40, 45, 47, 52, 56]. Цель операции </w:t>
      </w:r>
      <w:r>
        <w:rPr>
          <w:rFonts w:ascii="Times New Roman" w:eastAsia="Times New Roman" w:hAnsi="Times New Roman" w:cs="Times New Roman"/>
          <w:i/>
          <w:sz w:val="24"/>
        </w:rPr>
        <w:t xml:space="preserve">– создание обходного пути для оттока ВГЖ путем формирования роговично-склеральной фистулы.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Методика выполнения оперативного вмешательства. Разрез конъюнктивы выполняют в 6 мм от лимба, далее конъюнктиву отсепаровывают тупым путем максимально кпереди. При </w:t>
      </w:r>
      <w:r>
        <w:rPr>
          <w:rFonts w:ascii="Times New Roman" w:eastAsia="Times New Roman" w:hAnsi="Times New Roman" w:cs="Times New Roman"/>
          <w:i/>
          <w:sz w:val="24"/>
        </w:rPr>
        <w:t>первичной операции разрез локализуется в верхнем отделе с 11 до 1 часа. Формируют склеральный лоскут, чаще П-образной формы, размерами 4 мм по лимбу и 3 мм от лимба толщиной от 1/2 до 2/3 склеры. Далее лезвием делают боковые радиальный разрезы в области тр</w:t>
      </w:r>
      <w:r>
        <w:rPr>
          <w:rFonts w:ascii="Times New Roman" w:eastAsia="Times New Roman" w:hAnsi="Times New Roman" w:cs="Times New Roman"/>
          <w:i/>
          <w:sz w:val="24"/>
        </w:rPr>
        <w:t>абекулярной зоны до входа в переднюю камеру и ножницами Vannas соединяют эти разрезы, выкраивая прямоугольный участок трабекулярной ткани. После формирования фистулы радужка может вставиться в нее, что облегчает выполнение иридэктомии. Ее захватывают пинце</w:t>
      </w:r>
      <w:r>
        <w:rPr>
          <w:rFonts w:ascii="Times New Roman" w:eastAsia="Times New Roman" w:hAnsi="Times New Roman" w:cs="Times New Roman"/>
          <w:i/>
          <w:sz w:val="24"/>
        </w:rPr>
        <w:t>том и иссекают в зоне над фистулой. Возможно выполнение ириденклейзиса (А16.26.061), при этом радужку у корня не иссекают, а формируют из нее клапан основанием к лимбу, который выводят под склеральный лоскут. Затем склеральный лоскут фиксируют на своем лож</w:t>
      </w:r>
      <w:r>
        <w:rPr>
          <w:rFonts w:ascii="Times New Roman" w:eastAsia="Times New Roman" w:hAnsi="Times New Roman" w:cs="Times New Roman"/>
          <w:i/>
          <w:sz w:val="24"/>
        </w:rPr>
        <w:t xml:space="preserve">е узловыми швами и накладывают шов на конъюнктиву.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Причиной неудач, особенно в отдаленный период, является послеоперационный эписклеральный фиброз зоны фильтрации, особенно выраженный в детском возрасте. Интраоперационное применение антиметаболитов #фтору</w:t>
      </w:r>
      <w:r>
        <w:rPr>
          <w:rFonts w:ascii="Times New Roman" w:eastAsia="Times New Roman" w:hAnsi="Times New Roman" w:cs="Times New Roman"/>
          <w:i/>
          <w:sz w:val="24"/>
        </w:rPr>
        <w:t xml:space="preserve">рацил**, #митомицин** значительно улучшает отдаленное результаты трабекулоэктомии, однако чревато серьезными осложнениями – истончением фильтрационной подушки, стойкой чрезмерной гипотонией, блебитом и эндофтальмитом.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Возможные осложнения операции включа</w:t>
      </w:r>
      <w:r>
        <w:rPr>
          <w:rFonts w:ascii="Times New Roman" w:eastAsia="Times New Roman" w:hAnsi="Times New Roman" w:cs="Times New Roman"/>
          <w:i/>
          <w:sz w:val="24"/>
        </w:rPr>
        <w:t xml:space="preserve">ют гипотонию, синдром мелкой передней камеры, гифему, ЦХО, макулярный отек, формирование передних и / или задних синехий, инкапсуляцию фильтрационной подушки, чрезвычайно редко – отслойку сетчатки и эндофтальмит.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>Непроникающая глубокая склерэктомия (A16.2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6.117, A16.26.117.001) – </w:t>
      </w:r>
      <w:r>
        <w:rPr>
          <w:rFonts w:ascii="Times New Roman" w:eastAsia="Times New Roman" w:hAnsi="Times New Roman" w:cs="Times New Roman"/>
          <w:i/>
          <w:sz w:val="24"/>
        </w:rPr>
        <w:t>это один из вариантов трабекулэктомии, при котором под поверхностным лоскутом удаляется внутренняя стенка Шлеммова канала и узкая полоска периферической части роговицы до десцеметовой мембраны, то есть передняя камера не вскрываетс</w:t>
      </w:r>
      <w:r>
        <w:rPr>
          <w:rFonts w:ascii="Times New Roman" w:eastAsia="Times New Roman" w:hAnsi="Times New Roman" w:cs="Times New Roman"/>
          <w:i/>
          <w:sz w:val="24"/>
        </w:rPr>
        <w:t xml:space="preserve">я, а фильтрация ВГЖ осуществляется через трабекуло-десцеметову мембрану [1, 12, 35, 40]. Преимуществом операции является редкое развитие таких интраоперационных осложнений как гифема, ЦХО, экспульсивное кровоизлияние, а также меньший риск послеоперационой </w:t>
      </w:r>
      <w:r>
        <w:rPr>
          <w:rFonts w:ascii="Times New Roman" w:eastAsia="Times New Roman" w:hAnsi="Times New Roman" w:cs="Times New Roman"/>
          <w:i/>
          <w:sz w:val="24"/>
        </w:rPr>
        <w:t>гипотонии и связанных с ней осложнений (макулярный отек, ЦХО, хориоидальные геморрагии, прогрессирование катаракты), недостатком – плохая фильтрация через трабекулодесцеметову мембрану при наличии гониосинехий в зоне вмешательства, например, при постувеаль</w:t>
      </w:r>
      <w:r>
        <w:rPr>
          <w:rFonts w:ascii="Times New Roman" w:eastAsia="Times New Roman" w:hAnsi="Times New Roman" w:cs="Times New Roman"/>
          <w:i/>
          <w:sz w:val="24"/>
        </w:rPr>
        <w:t xml:space="preserve">ной глаукоме. </w:t>
      </w:r>
    </w:p>
    <w:p w:rsidR="001C2479" w:rsidRDefault="00863A7D">
      <w:pPr>
        <w:spacing w:after="1" w:line="358" w:lineRule="auto"/>
        <w:ind w:left="356" w:hanging="10"/>
      </w:pPr>
      <w:r>
        <w:rPr>
          <w:rFonts w:ascii="Times New Roman" w:eastAsia="Times New Roman" w:hAnsi="Times New Roman" w:cs="Times New Roman"/>
          <w:i/>
          <w:sz w:val="24"/>
        </w:rPr>
        <w:t>Преимуществом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комбинации трабекулотомии с трабекулоэктомией </w:t>
      </w:r>
      <w:r>
        <w:rPr>
          <w:rFonts w:ascii="Times New Roman" w:eastAsia="Times New Roman" w:hAnsi="Times New Roman" w:cs="Times New Roman"/>
          <w:i/>
          <w:sz w:val="24"/>
        </w:rPr>
        <w:t xml:space="preserve">два отдельных механизма </w: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увеличения </w: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оттока </w: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ВГЖ </w: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- </w: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через </w: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трабекулярную </w: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сеть </w:t>
      </w:r>
      <w:r>
        <w:rPr>
          <w:rFonts w:ascii="Times New Roman" w:eastAsia="Times New Roman" w:hAnsi="Times New Roman" w:cs="Times New Roman"/>
          <w:i/>
          <w:sz w:val="24"/>
        </w:rPr>
        <w:tab/>
        <w:t xml:space="preserve">и </w:t>
      </w:r>
      <w:r>
        <w:rPr>
          <w:rFonts w:ascii="Times New Roman" w:eastAsia="Times New Roman" w:hAnsi="Times New Roman" w:cs="Times New Roman"/>
          <w:i/>
          <w:sz w:val="24"/>
        </w:rPr>
        <w:tab/>
        <w:t>через трабекулэктомическую фистулу. Однако избыточной фильтрации и гипотонии не наблюдается, а ВГ</w:t>
      </w:r>
      <w:r>
        <w:rPr>
          <w:rFonts w:ascii="Times New Roman" w:eastAsia="Times New Roman" w:hAnsi="Times New Roman" w:cs="Times New Roman"/>
          <w:i/>
          <w:sz w:val="24"/>
        </w:rPr>
        <w:t xml:space="preserve">Д может оставаться нормальным, даже если один из путей перестал функционировать [1]. </w:t>
      </w:r>
    </w:p>
    <w:p w:rsidR="001C2479" w:rsidRDefault="00863A7D">
      <w:pPr>
        <w:spacing w:after="1" w:line="358" w:lineRule="auto"/>
        <w:ind w:left="356" w:hanging="10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Имплантация дренажа антиглаукоматозного A16.26.130 </w:t>
      </w:r>
      <w:r>
        <w:rPr>
          <w:rFonts w:ascii="Times New Roman" w:eastAsia="Times New Roman" w:hAnsi="Times New Roman" w:cs="Times New Roman"/>
          <w:i/>
          <w:sz w:val="24"/>
        </w:rPr>
        <w:t xml:space="preserve">показана при рефрактерной глаукоме (при неэффективности других вмешательств), при глаукоме на фоне афакии, авитрии и в </w:t>
      </w:r>
      <w:r>
        <w:rPr>
          <w:rFonts w:ascii="Times New Roman" w:eastAsia="Times New Roman" w:hAnsi="Times New Roman" w:cs="Times New Roman"/>
          <w:i/>
          <w:sz w:val="24"/>
        </w:rPr>
        <w:t>других ситуациях, когда неконтролируемая гипотония в раннем послеоперационном периоде чревата ЦХО и прочими осложнениями. Дренажная хирургия также может быть операцией выбора в случаях, когда фильтрующие операции заведомо неэффективны - при выраженных изме</w:t>
      </w:r>
      <w:r>
        <w:rPr>
          <w:rFonts w:ascii="Times New Roman" w:eastAsia="Times New Roman" w:hAnsi="Times New Roman" w:cs="Times New Roman"/>
          <w:i/>
          <w:sz w:val="24"/>
        </w:rPr>
        <w:t xml:space="preserve">нениях переднего сегмента глаза, заращениии угла передней камеры [1, 4, 8, 10, 11, 12, 31, 32, 33, 36, 44, 45, 48, 50, 55, 56, 58, 59].  </w:t>
      </w:r>
    </w:p>
    <w:p w:rsidR="001C2479" w:rsidRDefault="00863A7D">
      <w:pPr>
        <w:spacing w:after="113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Варианты антиглаукомных дренажных устройств: </w:t>
      </w:r>
    </w:p>
    <w:p w:rsidR="001C2479" w:rsidRDefault="00863A7D">
      <w:pPr>
        <w:numPr>
          <w:ilvl w:val="0"/>
          <w:numId w:val="15"/>
        </w:numPr>
        <w:spacing w:after="1" w:line="358" w:lineRule="auto"/>
        <w:ind w:right="179" w:hanging="10"/>
      </w:pPr>
      <w:r>
        <w:rPr>
          <w:rFonts w:ascii="Times New Roman" w:eastAsia="Times New Roman" w:hAnsi="Times New Roman" w:cs="Times New Roman"/>
          <w:i/>
          <w:sz w:val="24"/>
        </w:rPr>
        <w:t>трубчатые дренажные системы, осуществляющие отток жидкости из передней к</w:t>
      </w:r>
      <w:r>
        <w:rPr>
          <w:rFonts w:ascii="Times New Roman" w:eastAsia="Times New Roman" w:hAnsi="Times New Roman" w:cs="Times New Roman"/>
          <w:i/>
          <w:sz w:val="24"/>
        </w:rPr>
        <w:t>амеры (325010 – Шунт для лечения глаукомы***)), которые подразделяются на бесклапанные (одноплаcтинчатые и двухпластинчатные дренажи) и клапанные. Преимуществом клапанных дренажей является ограничение потока жидкости с помощью однонаправленного клапана, чт</w:t>
      </w:r>
      <w:r>
        <w:rPr>
          <w:rFonts w:ascii="Times New Roman" w:eastAsia="Times New Roman" w:hAnsi="Times New Roman" w:cs="Times New Roman"/>
          <w:i/>
          <w:sz w:val="24"/>
        </w:rPr>
        <w:t xml:space="preserve">о снижает риск послеоперационной гипотонии.  </w:t>
      </w:r>
    </w:p>
    <w:p w:rsidR="001C2479" w:rsidRDefault="00863A7D">
      <w:pPr>
        <w:numPr>
          <w:ilvl w:val="0"/>
          <w:numId w:val="15"/>
        </w:numPr>
        <w:spacing w:after="9" w:line="353" w:lineRule="auto"/>
        <w:ind w:right="179" w:hanging="10"/>
      </w:pPr>
      <w:r>
        <w:rPr>
          <w:rFonts w:ascii="Times New Roman" w:eastAsia="Times New Roman" w:hAnsi="Times New Roman" w:cs="Times New Roman"/>
          <w:i/>
          <w:sz w:val="24"/>
        </w:rPr>
        <w:t xml:space="preserve">дренажи, препятствующие избыточному рубцеванию (склеро-склеральному и склеро-конъюнктивальному) и пролонгирующие пассивный ток жидкости из передней камеры (дренаж коллагеновый антиглаукоматозный).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Техника опер</w:t>
      </w:r>
      <w:r>
        <w:rPr>
          <w:rFonts w:ascii="Times New Roman" w:eastAsia="Times New Roman" w:hAnsi="Times New Roman" w:cs="Times New Roman"/>
          <w:i/>
          <w:sz w:val="24"/>
        </w:rPr>
        <w:t>ации имплантации трубчатой дренажной системы не отличается от таковой у взрослых, однако должна выполняться с учетом анатомических особенностей детского глаза, особенно при увеличении его размеров вследствие глаукомы. Формируют лоскут конъюнктивы, основани</w:t>
      </w:r>
      <w:r>
        <w:rPr>
          <w:rFonts w:ascii="Times New Roman" w:eastAsia="Times New Roman" w:hAnsi="Times New Roman" w:cs="Times New Roman"/>
          <w:i/>
          <w:sz w:val="24"/>
        </w:rPr>
        <w:t>ем к своду в выбранном квадранте, конъюнктиву отсепаровывают тупым путем до склеры. Платформу клапана помещают в выбранный квадрант и фиксируют к склере нерассасывающимся шовным материалом 7-0 или 9-0 далее 8 мм от лимба, с целью уменьшить фибропластически</w:t>
      </w:r>
      <w:r>
        <w:rPr>
          <w:rFonts w:ascii="Times New Roman" w:eastAsia="Times New Roman" w:hAnsi="Times New Roman" w:cs="Times New Roman"/>
          <w:i/>
          <w:sz w:val="24"/>
        </w:rPr>
        <w:t>е реакции, источником которых являются клетки теноновой капсулы. При небольшой орбите ребенка для облегчения фиксации платформы в соответствующем положении имплантата показано выполнение кантотомии. Расположение трубки в витреальной полости возможно только</w:t>
      </w:r>
      <w:r>
        <w:rPr>
          <w:rFonts w:ascii="Times New Roman" w:eastAsia="Times New Roman" w:hAnsi="Times New Roman" w:cs="Times New Roman"/>
          <w:i/>
          <w:sz w:val="24"/>
        </w:rPr>
        <w:t xml:space="preserve"> после проведения субтотальной витрэктомии, так как остатки стекловидного тела могут притягиваться к раструбу трубки и блокировать его.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Для профилактики эрозии через конъюнктиву экстраокулярную часть трубки покрывают консервированной склерой, роговицей ил</w:t>
      </w:r>
      <w:r>
        <w:rPr>
          <w:rFonts w:ascii="Times New Roman" w:eastAsia="Times New Roman" w:hAnsi="Times New Roman" w:cs="Times New Roman"/>
          <w:i/>
          <w:sz w:val="24"/>
        </w:rPr>
        <w:t xml:space="preserve">и перикардом.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Возможные осложнения операции включают переднее смещение трубки с контактом ее с роговицей, ретракцию трубки, ретракцию радужки к трубке, приводящую к изменению формы зрачка, эрозию конъюнктивы с прорезыванием трубки, нарушение подвижности </w:t>
      </w:r>
      <w:r>
        <w:rPr>
          <w:rFonts w:ascii="Times New Roman" w:eastAsia="Times New Roman" w:hAnsi="Times New Roman" w:cs="Times New Roman"/>
          <w:i/>
          <w:sz w:val="24"/>
        </w:rPr>
        <w:t>глазного яблока, диплопию и ограничение взора, обструкцию дренажной трубки кровью, фибрином, капсулой хрусталика или стекловидным телом, гифему, ЦХО, инкапсуляцию фильтрационной подушки, чрезвычайно редко – отслойку сетчатки и эндофтальмит. При инкапсуляци</w:t>
      </w:r>
      <w:r>
        <w:rPr>
          <w:rFonts w:ascii="Times New Roman" w:eastAsia="Times New Roman" w:hAnsi="Times New Roman" w:cs="Times New Roman"/>
          <w:i/>
          <w:sz w:val="24"/>
        </w:rPr>
        <w:t>и или рубцевании фильтрационной подушки после фистулизирующих операций или имплантации антиглаукоматозного дренажа возможно проведение ревизии (нидлинга) фильтрационной подушки (</w:t>
      </w:r>
      <w:r>
        <w:rPr>
          <w:rFonts w:ascii="Times New Roman" w:eastAsia="Times New Roman" w:hAnsi="Times New Roman" w:cs="Times New Roman"/>
          <w:b/>
          <w:i/>
          <w:sz w:val="24"/>
        </w:rPr>
        <w:t>A16.26.120.001, A16.26.120.002</w:t>
      </w:r>
      <w:r>
        <w:rPr>
          <w:rFonts w:ascii="Times New Roman" w:eastAsia="Times New Roman" w:hAnsi="Times New Roman" w:cs="Times New Roman"/>
          <w:i/>
          <w:sz w:val="24"/>
        </w:rPr>
        <w:t xml:space="preserve">).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b/>
          <w:i/>
          <w:sz w:val="24"/>
        </w:rPr>
        <w:t xml:space="preserve">Циклодеструктивные операции </w:t>
      </w:r>
      <w:r>
        <w:rPr>
          <w:rFonts w:ascii="Times New Roman" w:eastAsia="Times New Roman" w:hAnsi="Times New Roman" w:cs="Times New Roman"/>
          <w:i/>
          <w:sz w:val="24"/>
        </w:rPr>
        <w:t>направлены на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ра</w:t>
      </w:r>
      <w:r>
        <w:rPr>
          <w:rFonts w:ascii="Times New Roman" w:eastAsia="Times New Roman" w:hAnsi="Times New Roman" w:cs="Times New Roman"/>
          <w:i/>
          <w:sz w:val="24"/>
        </w:rPr>
        <w:t>зрушение и атрофию цилиарного тела [1, 11, 12, 26, 30, 38, 41, 45, 56].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В настоящее время наиболее часто применяется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лазерная циклокоагуляция, </w:t>
      </w:r>
      <w:r>
        <w:rPr>
          <w:rFonts w:ascii="Times New Roman" w:eastAsia="Times New Roman" w:hAnsi="Times New Roman" w:cs="Times New Roman"/>
          <w:i/>
          <w:sz w:val="24"/>
        </w:rPr>
        <w:t>для проведения которой предложено несколько доступов (транссклеральный, транспупиллярный, внутриглазной) и нескол</w:t>
      </w:r>
      <w:r>
        <w:rPr>
          <w:rFonts w:ascii="Times New Roman" w:eastAsia="Times New Roman" w:hAnsi="Times New Roman" w:cs="Times New Roman"/>
          <w:i/>
          <w:sz w:val="24"/>
        </w:rPr>
        <w:t>ько типов лазеров – Nd:YAG лазер, диодный полупроводниковый лазер. Диодный лазер (длина волны 809 нм) обладает потенциальным преимуществом, по сравнению с YAG лазером из-за большего поглощения меланином пигментного эпителия цилиарного тела при хорошей сохр</w:t>
      </w:r>
      <w:r>
        <w:rPr>
          <w:rFonts w:ascii="Times New Roman" w:eastAsia="Times New Roman" w:hAnsi="Times New Roman" w:cs="Times New Roman"/>
          <w:i/>
          <w:sz w:val="24"/>
        </w:rPr>
        <w:t xml:space="preserve">анности других структур, через которые проходит лазерный луч. Соответственно, для достижения гистологических изменений в цилиарном теле требуется меньше энергии. Наиболее часто проводится контактная диодная </w:t>
      </w:r>
      <w:r>
        <w:rPr>
          <w:rFonts w:ascii="Times New Roman" w:eastAsia="Times New Roman" w:hAnsi="Times New Roman" w:cs="Times New Roman"/>
          <w:b/>
          <w:i/>
          <w:sz w:val="24"/>
        </w:rPr>
        <w:t>лазерная транссклеральная циклокоагуляция A22.26.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018. 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Операцию, как правило, выполняют при тяжелых рефрактерных глаукомах, когда ангулярная, фистулизирующая и дренажная хирургия не дали эффекта или хирургия невыполнима из-</w:t>
      </w:r>
      <w:r>
        <w:rPr>
          <w:rFonts w:ascii="Times New Roman" w:eastAsia="Times New Roman" w:hAnsi="Times New Roman" w:cs="Times New Roman"/>
          <w:i/>
          <w:sz w:val="24"/>
        </w:rPr>
        <w:t xml:space="preserve">за рубцовых изменений конъюнктивы, а также на глазах низким функциональным прогнозом. 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Энергия воздействия и число наносимых коагулятов варьируют в зависимости от исходного уровня ВГД и степени пигментации радужки (как косвенного показателя пигментации ци</w:t>
      </w:r>
      <w:r>
        <w:rPr>
          <w:rFonts w:ascii="Times New Roman" w:eastAsia="Times New Roman" w:hAnsi="Times New Roman" w:cs="Times New Roman"/>
          <w:i/>
          <w:sz w:val="24"/>
        </w:rPr>
        <w:t>лиарных отростков). Всего производится 15–20 аппликаций в 1,5 мм от лимба при перпендикулярном расположении зонда с легким поддавливанием по кругу, избегая верхних отделов. Мощность и экспозиция для диодного лазера соответственно составляют 0,5–1,0 вт и 0,</w:t>
      </w:r>
      <w:r>
        <w:rPr>
          <w:rFonts w:ascii="Times New Roman" w:eastAsia="Times New Roman" w:hAnsi="Times New Roman" w:cs="Times New Roman"/>
          <w:i/>
          <w:sz w:val="24"/>
        </w:rPr>
        <w:t xml:space="preserve">5–2 с, начиная с минимальных значений и постепенно повышая дозу излучения. При появлении акустического хлопка в момент коагуляции (pop-corn – эффект) необходимо уменьшить мощность для минимизации риска чрезмерной травматизации цилиарного тела.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Возможные о</w:t>
      </w:r>
      <w:r>
        <w:rPr>
          <w:rFonts w:ascii="Times New Roman" w:eastAsia="Times New Roman" w:hAnsi="Times New Roman" w:cs="Times New Roman"/>
          <w:i/>
          <w:sz w:val="24"/>
        </w:rPr>
        <w:t>сложнения операции включают иридоциклит, гифему, гемофтальм, эрозию роговицы, деформацию зрачка, гипотонию, вплоть до субатрофии глазного яблока. Вместе с тем аккуратное дозирование параметров лазерного излучения позволяет свести число таких осложнений к м</w:t>
      </w:r>
      <w:r>
        <w:rPr>
          <w:rFonts w:ascii="Times New Roman" w:eastAsia="Times New Roman" w:hAnsi="Times New Roman" w:cs="Times New Roman"/>
          <w:i/>
          <w:sz w:val="24"/>
        </w:rPr>
        <w:t xml:space="preserve">инимуму.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Менее травматичным и более безопасным методом является </w:t>
      </w:r>
      <w:r>
        <w:rPr>
          <w:rFonts w:ascii="Times New Roman" w:eastAsia="Times New Roman" w:hAnsi="Times New Roman" w:cs="Times New Roman"/>
          <w:b/>
          <w:i/>
          <w:sz w:val="24"/>
        </w:rPr>
        <w:t>микроимпульсная лазерная транссклеральная циклокоагуляция,</w:t>
      </w:r>
      <w:r>
        <w:rPr>
          <w:rFonts w:ascii="Times New Roman" w:eastAsia="Times New Roman" w:hAnsi="Times New Roman" w:cs="Times New Roman"/>
          <w:i/>
          <w:sz w:val="24"/>
        </w:rPr>
        <w:t xml:space="preserve"> которая, в отличие от непрерывноволновой циклокоагуляции, имеет два цикла: «включения» и «выключения». Во время цикла «выключения» у</w:t>
      </w:r>
      <w:r>
        <w:rPr>
          <w:rFonts w:ascii="Times New Roman" w:eastAsia="Times New Roman" w:hAnsi="Times New Roman" w:cs="Times New Roman"/>
          <w:i/>
          <w:sz w:val="24"/>
        </w:rPr>
        <w:t>частки цилиарного тела, которые были подвержены тепловому воздействию, охлаждаются, что позволяет защитить их от чрезмерного термического повреждения. Гипотензивный эффект достигается за счет щадящего термического повреждения цилиарного тела и снижения сек</w:t>
      </w:r>
      <w:r>
        <w:rPr>
          <w:rFonts w:ascii="Times New Roman" w:eastAsia="Times New Roman" w:hAnsi="Times New Roman" w:cs="Times New Roman"/>
          <w:i/>
          <w:sz w:val="24"/>
        </w:rPr>
        <w:t>реции ВГЖ, усиления увеосклерального оттока. Метод позволяет избежать чрезмерного необратимого повреждения цилиарного тела и, помимо показаний к стандартной диод-лазерной циклокоагуляции, может быть использован как первичное вмешательство у детей с высоким</w:t>
      </w:r>
      <w:r>
        <w:rPr>
          <w:rFonts w:ascii="Times New Roman" w:eastAsia="Times New Roman" w:hAnsi="Times New Roman" w:cs="Times New Roman"/>
          <w:i/>
          <w:sz w:val="24"/>
        </w:rPr>
        <w:t xml:space="preserve">и зрительными функциями или при ранней некомпенсации ВГД после ангулярных, фистулизирующих или дренажных операций [12, 37, 54]. 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Послеоперационное рубцевание заканчивается через 2–3 недели, при показаниях повторные вмешательства можно проводить с интервал</w:t>
      </w:r>
      <w:r>
        <w:rPr>
          <w:rFonts w:ascii="Times New Roman" w:eastAsia="Times New Roman" w:hAnsi="Times New Roman" w:cs="Times New Roman"/>
          <w:i/>
          <w:sz w:val="24"/>
        </w:rPr>
        <w:t xml:space="preserve">ом не менее 1 месяца.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факогенной глаукоме первым этапом показано удаление смещенного, набухшего или поврежденного хрусталика </w:t>
      </w:r>
      <w:r>
        <w:rPr>
          <w:rFonts w:ascii="Times New Roman" w:eastAsia="Times New Roman" w:hAnsi="Times New Roman" w:cs="Times New Roman"/>
          <w:b/>
          <w:i/>
          <w:sz w:val="24"/>
        </w:rPr>
        <w:t>(A16.26.092.002 Удаление вывихнутого хрусталика, A16.26.092.004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</w:rPr>
        <w:t>Удаление хрусталиковых масс, A16.26.092.005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</w:rPr>
        <w:t>Ленсэктомия).</w:t>
      </w:r>
      <w:r>
        <w:rPr>
          <w:rFonts w:ascii="Times New Roman" w:eastAsia="Times New Roman" w:hAnsi="Times New Roman" w:cs="Times New Roman"/>
          <w:i/>
          <w:sz w:val="24"/>
        </w:rPr>
        <w:t xml:space="preserve"> В ряде случаев операция позволяет добиться компенсации ВГД. При некомпенсации глаукомы следует выполнить одну из антиглаукоматозных операций (в зависимости от клинической ситуации – фистулизизирующая, имплантация антиглаукоматозного дренажа, циклодеструкт</w:t>
      </w:r>
      <w:r>
        <w:rPr>
          <w:rFonts w:ascii="Times New Roman" w:eastAsia="Times New Roman" w:hAnsi="Times New Roman" w:cs="Times New Roman"/>
          <w:i/>
          <w:sz w:val="24"/>
        </w:rPr>
        <w:t xml:space="preserve">ивная).  </w:t>
      </w:r>
    </w:p>
    <w:p w:rsidR="001C2479" w:rsidRDefault="00863A7D">
      <w:pPr>
        <w:spacing w:after="287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При глаукоме, обусловленной зрачковым блоком, проводится срочная лазерная </w:t>
      </w:r>
      <w:r>
        <w:rPr>
          <w:rFonts w:ascii="Times New Roman" w:eastAsia="Times New Roman" w:hAnsi="Times New Roman" w:cs="Times New Roman"/>
          <w:b/>
          <w:i/>
          <w:sz w:val="24"/>
        </w:rPr>
        <w:t>(A22.26.005)</w:t>
      </w:r>
      <w:r>
        <w:rPr>
          <w:rFonts w:ascii="Times New Roman" w:eastAsia="Times New Roman" w:hAnsi="Times New Roman" w:cs="Times New Roman"/>
          <w:i/>
          <w:sz w:val="24"/>
        </w:rPr>
        <w:t xml:space="preserve"> или хирургическая </w:t>
      </w:r>
      <w:r>
        <w:rPr>
          <w:rFonts w:ascii="Times New Roman" w:eastAsia="Times New Roman" w:hAnsi="Times New Roman" w:cs="Times New Roman"/>
          <w:b/>
          <w:i/>
          <w:sz w:val="24"/>
        </w:rPr>
        <w:t>(А16.26.060)</w:t>
      </w:r>
      <w:r>
        <w:rPr>
          <w:rFonts w:ascii="Times New Roman" w:eastAsia="Times New Roman" w:hAnsi="Times New Roman" w:cs="Times New Roman"/>
          <w:i/>
          <w:sz w:val="24"/>
        </w:rPr>
        <w:t xml:space="preserve"> иридэктомия [1, 4, 5, 12, 28, 29, 53], которая при наличии периферических передних или задних синехий может быть дополнена лазер</w:t>
      </w:r>
      <w:r>
        <w:rPr>
          <w:rFonts w:ascii="Times New Roman" w:eastAsia="Times New Roman" w:hAnsi="Times New Roman" w:cs="Times New Roman"/>
          <w:i/>
          <w:sz w:val="24"/>
        </w:rPr>
        <w:t>ным синехиолизисом (А22.26.020) в случае хирургического вмешательства – реконструкцией угла передней камеры (А16.26.146). При злокачественной глаукоме в артифакичных или афакичных глазах выполняется срочная лазерная гиалоидотомия, в факичных - A16.26.092.0</w:t>
      </w:r>
      <w:r>
        <w:rPr>
          <w:rFonts w:ascii="Times New Roman" w:eastAsia="Times New Roman" w:hAnsi="Times New Roman" w:cs="Times New Roman"/>
          <w:i/>
          <w:sz w:val="24"/>
        </w:rPr>
        <w:t xml:space="preserve">05 Ленсэктомия или витрэктомия передняя A16.26.089.001через плоскую часть цилиарного тела в сочетании с гиалоидотомией и иридэктомией. </w:t>
      </w:r>
    </w:p>
    <w:p w:rsidR="001C2479" w:rsidRDefault="00863A7D">
      <w:pPr>
        <w:spacing w:after="0" w:line="356" w:lineRule="auto"/>
        <w:ind w:left="459" w:firstLine="550"/>
      </w:pPr>
      <w:r>
        <w:rPr>
          <w:rFonts w:ascii="Times New Roman" w:eastAsia="Times New Roman" w:hAnsi="Times New Roman" w:cs="Times New Roman"/>
          <w:b/>
          <w:sz w:val="28"/>
        </w:rPr>
        <w:t>4. Медицинская реабилитация и санаторно-курортное лечение, медицинские показания и противопоказания к применению методов</w:t>
      </w:r>
      <w:r>
        <w:rPr>
          <w:rFonts w:ascii="Times New Roman" w:eastAsia="Times New Roman" w:hAnsi="Times New Roman" w:cs="Times New Roman"/>
          <w:b/>
          <w:sz w:val="28"/>
        </w:rPr>
        <w:t xml:space="preserve"> медицинской реабилитации, в том числе основанных на использовании природных лечебных факторов </w:t>
      </w:r>
    </w:p>
    <w:p w:rsidR="001C2479" w:rsidRDefault="00863A7D">
      <w:pPr>
        <w:spacing w:after="9" w:line="353" w:lineRule="auto"/>
        <w:ind w:left="356" w:right="22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• Рекомендуется физиотерапевтическое лечение детям с вторичной глаукомой с целью сохранения и стимуляции зрительных функций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[12] (см. приложение Б).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Уровень убе</w:t>
      </w:r>
      <w:r>
        <w:rPr>
          <w:rFonts w:ascii="Times New Roman" w:eastAsia="Times New Roman" w:hAnsi="Times New Roman" w:cs="Times New Roman"/>
          <w:b/>
          <w:sz w:val="24"/>
        </w:rPr>
        <w:t>дительности рекомендаций С (уровень достоверности доказательств – 5). Комментарии.</w:t>
      </w:r>
      <w:r>
        <w:rPr>
          <w:rFonts w:ascii="Times New Roman" w:eastAsia="Times New Roman" w:hAnsi="Times New Roman" w:cs="Times New Roman"/>
          <w:sz w:val="24"/>
          <w:vertAlign w:val="subscript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Терапию следует проводить регулярно 2 раза в год. В комплекс лечения можно включать физиотерапевтические методы: электрофорез и магнитофорез с нейротрофическими, и сосудорас</w:t>
      </w:r>
      <w:r>
        <w:rPr>
          <w:rFonts w:ascii="Times New Roman" w:eastAsia="Times New Roman" w:hAnsi="Times New Roman" w:cs="Times New Roman"/>
          <w:i/>
          <w:sz w:val="24"/>
        </w:rPr>
        <w:t>ширяющими препаратами, чрескожную электростимуляцию зрительного нерва (табл. 8).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16"/>
        </w:rPr>
        <w:t xml:space="preserve"> </w:t>
      </w:r>
    </w:p>
    <w:p w:rsidR="001C2479" w:rsidRDefault="00863A7D">
      <w:pPr>
        <w:spacing w:after="118"/>
        <w:ind w:left="10" w:right="351" w:hanging="10"/>
        <w:jc w:val="right"/>
      </w:pPr>
      <w:r>
        <w:rPr>
          <w:rFonts w:ascii="Times New Roman" w:eastAsia="Times New Roman" w:hAnsi="Times New Roman" w:cs="Times New Roman"/>
          <w:i/>
          <w:sz w:val="24"/>
        </w:rPr>
        <w:t xml:space="preserve">Таблица 8. </w:t>
      </w:r>
    </w:p>
    <w:p w:rsidR="001C2479" w:rsidRDefault="00863A7D">
      <w:pPr>
        <w:spacing w:after="0"/>
        <w:ind w:left="149" w:right="148" w:hanging="10"/>
        <w:jc w:val="center"/>
      </w:pPr>
      <w:r>
        <w:rPr>
          <w:rFonts w:ascii="Times New Roman" w:eastAsia="Times New Roman" w:hAnsi="Times New Roman" w:cs="Times New Roman"/>
          <w:i/>
          <w:sz w:val="24"/>
        </w:rPr>
        <w:t xml:space="preserve">Физиотерапевтические методы реабилитации </w:t>
      </w:r>
    </w:p>
    <w:tbl>
      <w:tblPr>
        <w:tblStyle w:val="TableGrid"/>
        <w:tblW w:w="9528" w:type="dxa"/>
        <w:tblInd w:w="283" w:type="dxa"/>
        <w:tblCellMar>
          <w:top w:w="29" w:type="dxa"/>
          <w:left w:w="77" w:type="dxa"/>
          <w:bottom w:w="0" w:type="dxa"/>
          <w:right w:w="74" w:type="dxa"/>
        </w:tblCellMar>
        <w:tblLook w:val="04A0" w:firstRow="1" w:lastRow="0" w:firstColumn="1" w:lastColumn="0" w:noHBand="0" w:noVBand="1"/>
      </w:tblPr>
      <w:tblGrid>
        <w:gridCol w:w="3392"/>
        <w:gridCol w:w="2962"/>
        <w:gridCol w:w="3173"/>
      </w:tblGrid>
      <w:tr w:rsidR="001C2479">
        <w:trPr>
          <w:trHeight w:val="1277"/>
        </w:trPr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right="7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Наименование метода </w:t>
            </w:r>
          </w:p>
        </w:tc>
        <w:tc>
          <w:tcPr>
            <w:tcW w:w="2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Способ применения, медикаментозные препараты </w:t>
            </w:r>
          </w:p>
        </w:tc>
        <w:tc>
          <w:tcPr>
            <w:tcW w:w="3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Частота курсов </w:t>
            </w:r>
          </w:p>
        </w:tc>
      </w:tr>
      <w:tr w:rsidR="001C2479">
        <w:trPr>
          <w:trHeight w:val="1693"/>
        </w:trPr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Низкочастотная магнитотерапия на орган зрения – пульсирующим и вращающимся. </w:t>
            </w:r>
          </w:p>
        </w:tc>
        <w:tc>
          <w:tcPr>
            <w:tcW w:w="2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Частота 50гц- до 10 мТа </w:t>
            </w:r>
          </w:p>
        </w:tc>
        <w:tc>
          <w:tcPr>
            <w:tcW w:w="3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Курсы 2 раза в год по 10 процедур </w:t>
            </w:r>
          </w:p>
        </w:tc>
      </w:tr>
      <w:tr w:rsidR="001C2479">
        <w:trPr>
          <w:trHeight w:val="1277"/>
        </w:trPr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Чрескожная короткоимпульсная электростимуляция (ЧЭНС)  </w:t>
            </w:r>
          </w:p>
        </w:tc>
        <w:tc>
          <w:tcPr>
            <w:tcW w:w="2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Терапевтическая доза  2-2,5 порога. </w:t>
            </w:r>
          </w:p>
        </w:tc>
        <w:tc>
          <w:tcPr>
            <w:tcW w:w="3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Курсы 2 раза в год по 10 процедур </w:t>
            </w:r>
          </w:p>
        </w:tc>
      </w:tr>
      <w:tr w:rsidR="001C2479">
        <w:trPr>
          <w:trHeight w:val="1277"/>
        </w:trPr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Магнитофорез </w:t>
            </w:r>
          </w:p>
        </w:tc>
        <w:tc>
          <w:tcPr>
            <w:tcW w:w="2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 w:line="359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другие психостимуляторы и ноотропные препараты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(N06BX) </w:t>
            </w:r>
          </w:p>
        </w:tc>
        <w:tc>
          <w:tcPr>
            <w:tcW w:w="3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Курсы 2 раза в год по 5 процедур </w:t>
            </w:r>
          </w:p>
        </w:tc>
      </w:tr>
      <w:tr w:rsidR="001C2479">
        <w:trPr>
          <w:trHeight w:val="1277"/>
        </w:trPr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Электрофорез эндоназальный </w:t>
            </w:r>
          </w:p>
        </w:tc>
        <w:tc>
          <w:tcPr>
            <w:tcW w:w="2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4" w:line="363" w:lineRule="auto"/>
              <w:ind w:right="443"/>
              <w:jc w:val="right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Спазмолитики (A03AD 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ab/>
              <w:t xml:space="preserve">Папаверин и его </w:t>
            </w:r>
          </w:p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производные) </w:t>
            </w:r>
          </w:p>
        </w:tc>
        <w:tc>
          <w:tcPr>
            <w:tcW w:w="3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Курсы 2 раза в год по 10 процедур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</w:tr>
    </w:tbl>
    <w:p w:rsidR="001C2479" w:rsidRDefault="00863A7D">
      <w:pPr>
        <w:spacing w:after="112"/>
        <w:ind w:left="356" w:hanging="10"/>
      </w:pPr>
      <w:r>
        <w:rPr>
          <w:rFonts w:ascii="Times New Roman" w:eastAsia="Times New Roman" w:hAnsi="Times New Roman" w:cs="Times New Roman"/>
          <w:b/>
          <w:i/>
          <w:sz w:val="24"/>
        </w:rPr>
        <w:t>Противопоказания к нейротрофической терапии: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numPr>
          <w:ilvl w:val="0"/>
          <w:numId w:val="16"/>
        </w:numPr>
        <w:spacing w:after="118"/>
        <w:ind w:right="357" w:hanging="24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Нестабильная компенсация глаукомного процесса. </w:t>
      </w:r>
    </w:p>
    <w:p w:rsidR="001C2479" w:rsidRDefault="00863A7D">
      <w:pPr>
        <w:numPr>
          <w:ilvl w:val="0"/>
          <w:numId w:val="16"/>
        </w:numPr>
        <w:spacing w:after="116"/>
        <w:ind w:right="357" w:hanging="24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Отсутствие возможности регулярно контролировать ВГД. </w:t>
      </w:r>
    </w:p>
    <w:p w:rsidR="001C2479" w:rsidRDefault="00863A7D">
      <w:pPr>
        <w:numPr>
          <w:ilvl w:val="0"/>
          <w:numId w:val="16"/>
        </w:numPr>
        <w:spacing w:after="117"/>
        <w:ind w:right="357" w:hanging="24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Тяжелая сопутствующая общесоматическая патология. </w:t>
      </w:r>
    </w:p>
    <w:p w:rsidR="001C2479" w:rsidRDefault="00863A7D">
      <w:pPr>
        <w:numPr>
          <w:ilvl w:val="0"/>
          <w:numId w:val="16"/>
        </w:numPr>
        <w:spacing w:after="103"/>
        <w:ind w:right="357" w:hanging="24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Непереносимость назначаемых медикаметозных средств. </w:t>
      </w:r>
    </w:p>
    <w:p w:rsidR="001C2479" w:rsidRDefault="00863A7D">
      <w:pPr>
        <w:spacing w:after="101"/>
        <w:ind w:left="361"/>
      </w:pPr>
      <w:r>
        <w:rPr>
          <w:rFonts w:ascii="Times New Roman" w:eastAsia="Times New Roman" w:hAnsi="Times New Roman" w:cs="Times New Roman"/>
          <w:i/>
          <w:sz w:val="23"/>
        </w:rPr>
        <w:t>Возможно включение в схемы лечения: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numPr>
          <w:ilvl w:val="0"/>
          <w:numId w:val="17"/>
        </w:numPr>
        <w:spacing w:after="50" w:line="353" w:lineRule="auto"/>
        <w:ind w:left="360" w:right="357" w:hanging="36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Биорезонансная терапия в рефлексотерапии- лечение эндогенными и экзогенными электромагнитными полями. </w:t>
      </w:r>
    </w:p>
    <w:p w:rsidR="001C2479" w:rsidRDefault="00863A7D">
      <w:pPr>
        <w:numPr>
          <w:ilvl w:val="0"/>
          <w:numId w:val="17"/>
        </w:numPr>
        <w:spacing w:after="71"/>
        <w:ind w:left="360" w:right="357" w:hanging="36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Воздействие излучением видимого диапазона через зрительный анализатор </w:t>
      </w:r>
    </w:p>
    <w:p w:rsidR="001C2479" w:rsidRDefault="00863A7D">
      <w:pPr>
        <w:spacing w:after="161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(цветоимпульсная терапия) по методике Т.П. Те</w:t>
      </w:r>
      <w:r>
        <w:rPr>
          <w:rFonts w:ascii="Times New Roman" w:eastAsia="Times New Roman" w:hAnsi="Times New Roman" w:cs="Times New Roman"/>
          <w:i/>
          <w:sz w:val="24"/>
        </w:rPr>
        <w:t xml:space="preserve">териной  </w:t>
      </w:r>
    </w:p>
    <w:p w:rsidR="001C2479" w:rsidRDefault="00863A7D">
      <w:pPr>
        <w:numPr>
          <w:ilvl w:val="0"/>
          <w:numId w:val="17"/>
        </w:numPr>
        <w:spacing w:after="120"/>
        <w:ind w:left="360" w:right="357" w:hanging="36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Рефлексотерапии - акупунктуры </w:t>
      </w:r>
    </w:p>
    <w:p w:rsidR="001C2479" w:rsidRDefault="00863A7D">
      <w:pPr>
        <w:numPr>
          <w:ilvl w:val="0"/>
          <w:numId w:val="17"/>
        </w:numPr>
        <w:spacing w:after="72"/>
        <w:ind w:left="360" w:right="357" w:hanging="360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Мануальной терапии 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spacing w:after="116"/>
        <w:ind w:left="1079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Курсы поддерживающей терапии следует проводить регулярно 2 раза в год.</w:t>
      </w:r>
      <w:r>
        <w:rPr>
          <w:rFonts w:ascii="Times New Roman" w:eastAsia="Times New Roman" w:hAnsi="Times New Roman" w:cs="Times New Roman"/>
          <w:b/>
          <w:i/>
          <w:sz w:val="24"/>
        </w:rPr>
        <w:t xml:space="preserve"> </w:t>
      </w:r>
    </w:p>
    <w:p w:rsidR="001C2479" w:rsidRDefault="00863A7D">
      <w:pPr>
        <w:spacing w:after="9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>При начальных дистрофических изменениях роговицы применяют геликератопротекторы (дексапантенол S01XA12) и витамино-</w:t>
      </w:r>
      <w:r>
        <w:rPr>
          <w:rFonts w:ascii="Times New Roman" w:eastAsia="Times New Roman" w:hAnsi="Times New Roman" w:cs="Times New Roman"/>
          <w:i/>
          <w:sz w:val="24"/>
        </w:rPr>
        <w:t xml:space="preserve">насыщенные растворы (таурин S01XA). При тотальных стромальных помутнениях консервативное лечение неэффективно. Данные случаи могут быть показанием к кератопластике (при условии компенсации глаукомного процесса и благоприятном функциональном прогнозе).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i/>
          <w:sz w:val="24"/>
        </w:rPr>
        <w:t>Ва</w:t>
      </w:r>
      <w:r>
        <w:rPr>
          <w:rFonts w:ascii="Times New Roman" w:eastAsia="Times New Roman" w:hAnsi="Times New Roman" w:cs="Times New Roman"/>
          <w:i/>
          <w:sz w:val="24"/>
        </w:rPr>
        <w:t xml:space="preserve">жным является функциональное лечение, направленное на борьбу с амблиопией путем коррекции аметропии и плеоптики. У детей с вторичной глаукомой чаще выявляется миопия, нередко средней и высокой степеней, обязательно требующая коррекции.  </w:t>
      </w:r>
    </w:p>
    <w:p w:rsidR="001C2479" w:rsidRDefault="00863A7D">
      <w:pPr>
        <w:numPr>
          <w:ilvl w:val="1"/>
          <w:numId w:val="17"/>
        </w:numPr>
        <w:spacing w:after="278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Не рекомендуется с</w:t>
      </w:r>
      <w:r>
        <w:rPr>
          <w:rFonts w:ascii="Times New Roman" w:eastAsia="Times New Roman" w:hAnsi="Times New Roman" w:cs="Times New Roman"/>
          <w:b/>
          <w:sz w:val="24"/>
        </w:rPr>
        <w:t>анаторно-курортное лечение детскому населению с вторичной глаукомой.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0" w:line="357" w:lineRule="auto"/>
        <w:ind w:left="319" w:right="309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5. Профилактика и диспансерное наблюдение, медицинские показания и противопоказания к применению методов профилактики. </w:t>
      </w:r>
    </w:p>
    <w:p w:rsidR="001C2479" w:rsidRDefault="00863A7D">
      <w:pPr>
        <w:numPr>
          <w:ilvl w:val="1"/>
          <w:numId w:val="17"/>
        </w:numPr>
        <w:spacing w:after="5" w:line="357" w:lineRule="auto"/>
        <w:ind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Рекомендуются приемы (осмотр, консультация) врача-офтальмолога дет</w:t>
      </w:r>
      <w:r>
        <w:rPr>
          <w:rFonts w:ascii="Times New Roman" w:eastAsia="Times New Roman" w:hAnsi="Times New Roman" w:cs="Times New Roman"/>
          <w:b/>
          <w:sz w:val="24"/>
        </w:rPr>
        <w:t>ям с риском развития вторичной глаукомы с целью ее раннего выявления [5] (см. приложение Б).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Уровень убедительности рекомендаций С (уровень достоверности доказательств – 5). Комментарии. </w:t>
      </w:r>
      <w:r>
        <w:rPr>
          <w:rFonts w:ascii="Times New Roman" w:eastAsia="Times New Roman" w:hAnsi="Times New Roman" w:cs="Times New Roman"/>
          <w:i/>
          <w:sz w:val="24"/>
        </w:rPr>
        <w:t>Возможные этио-патогенетические факторы риска и клинические проявле</w:t>
      </w:r>
      <w:r>
        <w:rPr>
          <w:rFonts w:ascii="Times New Roman" w:eastAsia="Times New Roman" w:hAnsi="Times New Roman" w:cs="Times New Roman"/>
          <w:i/>
          <w:sz w:val="24"/>
        </w:rPr>
        <w:t>ния вторичной глаукомы указаны в разделах 1.2 и 1.6.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Осмотры проводятся не реже 1 раза в 3 мес.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Рекомендуется диспансерное наблюдение</w:t>
      </w:r>
      <w:r>
        <w:rPr>
          <w:rFonts w:ascii="Times New Roman" w:eastAsia="Times New Roman" w:hAnsi="Times New Roman" w:cs="Times New Roman"/>
          <w:sz w:val="24"/>
        </w:rPr>
        <w:t xml:space="preserve"> врача-офтальмолога детям с вторичной глаукомой с целью мониторинга глаукомного процесса и коррекции лечения </w:t>
      </w:r>
      <w:r>
        <w:rPr>
          <w:rFonts w:ascii="Times New Roman" w:eastAsia="Times New Roman" w:hAnsi="Times New Roman" w:cs="Times New Roman"/>
          <w:b/>
          <w:sz w:val="24"/>
        </w:rPr>
        <w:t>[</w:t>
      </w:r>
      <w:r>
        <w:rPr>
          <w:rFonts w:ascii="Times New Roman" w:eastAsia="Times New Roman" w:hAnsi="Times New Roman" w:cs="Times New Roman"/>
          <w:sz w:val="24"/>
        </w:rPr>
        <w:t>5</w:t>
      </w:r>
      <w:r>
        <w:rPr>
          <w:rFonts w:ascii="Times New Roman" w:eastAsia="Times New Roman" w:hAnsi="Times New Roman" w:cs="Times New Roman"/>
          <w:b/>
          <w:sz w:val="24"/>
        </w:rPr>
        <w:t>]</w:t>
      </w:r>
      <w:r>
        <w:rPr>
          <w:rFonts w:ascii="Times New Roman" w:eastAsia="Times New Roman" w:hAnsi="Times New Roman" w:cs="Times New Roman"/>
          <w:sz w:val="24"/>
        </w:rPr>
        <w:t xml:space="preserve">. </w:t>
      </w:r>
    </w:p>
    <w:p w:rsidR="001C2479" w:rsidRDefault="00863A7D">
      <w:pPr>
        <w:spacing w:after="9" w:line="353" w:lineRule="auto"/>
        <w:ind w:left="356" w:right="357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Уровен</w:t>
      </w:r>
      <w:r>
        <w:rPr>
          <w:rFonts w:ascii="Times New Roman" w:eastAsia="Times New Roman" w:hAnsi="Times New Roman" w:cs="Times New Roman"/>
          <w:b/>
          <w:sz w:val="24"/>
        </w:rPr>
        <w:t xml:space="preserve">ь убедительности рекомендаций С (уровень достоверности доказательств – 5). Комментарии. </w:t>
      </w:r>
      <w:r>
        <w:rPr>
          <w:rFonts w:ascii="Times New Roman" w:eastAsia="Times New Roman" w:hAnsi="Times New Roman" w:cs="Times New Roman"/>
          <w:i/>
          <w:sz w:val="24"/>
        </w:rPr>
        <w:t>Дети с подозрением на вторичную глаукому или установленным диагнозом ставятся на диспансерный учет в поликлинике с частотой осмотров согласно таблице 9.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1C2479" w:rsidRDefault="00863A7D">
      <w:pPr>
        <w:spacing w:after="118"/>
        <w:ind w:left="10" w:right="222" w:hanging="10"/>
        <w:jc w:val="right"/>
      </w:pPr>
      <w:r>
        <w:rPr>
          <w:rFonts w:ascii="Times New Roman" w:eastAsia="Times New Roman" w:hAnsi="Times New Roman" w:cs="Times New Roman"/>
          <w:i/>
          <w:sz w:val="24"/>
        </w:rPr>
        <w:t xml:space="preserve">Таблица 9. </w:t>
      </w:r>
    </w:p>
    <w:p w:rsidR="001C2479" w:rsidRDefault="00863A7D">
      <w:pPr>
        <w:spacing w:after="0"/>
        <w:ind w:left="149" w:hanging="10"/>
        <w:jc w:val="center"/>
      </w:pPr>
      <w:r>
        <w:rPr>
          <w:rFonts w:ascii="Times New Roman" w:eastAsia="Times New Roman" w:hAnsi="Times New Roman" w:cs="Times New Roman"/>
          <w:i/>
          <w:sz w:val="24"/>
        </w:rPr>
        <w:t>Ч</w:t>
      </w:r>
      <w:r>
        <w:rPr>
          <w:rFonts w:ascii="Times New Roman" w:eastAsia="Times New Roman" w:hAnsi="Times New Roman" w:cs="Times New Roman"/>
          <w:i/>
          <w:sz w:val="24"/>
        </w:rPr>
        <w:t xml:space="preserve">астота диспансерного наблюдения детей с глаукомой врачом-офтальмологом </w:t>
      </w:r>
    </w:p>
    <w:tbl>
      <w:tblPr>
        <w:tblStyle w:val="TableGrid"/>
        <w:tblW w:w="9981" w:type="dxa"/>
        <w:tblInd w:w="216" w:type="dxa"/>
        <w:tblCellMar>
          <w:top w:w="79" w:type="dxa"/>
          <w:left w:w="14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532"/>
        <w:gridCol w:w="5449"/>
      </w:tblGrid>
      <w:tr w:rsidR="001C2479">
        <w:trPr>
          <w:trHeight w:val="506"/>
        </w:trPr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3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Течение  </w:t>
            </w:r>
          </w:p>
        </w:tc>
        <w:tc>
          <w:tcPr>
            <w:tcW w:w="5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31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Частота осмотров  </w:t>
            </w:r>
          </w:p>
        </w:tc>
      </w:tr>
      <w:tr w:rsidR="001C2479">
        <w:trPr>
          <w:trHeight w:val="430"/>
        </w:trPr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Подозрение на глаукому </w:t>
            </w:r>
          </w:p>
        </w:tc>
        <w:tc>
          <w:tcPr>
            <w:tcW w:w="5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Ежемесячно </w:t>
            </w:r>
          </w:p>
        </w:tc>
      </w:tr>
      <w:tr w:rsidR="001C2479">
        <w:trPr>
          <w:trHeight w:val="706"/>
        </w:trPr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После хирургического лечения  </w:t>
            </w:r>
          </w:p>
        </w:tc>
        <w:tc>
          <w:tcPr>
            <w:tcW w:w="5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Первый осмотр не позже, чем через 1 неделю после выписки из стационара </w:t>
            </w:r>
          </w:p>
        </w:tc>
      </w:tr>
      <w:tr w:rsidR="001C2479">
        <w:trPr>
          <w:trHeight w:val="497"/>
        </w:trPr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Нестабильное </w:t>
            </w:r>
          </w:p>
        </w:tc>
        <w:tc>
          <w:tcPr>
            <w:tcW w:w="5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Не реже 1 раза в месяц </w:t>
            </w:r>
          </w:p>
        </w:tc>
      </w:tr>
      <w:tr w:rsidR="001C2479">
        <w:trPr>
          <w:trHeight w:val="430"/>
        </w:trPr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Стабильное </w:t>
            </w:r>
          </w:p>
        </w:tc>
        <w:tc>
          <w:tcPr>
            <w:tcW w:w="5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1 раз в 3 - 6 месяцев  </w:t>
            </w:r>
          </w:p>
        </w:tc>
      </w:tr>
    </w:tbl>
    <w:p w:rsidR="001C2479" w:rsidRDefault="00863A7D">
      <w:pPr>
        <w:spacing w:after="287" w:line="353" w:lineRule="auto"/>
        <w:ind w:left="346" w:right="357" w:firstLine="708"/>
        <w:jc w:val="both"/>
      </w:pPr>
      <w:r>
        <w:rPr>
          <w:rFonts w:ascii="Times New Roman" w:eastAsia="Times New Roman" w:hAnsi="Times New Roman" w:cs="Times New Roman"/>
          <w:i/>
          <w:sz w:val="24"/>
        </w:rPr>
        <w:t xml:space="preserve">Всем детям проводят комплекс обследований, включающий оценку состояния переднего и заднего отделов глаза, измерение ВГД, определение рефракции и зрительных функций: визометрия, рефрактометрия, </w:t>
      </w:r>
      <w:r>
        <w:rPr>
          <w:rFonts w:ascii="Times New Roman" w:eastAsia="Times New Roman" w:hAnsi="Times New Roman" w:cs="Times New Roman"/>
          <w:i/>
          <w:sz w:val="24"/>
        </w:rPr>
        <w:t>офтальмотонометрия, компьютеная периметрия, биомикроскопия глаза, офтальмоскопия/биомикроскопия глазного дна, при необходимости оптическое исследование сетчатки и головки зрительного нерва и слоя нервных волокон с помощью компьютерного анализатора (оптичес</w:t>
      </w:r>
      <w:r>
        <w:rPr>
          <w:rFonts w:ascii="Times New Roman" w:eastAsia="Times New Roman" w:hAnsi="Times New Roman" w:cs="Times New Roman"/>
          <w:i/>
          <w:sz w:val="24"/>
        </w:rPr>
        <w:t xml:space="preserve">кая когерентная томография, ОКТ)  </w:t>
      </w:r>
    </w:p>
    <w:p w:rsidR="001C2479" w:rsidRDefault="00863A7D">
      <w:pPr>
        <w:spacing w:after="132"/>
        <w:ind w:left="62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numPr>
          <w:ilvl w:val="0"/>
          <w:numId w:val="18"/>
        </w:numPr>
        <w:spacing w:after="90"/>
        <w:ind w:right="283" w:hanging="2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Организация оказания медицинской помощи </w:t>
      </w:r>
    </w:p>
    <w:p w:rsidR="001C2479" w:rsidRDefault="00863A7D">
      <w:pPr>
        <w:spacing w:after="2" w:line="358" w:lineRule="auto"/>
        <w:ind w:left="346" w:right="331" w:firstLine="708"/>
      </w:pPr>
      <w:r>
        <w:rPr>
          <w:rFonts w:ascii="Times New Roman" w:eastAsia="Times New Roman" w:hAnsi="Times New Roman" w:cs="Times New Roman"/>
          <w:sz w:val="24"/>
        </w:rPr>
        <w:t>Оказание медицинской помощи пациентам с вторичной глаукомой и подозрением на это заболевание осуществляется в соответствии с «Порядком оказания медицинской помощи детям при забол</w:t>
      </w:r>
      <w:r>
        <w:rPr>
          <w:rFonts w:ascii="Times New Roman" w:eastAsia="Times New Roman" w:hAnsi="Times New Roman" w:cs="Times New Roman"/>
          <w:sz w:val="24"/>
        </w:rPr>
        <w:t xml:space="preserve">еваниях глаза, его придаточного аппарата и орбиты», утвержденного приказом МЗ РФ № 442н от 25.10.2012 г. </w:t>
      </w:r>
    </w:p>
    <w:p w:rsidR="001C2479" w:rsidRDefault="00863A7D">
      <w:pPr>
        <w:spacing w:after="3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Диагностика вторичной глаукомы осуществляется врачом-офтальмологом, выделяющим среди пациентов с офтальмопатологией группы риска развития вторичной гл</w:t>
      </w:r>
      <w:r>
        <w:rPr>
          <w:rFonts w:ascii="Times New Roman" w:eastAsia="Times New Roman" w:hAnsi="Times New Roman" w:cs="Times New Roman"/>
          <w:sz w:val="24"/>
        </w:rPr>
        <w:t>аукомы, с подозрением на вторичной глаукому и с развитием данного заболевания. На консультацию к врачу-офтальмологу также направляют детей с риском развития вторичной глаукомы (например, получающих системные глюкокортикоиды) врачипедиатры участковые, врачи</w:t>
      </w:r>
      <w:r>
        <w:rPr>
          <w:rFonts w:ascii="Times New Roman" w:eastAsia="Times New Roman" w:hAnsi="Times New Roman" w:cs="Times New Roman"/>
          <w:sz w:val="24"/>
        </w:rPr>
        <w:t xml:space="preserve"> общей практики (семейные врачи). Врач-офтальмолог проводит комплексное обследование и определяет тактику лечения, при показаниях назначает медикаментозную терапию. При необходимости проведения диагностических процедур с применением анестезии дети направля</w:t>
      </w:r>
      <w:r>
        <w:rPr>
          <w:rFonts w:ascii="Times New Roman" w:eastAsia="Times New Roman" w:hAnsi="Times New Roman" w:cs="Times New Roman"/>
          <w:sz w:val="24"/>
        </w:rPr>
        <w:t xml:space="preserve">ются в детское офтальмологическое отделение.  </w:t>
      </w:r>
    </w:p>
    <w:p w:rsidR="001C2479" w:rsidRDefault="00863A7D">
      <w:pPr>
        <w:spacing w:after="276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При наличии показаний к хирургическому лечению у ребёнка с установленным диагнозом глаукомы, данное лечение осуществляется в условиях детского офтальмологического стационара. После оказания медицинской помощи </w:t>
      </w:r>
      <w:r>
        <w:rPr>
          <w:rFonts w:ascii="Times New Roman" w:eastAsia="Times New Roman" w:hAnsi="Times New Roman" w:cs="Times New Roman"/>
          <w:sz w:val="24"/>
        </w:rPr>
        <w:t xml:space="preserve">в стационаре дети направляются в детский офтальмологический кабинет для дальнейшего диспансерного наблюдения врачом-офтальмологом.  </w:t>
      </w:r>
    </w:p>
    <w:p w:rsidR="001C2479" w:rsidRDefault="00863A7D">
      <w:pPr>
        <w:numPr>
          <w:ilvl w:val="0"/>
          <w:numId w:val="18"/>
        </w:numPr>
        <w:spacing w:after="0" w:line="360" w:lineRule="auto"/>
        <w:ind w:right="283" w:hanging="2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Дополнительная информация (в том числе факторы, влияющие на исход заболевания или состояния).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Прогноз вторичной глаукомы у детей определяется ее этиологией, своевременностью диагностики и успешностью консервативного и хирургического лечения. Предикторами хорошего функционального прогноза являются невысокий исходный уровень офтальмотонуса, его стаби</w:t>
      </w:r>
      <w:r>
        <w:rPr>
          <w:rFonts w:ascii="Times New Roman" w:eastAsia="Times New Roman" w:hAnsi="Times New Roman" w:cs="Times New Roman"/>
          <w:sz w:val="24"/>
        </w:rPr>
        <w:t>льно нормальные значения на фоне консервативного лечения или отсутствие потребности в офтальмогипотензивной терапии после операции. Предикторами низкого функционального прогноза являются: рефрактерное течение глаукомы, а также длительное течение заболевани</w:t>
      </w:r>
      <w:r>
        <w:rPr>
          <w:rFonts w:ascii="Times New Roman" w:eastAsia="Times New Roman" w:hAnsi="Times New Roman" w:cs="Times New Roman"/>
          <w:sz w:val="24"/>
        </w:rPr>
        <w:t xml:space="preserve">я. </w:t>
      </w:r>
    </w:p>
    <w:p w:rsidR="001C2479" w:rsidRDefault="00863A7D">
      <w:pPr>
        <w:spacing w:after="397"/>
        <w:ind w:left="10" w:right="351" w:hanging="10"/>
        <w:jc w:val="right"/>
      </w:pPr>
      <w:r>
        <w:rPr>
          <w:rFonts w:ascii="Times New Roman" w:eastAsia="Times New Roman" w:hAnsi="Times New Roman" w:cs="Times New Roman"/>
          <w:sz w:val="24"/>
        </w:rPr>
        <w:t xml:space="preserve">Таблица 10. </w:t>
      </w:r>
    </w:p>
    <w:p w:rsidR="001C2479" w:rsidRDefault="00863A7D">
      <w:pPr>
        <w:spacing w:after="0"/>
        <w:ind w:left="319" w:right="318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Критерии оценки качества медицинской помощи </w:t>
      </w:r>
    </w:p>
    <w:tbl>
      <w:tblPr>
        <w:tblStyle w:val="TableGrid"/>
        <w:tblW w:w="9890" w:type="dxa"/>
        <w:tblInd w:w="84" w:type="dxa"/>
        <w:tblCellMar>
          <w:top w:w="9" w:type="dxa"/>
          <w:left w:w="108" w:type="dxa"/>
          <w:bottom w:w="0" w:type="dxa"/>
          <w:right w:w="70" w:type="dxa"/>
        </w:tblCellMar>
        <w:tblLook w:val="04A0" w:firstRow="1" w:lastRow="0" w:firstColumn="1" w:lastColumn="0" w:noHBand="0" w:noVBand="1"/>
      </w:tblPr>
      <w:tblGrid>
        <w:gridCol w:w="6489"/>
        <w:gridCol w:w="3401"/>
      </w:tblGrid>
      <w:tr w:rsidR="001C2479">
        <w:trPr>
          <w:trHeight w:val="425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Критерий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22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Оценка выполнения (да\нет)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1C2479">
        <w:trPr>
          <w:trHeight w:val="422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визометрия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425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офтальмотонометрия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425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эхобиометрия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422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биомикроскопия глаза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425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офтальмоскопия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1666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Выполнено оптическое исследование сетчатки головки зрительного нерва и слоя нервных волокон с помощью компьютерного анализатора (оптическая когерентная томография, ОКТ), 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425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компьютерная периметрия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да\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нет </w:t>
            </w:r>
          </w:p>
        </w:tc>
      </w:tr>
      <w:tr w:rsidR="001C2479">
        <w:trPr>
          <w:trHeight w:val="422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Выполнена гониоскопия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1253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3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Проведено лазерное лечение и/или хирургическое лечение (в зависимости от медицинских показаний и при отсутствии медицинских противопоказаний)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 достижением целевого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838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ВГД и прекращением прогрессирования глаукомной оптической нейропатии 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1C2479"/>
        </w:tc>
      </w:tr>
      <w:tr w:rsidR="001C2479">
        <w:trPr>
          <w:trHeight w:val="2494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Выполнено назначение противоглаукомных препаратов и миотических средств (в зависимости от медицинских показаний и при отсутствии медицинских противопоказаний)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с достижением целевого ВГД и прекращением прогрессирования глаукомной оптической нейропатии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да\нет </w:t>
            </w:r>
          </w:p>
        </w:tc>
      </w:tr>
      <w:tr w:rsidR="001C2479">
        <w:trPr>
          <w:trHeight w:val="425"/>
        </w:trPr>
        <w:tc>
          <w:tcPr>
            <w:tcW w:w="6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7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115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56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0"/>
        <w:ind w:left="180"/>
        <w:jc w:val="both"/>
      </w:pPr>
      <w:r>
        <w:rPr>
          <w:noProof/>
        </w:rPr>
        <mc:AlternateContent>
          <mc:Choice Requires="wpg">
            <w:drawing>
              <wp:inline distT="0" distB="0" distL="0" distR="0">
                <wp:extent cx="9144" cy="263961"/>
                <wp:effectExtent l="0" t="0" r="0" b="0"/>
                <wp:docPr id="50542" name="Group 50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" cy="263961"/>
                          <a:chOff x="0" y="0"/>
                          <a:chExt cx="9144" cy="263961"/>
                        </a:xfrm>
                      </wpg:grpSpPr>
                      <wps:wsp>
                        <wps:cNvPr id="54052" name="Shape 54052"/>
                        <wps:cNvSpPr/>
                        <wps:spPr>
                          <a:xfrm>
                            <a:off x="0" y="0"/>
                            <a:ext cx="9144" cy="263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63961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63961"/>
                                </a:lnTo>
                                <a:lnTo>
                                  <a:pt x="0" y="26396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50542" style="width:0.719997pt;height:20.7844pt;mso-position-horizontal-relative:char;mso-position-vertical-relative:line" coordsize="91,2639">
                <v:shape id="Shape 54053" style="position:absolute;width:91;height:2639;left:0;top:0;" coordsize="9144,263961" path="m0,0l9144,0l9144,263961l0,263961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color w:val="FF0101"/>
          <w:sz w:val="24"/>
        </w:rPr>
        <w:t xml:space="preserve"> </w:t>
      </w:r>
    </w:p>
    <w:p w:rsidR="001C2479" w:rsidRDefault="00863A7D">
      <w:pPr>
        <w:spacing w:after="112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0"/>
        <w:ind w:left="361"/>
        <w:jc w:val="both"/>
      </w:pPr>
      <w:r>
        <w:rPr>
          <w:rFonts w:ascii="Times New Roman" w:eastAsia="Times New Roman" w:hAnsi="Times New Roman" w:cs="Times New Roman"/>
          <w:b/>
          <w:color w:val="242021"/>
          <w:sz w:val="24"/>
        </w:rPr>
        <w:t xml:space="preserve"> </w:t>
      </w:r>
    </w:p>
    <w:p w:rsidR="001C2479" w:rsidRDefault="00863A7D">
      <w:pPr>
        <w:spacing w:after="0"/>
        <w:ind w:right="11"/>
        <w:jc w:val="center"/>
      </w:pPr>
      <w:r>
        <w:rPr>
          <w:rFonts w:ascii="Times New Roman" w:eastAsia="Times New Roman" w:hAnsi="Times New Roman" w:cs="Times New Roman"/>
          <w:sz w:val="28"/>
        </w:rPr>
        <w:t>Список литературы</w:t>
      </w:r>
      <w:r>
        <w:rPr>
          <w:rFonts w:ascii="Times New Roman" w:eastAsia="Times New Roman" w:hAnsi="Times New Roman" w:cs="Times New Roman"/>
          <w:b/>
          <w:color w:val="242021"/>
          <w:sz w:val="37"/>
          <w:vertAlign w:val="subscript"/>
        </w:rPr>
        <w:t xml:space="preserve"> </w:t>
      </w:r>
    </w:p>
    <w:p w:rsidR="001C2479" w:rsidRDefault="00863A7D">
      <w:pPr>
        <w:numPr>
          <w:ilvl w:val="0"/>
          <w:numId w:val="19"/>
        </w:numPr>
        <w:spacing w:after="26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Allingham R.R., Damji R., Freedman S., Moroi S., Shafranov G. Shields’ textbook of glaucoma. 5</w:t>
      </w:r>
      <w:r>
        <w:rPr>
          <w:rFonts w:ascii="Times New Roman" w:eastAsia="Times New Roman" w:hAnsi="Times New Roman" w:cs="Times New Roman"/>
          <w:sz w:val="24"/>
          <w:vertAlign w:val="superscript"/>
        </w:rPr>
        <w:t>th</w:t>
      </w:r>
      <w:r>
        <w:rPr>
          <w:rFonts w:ascii="Times New Roman" w:eastAsia="Times New Roman" w:hAnsi="Times New Roman" w:cs="Times New Roman"/>
          <w:sz w:val="24"/>
        </w:rPr>
        <w:t xml:space="preserve"> edition. Lippincott Williams &amp;Wilkins, 2005. 702 p. 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Chen T.C., Bhatia L.S., Walton D.S. Complications of pediatric lensectomy in 193 eyes Ophthalmic Surg Lasers Imaging. 2005;36(1):6-13.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Choe S., Kim Y.K., Ha A. Nationwide incidence of and risk factors for undergoing incisional glaucoma surgery following i</w:t>
      </w:r>
      <w:r>
        <w:rPr>
          <w:rFonts w:ascii="Times New Roman" w:eastAsia="Times New Roman" w:hAnsi="Times New Roman" w:cs="Times New Roman"/>
          <w:sz w:val="24"/>
        </w:rPr>
        <w:t xml:space="preserve">nfantile cataract surgery. Sci Rep. 2024;14(1):16286. doi: 10.1038/s41598-024-66559-z.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Foster C.S., Havrlikova K., Baltatzis. S et al., Secondary glaucoma in patients with juvenile rheumatoid arthritis-associated iridocyclitis. Acta Ophthalmol Scand. </w:t>
      </w:r>
    </w:p>
    <w:p w:rsidR="001C2479" w:rsidRDefault="00863A7D">
      <w:pPr>
        <w:spacing w:after="116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200</w:t>
      </w:r>
      <w:r>
        <w:rPr>
          <w:rFonts w:ascii="Times New Roman" w:eastAsia="Times New Roman" w:hAnsi="Times New Roman" w:cs="Times New Roman"/>
          <w:sz w:val="24"/>
        </w:rPr>
        <w:t xml:space="preserve">0;78(5):576-9. doi: 10.1034/j.1600-0420.2000.078005576.x.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Катаргина Л.А., Хватова А.В. Эндогенные увеиты у детей и подростков. Москва: Медицина, 2000. 320 с.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Катаргина Л.А., Денисова Е.В., Старикова А.В., Гвоздюк Н.А. Вторичная глаукома при увеитах у детей на фоне синдрома Фогта-Коянаги-Харада. Российский офтальмологический журнал. 2008;3:13 – 17.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Катаргина Л.А., Круглова Т.Б., Демченко Е.Н., Овчинникова А.В. </w:t>
      </w:r>
      <w:r>
        <w:rPr>
          <w:rFonts w:ascii="Times New Roman" w:eastAsia="Times New Roman" w:hAnsi="Times New Roman" w:cs="Times New Roman"/>
          <w:sz w:val="24"/>
        </w:rPr>
        <w:t xml:space="preserve">К вопросу о патогенезе вторичной глаукомы после удаления врожденных катаракт Российский офтальмологический журнал 2011; 3:47–51. </w:t>
      </w:r>
    </w:p>
    <w:p w:rsidR="001C2479" w:rsidRDefault="00863A7D">
      <w:pPr>
        <w:numPr>
          <w:ilvl w:val="0"/>
          <w:numId w:val="19"/>
        </w:numPr>
        <w:spacing w:after="119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Kaur S., Kaushik S., Pandav S.S. Pediatric uveitic glaucoma. J Current Glau Prac. </w:t>
      </w:r>
    </w:p>
    <w:p w:rsidR="001C2479" w:rsidRDefault="00863A7D">
      <w:pPr>
        <w:spacing w:after="118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2013;7(3):115-7. doi: 10.5005/jp-journals-1</w:t>
      </w:r>
      <w:r>
        <w:rPr>
          <w:rFonts w:ascii="Times New Roman" w:eastAsia="Times New Roman" w:hAnsi="Times New Roman" w:cs="Times New Roman"/>
          <w:sz w:val="24"/>
        </w:rPr>
        <w:t>0008-1147.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Kaur S., Kaushik S., Pandav S.S. Traumatic glaucoma in children. J Curr Glaucoma Pract. 2014; 8(2): 58–62. doi: 10.5005/jp-journals-10008-1162.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Kotaniemi K., Sihto-Kauppi K. Occurrence and management of ocular hypertension and secondary glauco</w:t>
      </w:r>
      <w:r>
        <w:rPr>
          <w:rFonts w:ascii="Times New Roman" w:eastAsia="Times New Roman" w:hAnsi="Times New Roman" w:cs="Times New Roman"/>
          <w:sz w:val="24"/>
        </w:rPr>
        <w:t xml:space="preserve">ma in juvenile idiopathic arthritis-associated uveitis: an observational series of 104 patients. Clin Ophthalmol. 2007;1(4):455-9. </w:t>
      </w:r>
    </w:p>
    <w:p w:rsidR="001C2479" w:rsidRDefault="00863A7D">
      <w:pPr>
        <w:numPr>
          <w:ilvl w:val="0"/>
          <w:numId w:val="19"/>
        </w:numPr>
        <w:spacing w:after="115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Kirwan C., O'Keefe M. Paediatric aphakic glaucoma Acta Ophthalmol Scand. </w:t>
      </w:r>
    </w:p>
    <w:p w:rsidR="001C2479" w:rsidRDefault="00863A7D">
      <w:pPr>
        <w:spacing w:after="116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2006;84(6):734-9. doi: 10.1111/j.1600-0420.2006.00</w:t>
      </w:r>
      <w:r>
        <w:rPr>
          <w:rFonts w:ascii="Times New Roman" w:eastAsia="Times New Roman" w:hAnsi="Times New Roman" w:cs="Times New Roman"/>
          <w:sz w:val="24"/>
        </w:rPr>
        <w:t xml:space="preserve">733.x. 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Национальное руководство по глаукоме для практикующих врачей. Под ред. Е.А. Егорова, В.П. Еричева. 4е издание, исправленное и дополненное. М., «ГЕЭТАРМедиа», 2021. 381 с.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Nieves-Moreno M., Peralta J., Noval S. Neovascular glaucoma in children: A </w:t>
      </w:r>
      <w:r>
        <w:rPr>
          <w:rFonts w:ascii="Times New Roman" w:eastAsia="Times New Roman" w:hAnsi="Times New Roman" w:cs="Times New Roman"/>
          <w:sz w:val="24"/>
        </w:rPr>
        <w:t xml:space="preserve">case series and a review of the literature. Eur J Ophthalmol. 2022;32(6):3289-3294. doi: </w:t>
      </w:r>
    </w:p>
    <w:p w:rsidR="001C2479" w:rsidRDefault="00863A7D">
      <w:pPr>
        <w:spacing w:after="3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10.1177/11206721221078678. 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Садовникова Н.Н., Бржеский В.В., Зерцалова М.А., Баранов А.Ю. Структура «детской» глаукомы – результаты 20-тилетнего наблюдения. Национал</w:t>
      </w:r>
      <w:r>
        <w:rPr>
          <w:rFonts w:ascii="Times New Roman" w:eastAsia="Times New Roman" w:hAnsi="Times New Roman" w:cs="Times New Roman"/>
          <w:sz w:val="24"/>
        </w:rPr>
        <w:t xml:space="preserve">ьный журнал глаукома. 2023;22(2): 71 – 80.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Sijssens K.M., Rothova A., Berendschot T.T., de Boer J.H. Ocular hypertension and secondary glaucoma in children with uveitis. Ophthalmology. 2006 May;113(5):853-9.e2. doi: 10.1016/j.ophtha.2006.01.043.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Stroh I.</w:t>
      </w:r>
      <w:r>
        <w:rPr>
          <w:rFonts w:ascii="Times New Roman" w:eastAsia="Times New Roman" w:hAnsi="Times New Roman" w:cs="Times New Roman"/>
          <w:sz w:val="24"/>
        </w:rPr>
        <w:t xml:space="preserve">G., Moradi A., Burkholder B.M. et al. Occurrence of and risk factors for ocular hypertension and secondary glaucoma in juvenile idiopathic arthritis-associated uveitis. Ocul Immunol Inflamm. 2017;25(4):503-512. doi: 10.3109/09273948.2016.1142573.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Tripathi</w:t>
      </w:r>
      <w:r>
        <w:rPr>
          <w:rFonts w:ascii="Times New Roman" w:eastAsia="Times New Roman" w:hAnsi="Times New Roman" w:cs="Times New Roman"/>
          <w:sz w:val="24"/>
        </w:rPr>
        <w:t xml:space="preserve"> R.C., Tripathi B.J., Haggerty C. Drug-induced glaucomas: mechanism and management. Drug Saf. 2003;26(11):749-67. doi: 10.2165/00002018-200326110-00002.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Urban B., Bakunowicz-</w:t>
      </w:r>
      <w:r>
        <w:rPr>
          <w:rFonts w:ascii="Times New Roman" w:eastAsia="Times New Roman" w:hAnsi="Times New Roman" w:cs="Times New Roman"/>
          <w:sz w:val="24"/>
        </w:rPr>
        <w:t xml:space="preserve">Łazarczyk A. Aphakic glaucoma after congenital cataract surgery with and without intraocular lens implantation. Klin Oczna. 2010;112(4-6):105-7.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Hoguet A., Grajewski A., Hodapp E., Chang Ta C.P. A retrospective survey of childhood glaucoma prevalence acco</w:t>
      </w:r>
      <w:r>
        <w:rPr>
          <w:rFonts w:ascii="Times New Roman" w:eastAsia="Times New Roman" w:hAnsi="Times New Roman" w:cs="Times New Roman"/>
          <w:sz w:val="24"/>
        </w:rPr>
        <w:t xml:space="preserve">rding to Childhood Glaucoma Research Network classification. Indian J Ophthalmol. 2016;64(2):118-23. doi: 10.4103/0301-4738.179716.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Нестеров А.П., Бунин А.Я. О новой классификации первичной глаукомы. Вестник офтальмологии. 1977; 5; 38-42.)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Thau A., Lloyd</w:t>
      </w:r>
      <w:r>
        <w:rPr>
          <w:rFonts w:ascii="Times New Roman" w:eastAsia="Times New Roman" w:hAnsi="Times New Roman" w:cs="Times New Roman"/>
          <w:sz w:val="24"/>
        </w:rPr>
        <w:t xml:space="preserve"> M., Freedman S. et al. New classification system for pediatric glaucoma implications for clinical care and a research registry. Curr Opin Ophthalmol 2018; 29:385-</w:t>
      </w:r>
    </w:p>
    <w:p w:rsidR="001C2479" w:rsidRDefault="00863A7D">
      <w:pPr>
        <w:spacing w:after="116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394. http://doi.org/10.1097/ICU.0000000000000516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Belovay G.W., Goldberg I. The thick and th</w:t>
      </w:r>
      <w:r>
        <w:rPr>
          <w:rFonts w:ascii="Times New Roman" w:eastAsia="Times New Roman" w:hAnsi="Times New Roman" w:cs="Times New Roman"/>
          <w:sz w:val="24"/>
        </w:rPr>
        <w:t xml:space="preserve">in of the central corneal thickness in glaucoma. Eye (Lond) 2018;32(5):915-923. doi: 10.1038/s41433-018-0033-3.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Doughty M.J., Laiquzzaman M., Müller A. et al. Central corneal thickness in European (white) individuals, especially children and the elderly, </w:t>
      </w:r>
      <w:r>
        <w:rPr>
          <w:rFonts w:ascii="Times New Roman" w:eastAsia="Times New Roman" w:hAnsi="Times New Roman" w:cs="Times New Roman"/>
          <w:sz w:val="24"/>
        </w:rPr>
        <w:t xml:space="preserve">and assessment of its possible importance in clinical measures of intra-ocular pressure. Ophthalmic Physiol Opt. 2002;22(6):491-504. doi: 10.1046/j.1475-1313.2002.00053.x.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Bradfield Y.S., Melia B.M., Repka M.X. et al. Central corneal thickness in children</w:t>
      </w:r>
      <w:r>
        <w:rPr>
          <w:rFonts w:ascii="Times New Roman" w:eastAsia="Times New Roman" w:hAnsi="Times New Roman" w:cs="Times New Roman"/>
          <w:sz w:val="24"/>
        </w:rPr>
        <w:t xml:space="preserve">. Arch Ophthalmol. 2011 Sep;129(9):1132-8. doi: 10.1001/archophthalmol.2011.225.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Катаргина Л.А., Денисова Е.В., Ибейд Б.Н.А. Результаты современной гипотензивной терапии постувеальной глаукомы у детей. XII Российский общенациональный офтальмологический фо</w:t>
      </w:r>
      <w:r>
        <w:rPr>
          <w:rFonts w:ascii="Times New Roman" w:eastAsia="Times New Roman" w:hAnsi="Times New Roman" w:cs="Times New Roman"/>
          <w:sz w:val="24"/>
        </w:rPr>
        <w:t xml:space="preserve">рум. 2019;1:322 – 325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Abdelrahman A.M., El Sayed Y.M. Micropulse versus continuous wave transscleral cyclophotocoagulation in refractory pediatric glaucoma. J Glaucoma. 2018;27(10):900905. doi: 10.1097/IJG.0000000000001053.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Aktas Z., Gulpinar Ikiz G.D. C</w:t>
      </w:r>
      <w:r>
        <w:rPr>
          <w:rFonts w:ascii="Times New Roman" w:eastAsia="Times New Roman" w:hAnsi="Times New Roman" w:cs="Times New Roman"/>
          <w:sz w:val="24"/>
        </w:rPr>
        <w:t xml:space="preserve">urrent surgical techniques for the management of pediatric glaucoma: a literature review. Front. Ophthalmol., 2023;.3 https://doi.org/10.3389/fopht.2023.1101281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Арестова Н.Н. Лазерная хирургия зрачкового блока у детей у детей. Российская педиатрическая оф</w:t>
      </w:r>
      <w:r>
        <w:rPr>
          <w:rFonts w:ascii="Times New Roman" w:eastAsia="Times New Roman" w:hAnsi="Times New Roman" w:cs="Times New Roman"/>
          <w:sz w:val="24"/>
        </w:rPr>
        <w:t xml:space="preserve">тальмология. 2013;2:12-18. 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Арестова Н.Н., Катаргина Л.А., Денисова Е.В. и др. Лазерная иридэктомия при зрачковом блоке у детей с эндогенными увеитами. Офтальмология; 2023;20(1):69-75.  </w:t>
      </w:r>
      <w:hyperlink r:id="rId8">
        <w:r>
          <w:rPr>
            <w:rFonts w:ascii="Times New Roman" w:eastAsia="Times New Roman" w:hAnsi="Times New Roman" w:cs="Times New Roman"/>
            <w:sz w:val="24"/>
          </w:rPr>
          <w:t>doi.org/10.18008/181</w:t>
        </w:r>
        <w:r>
          <w:rPr>
            <w:rFonts w:ascii="Times New Roman" w:eastAsia="Times New Roman" w:hAnsi="Times New Roman" w:cs="Times New Roman"/>
            <w:sz w:val="24"/>
          </w:rPr>
          <w:t>6</w:t>
        </w:r>
      </w:hyperlink>
      <w:hyperlink r:id="rId9">
        <w:r>
          <w:rPr>
            <w:rFonts w:ascii="Times New Roman" w:eastAsia="Times New Roman" w:hAnsi="Times New Roman" w:cs="Times New Roman"/>
            <w:sz w:val="24"/>
          </w:rPr>
          <w:t>-</w:t>
        </w:r>
      </w:hyperlink>
      <w:r>
        <w:rPr>
          <w:rFonts w:ascii="Times New Roman" w:eastAsia="Times New Roman" w:hAnsi="Times New Roman" w:cs="Times New Roman"/>
          <w:sz w:val="24"/>
        </w:rPr>
        <w:t xml:space="preserve"> 5095-2023-1-69-75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Autrata R., Rehurek J. Long-term results of transscleral cyclophotocoagulation in refractory pediatric glaucoma patients. Ophthalmologica. 2003; 217:393–400. doi.org/10.1159/000073068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Bohnsack B.L, Freedman S.F. Surgical outcomes in childhood uveitic glaucoma. Am J Ophthalmol. 2013;155(1):134– 142. 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Bothun E.D., Guo Y., Christiansen S.P. et al. Outcome of angle surgery in children with aphakic glaucoma. J AAPOS. 2010;14(3):235-9. doi: </w:t>
      </w:r>
      <w:r>
        <w:rPr>
          <w:rFonts w:ascii="Times New Roman" w:eastAsia="Times New Roman" w:hAnsi="Times New Roman" w:cs="Times New Roman"/>
          <w:sz w:val="24"/>
        </w:rPr>
        <w:t xml:space="preserve">10.1016/j.jaapos.2010.01.005. </w:t>
      </w:r>
    </w:p>
    <w:p w:rsidR="001C2479" w:rsidRDefault="00863A7D">
      <w:pPr>
        <w:numPr>
          <w:ilvl w:val="0"/>
          <w:numId w:val="19"/>
        </w:numPr>
        <w:spacing w:after="4" w:line="358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color w:val="1A171C"/>
          <w:sz w:val="24"/>
        </w:rPr>
        <w:t>Chen A., Yu F., Law S. K., Giaconi J. A. et al. Valved glaucoma drainage devices in pediatric glaucoma: Retrospective long-term outcomes. JAMA Ophthalmol. 2015;133(9):1030-5. doi: 10.1001/jamaophthalmol.2015.1856.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Денисова Е.В., Ибейд Б.Н.А., Коголева Л.В. Факторы избыточной пролиферации при синустрабекулэктомии у детей с постувеальной глаукомой. Офтальмология. 2021;18(2): 284–289.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Зубарева Л. Н., Овчинникова А.В., Зелянина Е.В. Первый опыт клинического применения </w:t>
      </w:r>
      <w:r>
        <w:rPr>
          <w:rFonts w:ascii="Times New Roman" w:eastAsia="Times New Roman" w:hAnsi="Times New Roman" w:cs="Times New Roman"/>
          <w:sz w:val="24"/>
        </w:rPr>
        <w:t xml:space="preserve">митомицмна-С в хирургии глаукомы у детей. Офтальмохирургия. </w:t>
      </w:r>
    </w:p>
    <w:p w:rsidR="001C2479" w:rsidRDefault="00863A7D">
      <w:pPr>
        <w:spacing w:after="118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2000;2:9-15.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Eksioglu U., Yakin M., Sungur G. et al. Short- to long-</w:t>
      </w:r>
      <w:r>
        <w:rPr>
          <w:rFonts w:ascii="Times New Roman" w:eastAsia="Times New Roman" w:hAnsi="Times New Roman" w:cs="Times New Roman"/>
          <w:sz w:val="24"/>
        </w:rPr>
        <w:t xml:space="preserve">term results of Ahmed glaucoma valve in the management of elevated intraocular pressure in patients with pediatric uveitis. Can J Ophthalmol. 2017 Jun;52(3):295-301. doi: 10.1016/j.jcjo.2016.11.015. 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Elhefney E.M., Mokbel T.H., Hagras S.M., et al. Micropu</w:t>
      </w:r>
      <w:r>
        <w:rPr>
          <w:rFonts w:ascii="Times New Roman" w:eastAsia="Times New Roman" w:hAnsi="Times New Roman" w:cs="Times New Roman"/>
          <w:sz w:val="24"/>
        </w:rPr>
        <w:t xml:space="preserve">lsed diode laser cyclophotocoagulation in recurrent pediatric glaucoma. Eur J Ophthalmol. 2020; 30(5):1149-1155. doi: 10.1177/1120672119858226.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Fieß A., Shah P., Sii F. et al., Trabeculectomy or transscleral cyclophotocoagulation as initial treatment of s</w:t>
      </w:r>
      <w:r>
        <w:rPr>
          <w:rFonts w:ascii="Times New Roman" w:eastAsia="Times New Roman" w:hAnsi="Times New Roman" w:cs="Times New Roman"/>
          <w:sz w:val="24"/>
        </w:rPr>
        <w:t xml:space="preserve">econdary childhood glaucoma in Northern Tanzania. J. Glaucoma. 2017;26(7):657-660. doi: 10.1097/IJG.0000000000000682.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Freedman S.F., Rodriguez-Rosa R.E., Rojas M.C. et al. Goniotomy for glaucoma secondary to chronic childhood uveitis Am J Ophthalmol. 2002</w:t>
      </w:r>
      <w:r>
        <w:rPr>
          <w:rFonts w:ascii="Times New Roman" w:eastAsia="Times New Roman" w:hAnsi="Times New Roman" w:cs="Times New Roman"/>
          <w:sz w:val="24"/>
        </w:rPr>
        <w:t>;133(5):617- 621.</w:t>
      </w:r>
      <w:r>
        <w:rPr>
          <w:rFonts w:ascii="Times New Roman" w:eastAsia="Times New Roman" w:hAnsi="Times New Roman" w:cs="Times New Roman"/>
          <w:color w:val="2C3E50"/>
          <w:sz w:val="24"/>
        </w:rPr>
        <w:t xml:space="preserve">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Heinz C., Koch J.M., Heiligenhaus A. Trabeculectomy or modified deep sclerectomy in juvenile uveitic glaucoma. J Ophthalmic Inflamm Infect. 2011;1(4):165-70. doi: 10.1007/s12348-011-0039-5.</w:t>
      </w:r>
      <w:r>
        <w:rPr>
          <w:rFonts w:ascii="Times New Roman" w:eastAsia="Times New Roman" w:hAnsi="Times New Roman" w:cs="Times New Roman"/>
          <w:color w:val="2C3E50"/>
          <w:sz w:val="24"/>
        </w:rPr>
        <w:t xml:space="preserve">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Heinz C., Koch J.M., Heiligenhaus Transscleral</w:t>
      </w:r>
      <w:r>
        <w:rPr>
          <w:rFonts w:ascii="Times New Roman" w:eastAsia="Times New Roman" w:hAnsi="Times New Roman" w:cs="Times New Roman"/>
          <w:sz w:val="24"/>
        </w:rPr>
        <w:t xml:space="preserve"> diode laser cyclophotocoagulation as primary surgical treatment for secondary glaucoma in juvenile idiopathic arthritis: high failure rate after short term follow up. Br J Ophthalmol. 2006; 90(6): 737–740. doi: 10.1136/bjo.2005.085936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Ho C.L., Wong E.Y.,</w:t>
      </w:r>
      <w:r>
        <w:rPr>
          <w:rFonts w:ascii="Times New Roman" w:eastAsia="Times New Roman" w:hAnsi="Times New Roman" w:cs="Times New Roman"/>
          <w:sz w:val="24"/>
        </w:rPr>
        <w:t xml:space="preserve"> Walton D.S. Goniosurgery for glaucoma complicating chronic childhood uveitis. Arch Ophthalmol. 2004;122(6):838-44. DOI: </w:t>
      </w:r>
    </w:p>
    <w:p w:rsidR="001C2479" w:rsidRDefault="00863A7D">
      <w:pPr>
        <w:spacing w:after="118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10.1001/archopht.122.6.838.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Jamerson E.C., Solyman O., Yacoub M.S. et al. Angle surgery in pediatric glaucoma following cataract surg</w:t>
      </w:r>
      <w:r>
        <w:rPr>
          <w:rFonts w:ascii="Times New Roman" w:eastAsia="Times New Roman" w:hAnsi="Times New Roman" w:cs="Times New Roman"/>
          <w:sz w:val="24"/>
        </w:rPr>
        <w:t xml:space="preserve">ery. Vision (Basel). 2021;5(1):9. doi: 10.3390/vision5010009.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Kafkala C., Hynes A, Choi J, Topalkara A, Foster CS. Ahmed valve implantation for uncontrolled pediatric uveitic glaucoma. J AAPOS. 2005;9(4):336-40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Kalogeropoulos D., Kalogeropoulos C., Mosch</w:t>
      </w:r>
      <w:r>
        <w:rPr>
          <w:rFonts w:ascii="Times New Roman" w:eastAsia="Times New Roman" w:hAnsi="Times New Roman" w:cs="Times New Roman"/>
          <w:sz w:val="24"/>
        </w:rPr>
        <w:t xml:space="preserve">os M.M., Sung V. The management of uveitic glaucoma in children. Turk J Ophthalmol. 2019;49:283-293. DOI: </w:t>
      </w:r>
    </w:p>
    <w:p w:rsidR="001C2479" w:rsidRDefault="00863A7D">
      <w:pPr>
        <w:spacing w:after="116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10.4274/tjo.galenos.2019.36589.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Kanski J.J., McAllister J.A. Trabeculodialysis for inflammatory glaucoma in children and young adults. Ophthalmology</w:t>
      </w:r>
      <w:r>
        <w:rPr>
          <w:rFonts w:ascii="Times New Roman" w:eastAsia="Times New Roman" w:hAnsi="Times New Roman" w:cs="Times New Roman"/>
          <w:sz w:val="24"/>
        </w:rPr>
        <w:t xml:space="preserve">. 1985;92(7):927-30. DOI: 10.1016/s0161-6420(85)33933-7.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Катаргина Л.А., Хватова А.В., Денисова Е.В. Эффективность трабекулэктомии с применением цитостатиков в лечении постувеальной глаукомы у детей. Офтальмохирургия. 2002;3:37 - 40.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Катаргина Л.А., Дени</w:t>
      </w:r>
      <w:r>
        <w:rPr>
          <w:rFonts w:ascii="Times New Roman" w:eastAsia="Times New Roman" w:hAnsi="Times New Roman" w:cs="Times New Roman"/>
          <w:sz w:val="24"/>
        </w:rPr>
        <w:t xml:space="preserve">сова Е.В., Ибейд Б.Н.А., Арестова Н.Н. Эффективность композитного дренажа у детей с постувеальной глаукомой. Национальный журнал глаукома. 2018; 17(3):34 – 39.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Катаргина Л.А., Арестова Н.Н., Денисова Е.В., Ибейд Б.Н.А. ИАГ-лазерная рефистулизация внутренн</w:t>
      </w:r>
      <w:r>
        <w:rPr>
          <w:rFonts w:ascii="Times New Roman" w:eastAsia="Times New Roman" w:hAnsi="Times New Roman" w:cs="Times New Roman"/>
          <w:sz w:val="24"/>
        </w:rPr>
        <w:t xml:space="preserve">ей фистулы после синустрабекулэктомии у детей с постувеальной глаукомой. Офтальмохирургия. 2019; 1:57 – 61. DOI: 10.25276/02354160-2019-1-57-61.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Катаргина Л.А., Денисова Е.В., Ибейд Б.Н.А., Храброва М.А. Результаты имплантации клапана Ахмеда у детей с пос</w:t>
      </w:r>
      <w:r>
        <w:rPr>
          <w:rFonts w:ascii="Times New Roman" w:eastAsia="Times New Roman" w:hAnsi="Times New Roman" w:cs="Times New Roman"/>
          <w:sz w:val="24"/>
        </w:rPr>
        <w:t xml:space="preserve">тувеальной глаукомой. Российский офтальмологический журнал. 2021;14(1):30-34. https://doi.org/10.21516/2072-00762021-14-1-30-34. </w:t>
      </w:r>
    </w:p>
    <w:p w:rsidR="001C2479" w:rsidRDefault="00863A7D">
      <w:pPr>
        <w:numPr>
          <w:ilvl w:val="0"/>
          <w:numId w:val="19"/>
        </w:numPr>
        <w:spacing w:after="0" w:line="356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Lyons C.J., Armarnik S., Farrell S. </w:t>
      </w:r>
      <w:r>
        <w:rPr>
          <w:rFonts w:ascii="Times New Roman" w:eastAsia="Times New Roman" w:hAnsi="Times New Roman" w:cs="Times New Roman"/>
          <w:color w:val="1C1C1C"/>
          <w:sz w:val="24"/>
        </w:rPr>
        <w:t>Goniotomy for the childhood glaucomas: Where is it most useful? Investigative Ophthalmolog</w:t>
      </w:r>
      <w:r>
        <w:rPr>
          <w:rFonts w:ascii="Times New Roman" w:eastAsia="Times New Roman" w:hAnsi="Times New Roman" w:cs="Times New Roman"/>
          <w:color w:val="1C1C1C"/>
          <w:sz w:val="24"/>
        </w:rPr>
        <w:t>y &amp; Visual Science. 2019;60:6648.</w:t>
      </w:r>
      <w:r>
        <w:rPr>
          <w:rFonts w:ascii="Times New Roman" w:eastAsia="Times New Roman" w:hAnsi="Times New Roman" w:cs="Times New Roman"/>
          <w:color w:val="2C3E50"/>
          <w:sz w:val="24"/>
        </w:rPr>
        <w:t xml:space="preserve">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Mandal A.K., Bagga H., Nutheti R. et al. Trabeculectomy with or without mitomycin-C for paediatric glaucoma in aphakia and pseudophakia following congenital cataract surgery. Eye (Lond). 2003;17(1):53-62. doi: 10.1038/sj.</w:t>
      </w:r>
      <w:r>
        <w:rPr>
          <w:rFonts w:ascii="Times New Roman" w:eastAsia="Times New Roman" w:hAnsi="Times New Roman" w:cs="Times New Roman"/>
          <w:sz w:val="24"/>
        </w:rPr>
        <w:t xml:space="preserve">eye.6700180.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Нероев В.В., Арестова Н.Н. Лазерные реконструктивные операции при заболеваниях глаз у детей. М.: Изд. РАН; 2018. – 304с. ISBN9778-5-906906-52-6 </w:t>
      </w:r>
    </w:p>
    <w:p w:rsidR="001C2479" w:rsidRDefault="00863A7D">
      <w:pPr>
        <w:numPr>
          <w:ilvl w:val="0"/>
          <w:numId w:val="19"/>
        </w:numPr>
        <w:spacing w:after="2" w:line="358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Панова А.Ю., Катаргина Л.А., Денисова, Е.В., Сорокин, А.А. Ближайшие результаты микроимпульсной циклофотокоагуляции при глаукоме у детей. Российская педиатрическая офтальмология 2022;17(3):21-29. doi.org/10.17816/rpoj107300/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Садовникова Н.Н., Бржеский В.В</w:t>
      </w:r>
      <w:r>
        <w:rPr>
          <w:rFonts w:ascii="Times New Roman" w:eastAsia="Times New Roman" w:hAnsi="Times New Roman" w:cs="Times New Roman"/>
          <w:sz w:val="24"/>
        </w:rPr>
        <w:t xml:space="preserve">., Присич Н.В., Зерцалова М.А., Баранов А.Ю. Клапан Ахмеда в лечении детей с рефрактерной глаукомой// </w:t>
      </w:r>
    </w:p>
    <w:p w:rsidR="001C2479" w:rsidRDefault="00863A7D">
      <w:pPr>
        <w:spacing w:after="116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Офтальмологические ведомости. 2021; 17(1):39 - 45.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>Simons A.S., Casteels I., Grigg J. et al. Management of childhood glaucoma following cataract surgery</w:t>
      </w:r>
      <w:r>
        <w:rPr>
          <w:rFonts w:ascii="Times New Roman" w:eastAsia="Times New Roman" w:hAnsi="Times New Roman" w:cs="Times New Roman"/>
          <w:sz w:val="24"/>
        </w:rPr>
        <w:t xml:space="preserve">. J Clin Med. 2022;11(4):1041. doi: 10.3390/jcm11041041.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Strzalkowska A., Strzalkowski P., Stingl J.V. Influence of different primary surgical techniques on long-term intraocular pressure and medication in glaucoma after congenital cataract surgery. PLoS </w:t>
      </w:r>
      <w:r>
        <w:rPr>
          <w:rFonts w:ascii="Times New Roman" w:eastAsia="Times New Roman" w:hAnsi="Times New Roman" w:cs="Times New Roman"/>
          <w:sz w:val="24"/>
        </w:rPr>
        <w:t xml:space="preserve">One. 2023;18(7):e0286318. doi: 10.1371/journal.pone.0286318.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color w:val="1F1F1F"/>
          <w:sz w:val="24"/>
        </w:rPr>
        <w:t xml:space="preserve">Юрьева Т.Н., Минова О.И., Волкова Н.В., Помкина И.В. Клапанный дренаж </w:t>
      </w:r>
      <w:r>
        <w:rPr>
          <w:rFonts w:ascii="Times New Roman" w:eastAsia="Times New Roman" w:hAnsi="Times New Roman" w:cs="Times New Roman"/>
          <w:sz w:val="24"/>
        </w:rPr>
        <w:t>Ahmed в хирургии различных форм глаукомы у детей. Офтальмология. 2016; 13(2): 83-88. https://doi.org/10.18008/1816-5095-2016</w:t>
      </w:r>
      <w:r>
        <w:rPr>
          <w:rFonts w:ascii="Times New Roman" w:eastAsia="Times New Roman" w:hAnsi="Times New Roman" w:cs="Times New Roman"/>
          <w:sz w:val="24"/>
        </w:rPr>
        <w:t xml:space="preserve">-2-83-88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Välimäki J., Airaksinen P.J., Tuulonen A. Molteno implantation for secondary glaucoma in juvenile rheumatoid arthritis Arch Ophthalmol. 1997;115(10):1253-6. doi: </w:t>
      </w:r>
    </w:p>
    <w:p w:rsidR="001C2479" w:rsidRDefault="00863A7D">
      <w:pPr>
        <w:spacing w:after="118"/>
        <w:ind w:left="937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10.1001/archopht.1997.01100160423005. </w:t>
      </w:r>
    </w:p>
    <w:p w:rsidR="001C2479" w:rsidRDefault="00863A7D">
      <w:pPr>
        <w:numPr>
          <w:ilvl w:val="0"/>
          <w:numId w:val="19"/>
        </w:numPr>
        <w:spacing w:after="3" w:line="362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Wang Q., Wang J., Fortin E., Hamel P. Trabeculotomy in the treatment of pediatric uveitic glaucoma. J Glaucoma. 2016;25(9):744-9. doi: 10.1097/IJG.0000000000000516. </w:t>
      </w:r>
    </w:p>
    <w:p w:rsidR="001C2479" w:rsidRDefault="00863A7D">
      <w:pPr>
        <w:numPr>
          <w:ilvl w:val="0"/>
          <w:numId w:val="19"/>
        </w:numPr>
        <w:spacing w:after="0" w:line="358" w:lineRule="auto"/>
        <w:ind w:right="361" w:hanging="566"/>
        <w:jc w:val="both"/>
      </w:pPr>
      <w:r>
        <w:rPr>
          <w:rFonts w:ascii="Times New Roman" w:eastAsia="Times New Roman" w:hAnsi="Times New Roman" w:cs="Times New Roman"/>
          <w:color w:val="1F1F1F"/>
          <w:sz w:val="24"/>
        </w:rPr>
        <w:t>Zhang Yu., Chen W., Lin T.P.H. et al. Outcomes of goniotomy with or without secondary intr</w:t>
      </w:r>
      <w:r>
        <w:rPr>
          <w:rFonts w:ascii="Times New Roman" w:eastAsia="Times New Roman" w:hAnsi="Times New Roman" w:cs="Times New Roman"/>
          <w:color w:val="1F1F1F"/>
          <w:sz w:val="24"/>
        </w:rPr>
        <w:t>aocular lens implantation in pediatric glaucoma following cataract surgery: a prospective pilot study.</w:t>
      </w:r>
      <w:hyperlink r:id="rId10">
        <w:r>
          <w:rPr>
            <w:rFonts w:ascii="Times New Roman" w:eastAsia="Times New Roman" w:hAnsi="Times New Roman" w:cs="Times New Roman"/>
            <w:color w:val="1F1F1F"/>
            <w:sz w:val="24"/>
          </w:rPr>
          <w:t xml:space="preserve"> Asia</w:t>
        </w:r>
      </w:hyperlink>
      <w:hyperlink r:id="rId11">
        <w:r>
          <w:rPr>
            <w:rFonts w:ascii="Times New Roman" w:eastAsia="Times New Roman" w:hAnsi="Times New Roman" w:cs="Times New Roman"/>
            <w:color w:val="1F1F1F"/>
            <w:sz w:val="24"/>
          </w:rPr>
          <w:t>-</w:t>
        </w:r>
      </w:hyperlink>
      <w:hyperlink r:id="rId12">
        <w:r>
          <w:rPr>
            <w:rFonts w:ascii="Times New Roman" w:eastAsia="Times New Roman" w:hAnsi="Times New Roman" w:cs="Times New Roman"/>
            <w:color w:val="1F1F1F"/>
            <w:sz w:val="24"/>
          </w:rPr>
          <w:t xml:space="preserve">Pacific Journal of Ophthalmology </w:t>
        </w:r>
      </w:hyperlink>
      <w:r>
        <w:rPr>
          <w:rFonts w:ascii="Times New Roman" w:eastAsia="Times New Roman" w:hAnsi="Times New Roman" w:cs="Times New Roman"/>
          <w:color w:val="1F1F1F"/>
          <w:sz w:val="24"/>
        </w:rPr>
        <w:t>2023;12(5):444 – 450.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ab/>
        <w:t xml:space="preserve"> </w:t>
      </w:r>
    </w:p>
    <w:p w:rsidR="001C2479" w:rsidRDefault="00863A7D">
      <w:pPr>
        <w:spacing w:after="0" w:line="357" w:lineRule="auto"/>
        <w:ind w:left="319" w:right="309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>Приложение А1. Состав рабочей группы по разработке и пересм</w:t>
      </w:r>
      <w:r>
        <w:rPr>
          <w:rFonts w:ascii="Times New Roman" w:eastAsia="Times New Roman" w:hAnsi="Times New Roman" w:cs="Times New Roman"/>
          <w:b/>
          <w:sz w:val="28"/>
        </w:rPr>
        <w:t xml:space="preserve">отру клинических рекомендаций </w:t>
      </w:r>
    </w:p>
    <w:p w:rsidR="001C2479" w:rsidRDefault="00863A7D">
      <w:pPr>
        <w:numPr>
          <w:ilvl w:val="0"/>
          <w:numId w:val="20"/>
        </w:numPr>
        <w:spacing w:after="2" w:line="358" w:lineRule="auto"/>
        <w:ind w:left="848" w:right="331" w:hanging="502"/>
      </w:pPr>
      <w:r>
        <w:rPr>
          <w:rFonts w:ascii="Times New Roman" w:eastAsia="Times New Roman" w:hAnsi="Times New Roman" w:cs="Times New Roman"/>
          <w:b/>
          <w:sz w:val="24"/>
        </w:rPr>
        <w:t xml:space="preserve">Катаргина Людмила Анатольевна </w:t>
      </w:r>
      <w:r>
        <w:rPr>
          <w:rFonts w:ascii="Times New Roman" w:eastAsia="Times New Roman" w:hAnsi="Times New Roman" w:cs="Times New Roman"/>
          <w:sz w:val="24"/>
        </w:rPr>
        <w:t>– руководитель группы, главный внештатный специалист детский офтальмолог Министерства здравоохранения РФ, Заместитель директора по научной работе ФГБУ «Национальный медицинский исследовательский центр глазных болезней им Гельмгольца» Минздрава России, нача</w:t>
      </w:r>
      <w:r>
        <w:rPr>
          <w:rFonts w:ascii="Times New Roman" w:eastAsia="Times New Roman" w:hAnsi="Times New Roman" w:cs="Times New Roman"/>
          <w:sz w:val="24"/>
        </w:rPr>
        <w:t xml:space="preserve">льник отдела патологии глаз у детей, профессор, д.м.н., Москва; </w:t>
      </w:r>
    </w:p>
    <w:p w:rsidR="001C2479" w:rsidRDefault="00863A7D">
      <w:pPr>
        <w:numPr>
          <w:ilvl w:val="0"/>
          <w:numId w:val="20"/>
        </w:numPr>
        <w:spacing w:after="2" w:line="358" w:lineRule="auto"/>
        <w:ind w:left="848" w:right="331" w:hanging="502"/>
      </w:pPr>
      <w:r>
        <w:rPr>
          <w:rFonts w:ascii="Times New Roman" w:eastAsia="Times New Roman" w:hAnsi="Times New Roman" w:cs="Times New Roman"/>
          <w:b/>
          <w:sz w:val="24"/>
        </w:rPr>
        <w:t xml:space="preserve">Арестова Наталия Николаевна </w:t>
      </w:r>
      <w:r>
        <w:rPr>
          <w:rFonts w:ascii="Times New Roman" w:eastAsia="Times New Roman" w:hAnsi="Times New Roman" w:cs="Times New Roman"/>
          <w:sz w:val="24"/>
        </w:rPr>
        <w:t>– ведущий научный сотрудник отдела патологии глаз у детей ФГБУ «Национальный медицинский исследовательский центр глазных болезней им Гельмгольца» Минздрава России,</w:t>
      </w:r>
      <w:r>
        <w:rPr>
          <w:rFonts w:ascii="Times New Roman" w:eastAsia="Times New Roman" w:hAnsi="Times New Roman" w:cs="Times New Roman"/>
          <w:sz w:val="24"/>
        </w:rPr>
        <w:t xml:space="preserve"> доцент, д.м.н., Москва; </w:t>
      </w:r>
    </w:p>
    <w:p w:rsidR="001C2479" w:rsidRDefault="00863A7D">
      <w:pPr>
        <w:numPr>
          <w:ilvl w:val="0"/>
          <w:numId w:val="20"/>
        </w:numPr>
        <w:spacing w:after="2" w:line="358" w:lineRule="auto"/>
        <w:ind w:left="848" w:right="331" w:hanging="502"/>
      </w:pPr>
      <w:r>
        <w:rPr>
          <w:rFonts w:ascii="Times New Roman" w:eastAsia="Times New Roman" w:hAnsi="Times New Roman" w:cs="Times New Roman"/>
          <w:b/>
          <w:sz w:val="24"/>
        </w:rPr>
        <w:t xml:space="preserve">Бржеский _Владимир _Всеволодович </w:t>
      </w:r>
      <w:r>
        <w:rPr>
          <w:rFonts w:ascii="Times New Roman" w:eastAsia="Times New Roman" w:hAnsi="Times New Roman" w:cs="Times New Roman"/>
          <w:sz w:val="24"/>
        </w:rPr>
        <w:t xml:space="preserve">– заведующий кафедрой офтальмологии ФГБОУ ВО «Санкт-Петербургский государственный педиатрический медицинский университет» Минздрава РФ, д.м.н., профессор. Санкт-Петербург; </w:t>
      </w:r>
    </w:p>
    <w:p w:rsidR="001C2479" w:rsidRDefault="00863A7D">
      <w:pPr>
        <w:numPr>
          <w:ilvl w:val="0"/>
          <w:numId w:val="20"/>
        </w:numPr>
        <w:spacing w:after="2" w:line="358" w:lineRule="auto"/>
        <w:ind w:left="848" w:right="331" w:hanging="502"/>
      </w:pPr>
      <w:r>
        <w:rPr>
          <w:rFonts w:ascii="Times New Roman" w:eastAsia="Times New Roman" w:hAnsi="Times New Roman" w:cs="Times New Roman"/>
          <w:b/>
          <w:sz w:val="24"/>
        </w:rPr>
        <w:t>Денисова Екатерина Валер</w:t>
      </w:r>
      <w:r>
        <w:rPr>
          <w:rFonts w:ascii="Times New Roman" w:eastAsia="Times New Roman" w:hAnsi="Times New Roman" w:cs="Times New Roman"/>
          <w:b/>
          <w:sz w:val="24"/>
        </w:rPr>
        <w:t xml:space="preserve">ьевна – </w:t>
      </w:r>
      <w:r>
        <w:rPr>
          <w:rFonts w:ascii="Times New Roman" w:eastAsia="Times New Roman" w:hAnsi="Times New Roman" w:cs="Times New Roman"/>
          <w:sz w:val="24"/>
        </w:rPr>
        <w:t xml:space="preserve">старший научный сотрудник отдела патологии глаз у детей ФГБУ «Национальный медицинский исследовательский центр глазных болезней им Гельмгольца» Минздрава России, к.м.н., Москва;  </w:t>
      </w:r>
    </w:p>
    <w:p w:rsidR="001C2479" w:rsidRDefault="00863A7D">
      <w:pPr>
        <w:numPr>
          <w:ilvl w:val="0"/>
          <w:numId w:val="20"/>
        </w:numPr>
        <w:spacing w:after="122"/>
        <w:ind w:left="848" w:right="331" w:hanging="502"/>
      </w:pPr>
      <w:r>
        <w:rPr>
          <w:rFonts w:ascii="Times New Roman" w:eastAsia="Times New Roman" w:hAnsi="Times New Roman" w:cs="Times New Roman"/>
          <w:b/>
          <w:sz w:val="24"/>
        </w:rPr>
        <w:t>Панова Анна Юрьевна –</w:t>
      </w:r>
      <w:r>
        <w:rPr>
          <w:rFonts w:ascii="Times New Roman" w:eastAsia="Times New Roman" w:hAnsi="Times New Roman" w:cs="Times New Roman"/>
          <w:sz w:val="24"/>
        </w:rPr>
        <w:t xml:space="preserve"> научный сотрудник отдела патологии глаз у дете</w:t>
      </w:r>
      <w:r>
        <w:rPr>
          <w:rFonts w:ascii="Times New Roman" w:eastAsia="Times New Roman" w:hAnsi="Times New Roman" w:cs="Times New Roman"/>
          <w:sz w:val="24"/>
        </w:rPr>
        <w:t xml:space="preserve">й ФГБУ </w:t>
      </w:r>
    </w:p>
    <w:p w:rsidR="001C2479" w:rsidRDefault="00863A7D">
      <w:pPr>
        <w:spacing w:after="112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«Национальный медицинский исследовательский центр глазных болезней им </w:t>
      </w:r>
    </w:p>
    <w:p w:rsidR="001C2479" w:rsidRDefault="00863A7D">
      <w:pPr>
        <w:spacing w:after="118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Гельмгольца» Минздрава России, к.м.н., Москва; </w:t>
      </w:r>
    </w:p>
    <w:p w:rsidR="001C2479" w:rsidRDefault="00863A7D">
      <w:pPr>
        <w:numPr>
          <w:ilvl w:val="0"/>
          <w:numId w:val="20"/>
        </w:numPr>
        <w:spacing w:after="2" w:line="358" w:lineRule="auto"/>
        <w:ind w:left="848" w:right="331" w:hanging="502"/>
      </w:pPr>
      <w:r>
        <w:rPr>
          <w:rFonts w:ascii="Times New Roman" w:eastAsia="Times New Roman" w:hAnsi="Times New Roman" w:cs="Times New Roman"/>
          <w:b/>
          <w:sz w:val="24"/>
        </w:rPr>
        <w:t>Садовникова Наталия Николаевна</w:t>
      </w:r>
      <w:r>
        <w:rPr>
          <w:rFonts w:ascii="Times New Roman" w:eastAsia="Times New Roman" w:hAnsi="Times New Roman" w:cs="Times New Roman"/>
          <w:sz w:val="24"/>
        </w:rPr>
        <w:t>– заведующая офтальмологическим отделением клиники ФГБОУ ВО «Санкт-Петербургский государственный пе</w:t>
      </w:r>
      <w:r>
        <w:rPr>
          <w:rFonts w:ascii="Times New Roman" w:eastAsia="Times New Roman" w:hAnsi="Times New Roman" w:cs="Times New Roman"/>
          <w:sz w:val="24"/>
        </w:rPr>
        <w:t xml:space="preserve">диатрический медицинский университет» Минздрава РФ, к.м.н., доцент. Санкт-Петербург; </w:t>
      </w:r>
    </w:p>
    <w:p w:rsidR="001C2479" w:rsidRDefault="00863A7D">
      <w:pPr>
        <w:spacing w:after="115"/>
        <w:ind w:left="36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102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Конфликт интересов: </w:t>
      </w:r>
      <w:r>
        <w:rPr>
          <w:rFonts w:ascii="Times New Roman" w:eastAsia="Times New Roman" w:hAnsi="Times New Roman" w:cs="Times New Roman"/>
          <w:sz w:val="24"/>
        </w:rPr>
        <w:t xml:space="preserve">отсутствует. </w:t>
      </w:r>
    </w:p>
    <w:p w:rsidR="001C2479" w:rsidRDefault="00863A7D">
      <w:pPr>
        <w:spacing w:after="0"/>
        <w:ind w:left="361"/>
      </w:pPr>
      <w:r>
        <w:rPr>
          <w:rFonts w:ascii="Arial" w:eastAsia="Arial" w:hAnsi="Arial" w:cs="Arial"/>
          <w:sz w:val="23"/>
        </w:rPr>
        <w:t xml:space="preserve"> </w:t>
      </w:r>
      <w:r>
        <w:rPr>
          <w:rFonts w:ascii="Arial" w:eastAsia="Arial" w:hAnsi="Arial" w:cs="Arial"/>
          <w:sz w:val="23"/>
        </w:rPr>
        <w:tab/>
      </w:r>
      <w:r>
        <w:rPr>
          <w:rFonts w:ascii="Times New Roman" w:eastAsia="Times New Roman" w:hAnsi="Times New Roman" w:cs="Times New Roman"/>
          <w:sz w:val="23"/>
        </w:rPr>
        <w:t xml:space="preserve"> </w:t>
      </w:r>
    </w:p>
    <w:p w:rsidR="001C2479" w:rsidRDefault="00863A7D">
      <w:pPr>
        <w:spacing w:after="91"/>
        <w:ind w:left="523"/>
      </w:pPr>
      <w:r>
        <w:rPr>
          <w:rFonts w:ascii="Times New Roman" w:eastAsia="Times New Roman" w:hAnsi="Times New Roman" w:cs="Times New Roman"/>
          <w:b/>
          <w:sz w:val="28"/>
        </w:rPr>
        <w:t xml:space="preserve">Приложение А2. Методология разработки клинических рекомендаций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Методы, использованные для сбора/селекции доказательств: </w:t>
      </w:r>
      <w:r>
        <w:rPr>
          <w:rFonts w:ascii="Times New Roman" w:eastAsia="Times New Roman" w:hAnsi="Times New Roman" w:cs="Times New Roman"/>
          <w:sz w:val="24"/>
        </w:rPr>
        <w:t xml:space="preserve">поиск в электронных базах данных; анализ современных научных разработок по проблеме глаукомы в России и за рубежом, обобщение практического опыта российских и иностранных коллег.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Настоящие рекомендации в предварительной версии были рецензированы независим</w:t>
      </w:r>
      <w:r>
        <w:rPr>
          <w:rFonts w:ascii="Times New Roman" w:eastAsia="Times New Roman" w:hAnsi="Times New Roman" w:cs="Times New Roman"/>
          <w:sz w:val="24"/>
        </w:rPr>
        <w:t xml:space="preserve">ыми экспертами, которые прокомментировали доступность интерпретации доказательств, лежащих в основе рекомендаций, для практических врачей и пациентов.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Комментарии, полученные от экспертов, тщательно систематизированы и обсуждены председателем и членами ра</w:t>
      </w:r>
      <w:r>
        <w:rPr>
          <w:rFonts w:ascii="Times New Roman" w:eastAsia="Times New Roman" w:hAnsi="Times New Roman" w:cs="Times New Roman"/>
          <w:sz w:val="24"/>
        </w:rPr>
        <w:t xml:space="preserve">бочей группы. Каждый пункт обсужден и внесены соответствующие изменениям рекомендации.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В данных клинических рекомендациях все сведения ранжированы по уровню достоверности (доказательности) в зависимости от количества и качества исследований по данной проб</w:t>
      </w:r>
      <w:r>
        <w:rPr>
          <w:rFonts w:ascii="Times New Roman" w:eastAsia="Times New Roman" w:hAnsi="Times New Roman" w:cs="Times New Roman"/>
          <w:sz w:val="24"/>
        </w:rPr>
        <w:t xml:space="preserve">леме. </w:t>
      </w:r>
    </w:p>
    <w:p w:rsidR="001C2479" w:rsidRDefault="00863A7D">
      <w:pPr>
        <w:spacing w:after="151"/>
        <w:ind w:right="11"/>
        <w:jc w:val="center"/>
      </w:pPr>
      <w:r>
        <w:rPr>
          <w:rFonts w:ascii="Times New Roman" w:eastAsia="Times New Roman" w:hAnsi="Times New Roman" w:cs="Times New Roman"/>
          <w:b/>
          <w:sz w:val="24"/>
          <w:u w:val="single" w:color="000000"/>
        </w:rPr>
        <w:t>Целевая аудитория данных клинических рекомендаций: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numPr>
          <w:ilvl w:val="0"/>
          <w:numId w:val="21"/>
        </w:numPr>
        <w:spacing w:after="120"/>
        <w:ind w:right="361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Врачи-офтальмологи; </w:t>
      </w:r>
    </w:p>
    <w:p w:rsidR="001C2479" w:rsidRDefault="00863A7D">
      <w:pPr>
        <w:numPr>
          <w:ilvl w:val="0"/>
          <w:numId w:val="21"/>
        </w:numPr>
        <w:spacing w:after="67"/>
        <w:ind w:right="361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Врачи педиатры (семейные врачи) </w:t>
      </w:r>
    </w:p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sz w:val="23"/>
        </w:rPr>
        <w:t xml:space="preserve"> </w:t>
      </w:r>
    </w:p>
    <w:p w:rsidR="001C2479" w:rsidRDefault="00863A7D">
      <w:pPr>
        <w:spacing w:after="3"/>
        <w:ind w:left="356" w:right="361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1. </w:t>
      </w:r>
      <w:r>
        <w:rPr>
          <w:rFonts w:ascii="Times New Roman" w:eastAsia="Times New Roman" w:hAnsi="Times New Roman" w:cs="Times New Roman"/>
          <w:sz w:val="24"/>
        </w:rPr>
        <w:t xml:space="preserve">Шкала оценки уровней достоверности доказательств (УДД) для методов диагностики (диагностических вмешательств) </w:t>
      </w:r>
    </w:p>
    <w:tbl>
      <w:tblPr>
        <w:tblStyle w:val="TableGrid"/>
        <w:tblW w:w="9573" w:type="dxa"/>
        <w:tblInd w:w="252" w:type="dxa"/>
        <w:tblCellMar>
          <w:top w:w="9" w:type="dxa"/>
          <w:left w:w="108" w:type="dxa"/>
          <w:bottom w:w="0" w:type="dxa"/>
          <w:right w:w="108" w:type="dxa"/>
        </w:tblCellMar>
        <w:tblLook w:val="04A0" w:firstRow="1" w:lastRow="0" w:firstColumn="1" w:lastColumn="0" w:noHBand="0" w:noVBand="1"/>
      </w:tblPr>
      <w:tblGrid>
        <w:gridCol w:w="816"/>
        <w:gridCol w:w="8757"/>
      </w:tblGrid>
      <w:tr w:rsidR="001C2479">
        <w:trPr>
          <w:trHeight w:val="32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58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УДД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Расшифровка </w:t>
            </w:r>
          </w:p>
        </w:tc>
      </w:tr>
      <w:tr w:rsidR="001C2479">
        <w:trPr>
          <w:trHeight w:val="9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Систематические обзоры исследований с контролем референтным методом или систематический обзор рандомизированных клинических исследований с применением метаанализа </w:t>
            </w:r>
          </w:p>
        </w:tc>
      </w:tr>
      <w:tr w:rsidR="001C2479">
        <w:trPr>
          <w:trHeight w:val="128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Отдельные исследования с контролем референтным методом или отдельные рандомизированны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метаанализа </w:t>
            </w:r>
          </w:p>
        </w:tc>
      </w:tr>
      <w:tr w:rsidR="001C2479">
        <w:trPr>
          <w:trHeight w:val="1279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Исследования без последовательного контроля референтным методом или исследования с референтным методом, не являющимся независимым от исследуемого метода, или нерандомизированные сравнительные исследования, в том числе когортные исследования </w:t>
            </w:r>
          </w:p>
        </w:tc>
      </w:tr>
      <w:tr w:rsidR="001C2479">
        <w:trPr>
          <w:trHeight w:val="329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Несравните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льные исследования, описание клинического случая </w:t>
            </w:r>
          </w:p>
        </w:tc>
      </w:tr>
      <w:tr w:rsidR="001C2479">
        <w:trPr>
          <w:trHeight w:val="32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left="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Имеется лишь обоснование механизма действия или мнение экспертов </w:t>
            </w:r>
          </w:p>
        </w:tc>
      </w:tr>
    </w:tbl>
    <w:p w:rsidR="001C2479" w:rsidRDefault="00863A7D">
      <w:pPr>
        <w:spacing w:after="115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112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115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112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108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2"/>
        <w:ind w:left="356" w:right="33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2. </w:t>
      </w:r>
      <w:r>
        <w:rPr>
          <w:rFonts w:ascii="Times New Roman" w:eastAsia="Times New Roman" w:hAnsi="Times New Roman" w:cs="Times New Roman"/>
          <w:sz w:val="24"/>
        </w:rPr>
        <w:t xml:space="preserve">Шкала оценки уровней достоверности доказательств (УДД) для методов профилактики, лечения и реабилитации (профилактических, лечебных, реабилитационных вмешательств) </w:t>
      </w:r>
    </w:p>
    <w:tbl>
      <w:tblPr>
        <w:tblStyle w:val="TableGrid"/>
        <w:tblW w:w="9715" w:type="dxa"/>
        <w:tblInd w:w="252" w:type="dxa"/>
        <w:tblCellMar>
          <w:top w:w="7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699"/>
        <w:gridCol w:w="9016"/>
      </w:tblGrid>
      <w:tr w:rsidR="001C2479">
        <w:trPr>
          <w:trHeight w:val="286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УДД </w:t>
            </w:r>
          </w:p>
        </w:tc>
        <w:tc>
          <w:tcPr>
            <w:tcW w:w="9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4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Расшифровка  </w:t>
            </w:r>
          </w:p>
        </w:tc>
      </w:tr>
      <w:tr w:rsidR="001C2479">
        <w:trPr>
          <w:trHeight w:val="562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1 </w:t>
            </w:r>
          </w:p>
        </w:tc>
        <w:tc>
          <w:tcPr>
            <w:tcW w:w="9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Систематический обзор рандомизированных клинических исследований с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применением метаанализа </w:t>
            </w:r>
          </w:p>
        </w:tc>
      </w:tr>
      <w:tr w:rsidR="001C2479">
        <w:trPr>
          <w:trHeight w:val="838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 </w:t>
            </w:r>
          </w:p>
        </w:tc>
        <w:tc>
          <w:tcPr>
            <w:tcW w:w="9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Отдельные рандомизированные клинические исследований и систематические обзоры исследований любого дизайна, за исключением рандомизированных клинических исследований с применением метаанализа </w:t>
            </w:r>
          </w:p>
        </w:tc>
      </w:tr>
      <w:tr w:rsidR="001C2479">
        <w:trPr>
          <w:trHeight w:val="286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 </w:t>
            </w:r>
          </w:p>
        </w:tc>
        <w:tc>
          <w:tcPr>
            <w:tcW w:w="9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Нерандомизированные сравнительные исследования, в т.ч. когортные исследования </w:t>
            </w:r>
          </w:p>
        </w:tc>
      </w:tr>
      <w:tr w:rsidR="001C2479">
        <w:trPr>
          <w:trHeight w:val="565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</w:p>
        </w:tc>
        <w:tc>
          <w:tcPr>
            <w:tcW w:w="9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Несравнительные исследования, описание клинического случая или серии случаев, исследования «случай-контроль» </w:t>
            </w:r>
          </w:p>
        </w:tc>
      </w:tr>
      <w:tr w:rsidR="001C2479">
        <w:trPr>
          <w:trHeight w:val="562"/>
        </w:trPr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  <w:ind w:right="6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5 </w:t>
            </w:r>
          </w:p>
        </w:tc>
        <w:tc>
          <w:tcPr>
            <w:tcW w:w="9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Имеется лишь обоснование механизма действия вмешательства (доклинические исследования) или мнение экспертов </w:t>
            </w:r>
          </w:p>
        </w:tc>
      </w:tr>
    </w:tbl>
    <w:p w:rsidR="001C2479" w:rsidRDefault="00863A7D">
      <w:pPr>
        <w:spacing w:after="108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2"/>
        <w:ind w:left="356" w:right="331" w:hanging="10"/>
      </w:pPr>
      <w:r>
        <w:rPr>
          <w:rFonts w:ascii="Times New Roman" w:eastAsia="Times New Roman" w:hAnsi="Times New Roman" w:cs="Times New Roman"/>
          <w:b/>
          <w:sz w:val="24"/>
        </w:rPr>
        <w:t xml:space="preserve">Таблица 3. </w:t>
      </w:r>
      <w:r>
        <w:rPr>
          <w:rFonts w:ascii="Times New Roman" w:eastAsia="Times New Roman" w:hAnsi="Times New Roman" w:cs="Times New Roman"/>
          <w:sz w:val="24"/>
        </w:rPr>
        <w:t>Шкала оценки уровней убедительности рекомендаций (УУР) для методов профилактики, диагностики, лечения и реабилитации (профилактических, диагностических, лечебных, реабилитационных вмешательств</w:t>
      </w:r>
      <w:r>
        <w:rPr>
          <w:rFonts w:ascii="Times New Roman" w:eastAsia="Times New Roman" w:hAnsi="Times New Roman" w:cs="Times New Roman"/>
          <w:b/>
          <w:sz w:val="24"/>
        </w:rPr>
        <w:t xml:space="preserve">) </w:t>
      </w:r>
    </w:p>
    <w:tbl>
      <w:tblPr>
        <w:tblStyle w:val="TableGrid"/>
        <w:tblW w:w="9340" w:type="dxa"/>
        <w:tblInd w:w="353" w:type="dxa"/>
        <w:tblCellMar>
          <w:top w:w="9" w:type="dxa"/>
          <w:left w:w="7" w:type="dxa"/>
          <w:bottom w:w="0" w:type="dxa"/>
          <w:right w:w="24" w:type="dxa"/>
        </w:tblCellMar>
        <w:tblLook w:val="04A0" w:firstRow="1" w:lastRow="0" w:firstColumn="1" w:lastColumn="0" w:noHBand="0" w:noVBand="1"/>
      </w:tblPr>
      <w:tblGrid>
        <w:gridCol w:w="1939"/>
        <w:gridCol w:w="7401"/>
      </w:tblGrid>
      <w:tr w:rsidR="001C2479">
        <w:trPr>
          <w:trHeight w:val="290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left="12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УУР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  <w:ind w:left="13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Расшифровка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1C2479">
        <w:trPr>
          <w:trHeight w:val="1119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C2479" w:rsidRDefault="00863A7D">
            <w:pPr>
              <w:spacing w:after="0"/>
              <w:ind w:left="1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А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 </w:t>
            </w:r>
          </w:p>
        </w:tc>
      </w:tr>
      <w:tr w:rsidR="001C2479">
        <w:trPr>
          <w:trHeight w:val="1397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C2479" w:rsidRDefault="00863A7D">
            <w:pPr>
              <w:spacing w:after="0"/>
              <w:ind w:left="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Условная рекомендац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интересующим исходам не являются согласованными) </w:t>
            </w:r>
          </w:p>
        </w:tc>
      </w:tr>
      <w:tr w:rsidR="001C2479">
        <w:trPr>
          <w:trHeight w:val="1395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C2479" w:rsidRDefault="00863A7D">
            <w:pPr>
              <w:spacing w:after="0"/>
              <w:ind w:left="14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C2479" w:rsidRDefault="00863A7D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Слабая рекомендация (отсутствие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согласованны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ми) </w:t>
            </w:r>
          </w:p>
        </w:tc>
      </w:tr>
    </w:tbl>
    <w:p w:rsidR="001C2479" w:rsidRDefault="00863A7D">
      <w:pPr>
        <w:spacing w:after="112"/>
        <w:ind w:left="361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C2479" w:rsidRDefault="00863A7D">
      <w:pPr>
        <w:spacing w:after="110"/>
        <w:ind w:left="356" w:right="354" w:hanging="10"/>
        <w:jc w:val="both"/>
      </w:pPr>
      <w:r>
        <w:rPr>
          <w:rFonts w:ascii="Times New Roman" w:eastAsia="Times New Roman" w:hAnsi="Times New Roman" w:cs="Times New Roman"/>
          <w:b/>
          <w:sz w:val="24"/>
        </w:rPr>
        <w:t>Порядок обновления клинических рекомендаций.</w:t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Механизм обновления клинических рекомендаций предусматривает их систематическую актуализацию – не реже чем один раз в три года, а также при появлении новых данных с позиции доказательной медицины по воп</w:t>
      </w:r>
      <w:r>
        <w:rPr>
          <w:rFonts w:ascii="Times New Roman" w:eastAsia="Times New Roman" w:hAnsi="Times New Roman" w:cs="Times New Roman"/>
          <w:sz w:val="24"/>
        </w:rPr>
        <w:t xml:space="preserve">росам диагностики, лечения, профилактики и реабилитации конкретных заболеваний, наличии обоснованных дополнений/замечаний к ранее утверждённым клиническим рекомендациям, но не чаще 1 раза в 6 месяцев. </w:t>
      </w:r>
    </w:p>
    <w:p w:rsidR="001C2479" w:rsidRDefault="00863A7D">
      <w:pPr>
        <w:spacing w:after="0"/>
        <w:ind w:left="361"/>
      </w:pPr>
      <w:r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0" w:line="357" w:lineRule="auto"/>
        <w:ind w:left="319" w:right="250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>Приложение А3. Справочные материалы, включая соотв</w:t>
      </w:r>
      <w:r>
        <w:rPr>
          <w:rFonts w:ascii="Times New Roman" w:eastAsia="Times New Roman" w:hAnsi="Times New Roman" w:cs="Times New Roman"/>
          <w:b/>
          <w:sz w:val="28"/>
        </w:rPr>
        <w:t xml:space="preserve">етствие показаний к применению и противопоказаний, способов применения и доз лекарственных препаратов инструкции по применению лекарственного препарата </w:t>
      </w:r>
    </w:p>
    <w:p w:rsidR="001C2479" w:rsidRDefault="00863A7D">
      <w:pPr>
        <w:spacing w:after="116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Данные клинические рекомендации разработаны с учетом следующих документов: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1.</w:t>
      </w:r>
      <w:r>
        <w:rPr>
          <w:rFonts w:ascii="Arial" w:eastAsia="Arial" w:hAnsi="Arial" w:cs="Arial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«Порядка оказания медицинской помощи детям при заболеваниях глаза, его придаточного аппарата и орбиты», утвержденного приказом МЗ РФ № 442н от </w:t>
      </w:r>
    </w:p>
    <w:p w:rsidR="001C2479" w:rsidRDefault="00863A7D">
      <w:pPr>
        <w:spacing w:after="119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25.10.2012г. </w:t>
      </w:r>
    </w:p>
    <w:p w:rsidR="001C2479" w:rsidRDefault="00863A7D">
      <w:pPr>
        <w:numPr>
          <w:ilvl w:val="0"/>
          <w:numId w:val="22"/>
        </w:numPr>
        <w:spacing w:after="3" w:line="362" w:lineRule="auto"/>
        <w:ind w:right="361" w:hanging="708"/>
        <w:jc w:val="both"/>
      </w:pPr>
      <w:r>
        <w:rPr>
          <w:rFonts w:ascii="Times New Roman" w:eastAsia="Times New Roman" w:hAnsi="Times New Roman" w:cs="Times New Roman"/>
          <w:sz w:val="24"/>
        </w:rPr>
        <w:t>Международная классификация болезней, травм и состояний, влияющих на здоровье, 10-го пересмотра (М</w:t>
      </w:r>
      <w:r>
        <w:rPr>
          <w:rFonts w:ascii="Times New Roman" w:eastAsia="Times New Roman" w:hAnsi="Times New Roman" w:cs="Times New Roman"/>
          <w:sz w:val="24"/>
        </w:rPr>
        <w:t xml:space="preserve">КБ-10) (Всемирная организация здравоохранения) 1994. </w:t>
      </w:r>
    </w:p>
    <w:p w:rsidR="001C2479" w:rsidRDefault="00863A7D">
      <w:pPr>
        <w:numPr>
          <w:ilvl w:val="0"/>
          <w:numId w:val="22"/>
        </w:numPr>
        <w:spacing w:after="3" w:line="362" w:lineRule="auto"/>
        <w:ind w:right="361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Номенклатура медицинских услуг (Министерство здравоохранения и социального развития Российской Федерации) 2017. </w:t>
      </w:r>
    </w:p>
    <w:p w:rsidR="001C2479" w:rsidRDefault="00863A7D">
      <w:pPr>
        <w:numPr>
          <w:ilvl w:val="0"/>
          <w:numId w:val="22"/>
        </w:numPr>
        <w:spacing w:after="119"/>
        <w:ind w:right="361" w:hanging="708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Федеральный закон «Об основах охраны здоровья граждан в Российской </w:t>
      </w:r>
    </w:p>
    <w:p w:rsidR="001C2479" w:rsidRDefault="00863A7D">
      <w:pPr>
        <w:spacing w:after="118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Федерации» от 21.11. </w:t>
      </w:r>
      <w:r>
        <w:rPr>
          <w:rFonts w:ascii="Times New Roman" w:eastAsia="Times New Roman" w:hAnsi="Times New Roman" w:cs="Times New Roman"/>
          <w:sz w:val="24"/>
        </w:rPr>
        <w:t xml:space="preserve">2011 г. № 323 Ф3. </w:t>
      </w:r>
    </w:p>
    <w:p w:rsidR="001C2479" w:rsidRDefault="00863A7D">
      <w:pPr>
        <w:numPr>
          <w:ilvl w:val="0"/>
          <w:numId w:val="22"/>
        </w:numPr>
        <w:spacing w:after="3" w:line="362" w:lineRule="auto"/>
        <w:ind w:right="361" w:hanging="708"/>
        <w:jc w:val="both"/>
      </w:pPr>
      <w:r>
        <w:rPr>
          <w:rFonts w:ascii="Times New Roman" w:eastAsia="Times New Roman" w:hAnsi="Times New Roman" w:cs="Times New Roman"/>
          <w:sz w:val="24"/>
        </w:rPr>
        <w:t>Перечень жизненно необходимых и важнейших лекарственных препаратов для медицинского применения на 2024 год. Распоряжение Правительства РФ от 12.10.2019 N 2406-р (ред. от 16.04.2024) «Об утверждении перечня жизненно необходимых и важнейши</w:t>
      </w:r>
      <w:r>
        <w:rPr>
          <w:rFonts w:ascii="Times New Roman" w:eastAsia="Times New Roman" w:hAnsi="Times New Roman" w:cs="Times New Roman"/>
          <w:sz w:val="24"/>
        </w:rPr>
        <w:t xml:space="preserve">х лекарственных препаратов, а также перечней лекарственных препаратов для медицинского применения и минимального ассортимента лекарственных препаратов, необходимых для оказания медицинской помощи». </w:t>
      </w:r>
    </w:p>
    <w:p w:rsidR="001C2479" w:rsidRDefault="00863A7D">
      <w:pPr>
        <w:numPr>
          <w:ilvl w:val="0"/>
          <w:numId w:val="22"/>
        </w:numPr>
        <w:spacing w:after="3" w:line="362" w:lineRule="auto"/>
        <w:ind w:right="361" w:hanging="708"/>
        <w:jc w:val="both"/>
      </w:pPr>
      <w:r>
        <w:rPr>
          <w:rFonts w:ascii="Times New Roman" w:eastAsia="Times New Roman" w:hAnsi="Times New Roman" w:cs="Times New Roman"/>
          <w:sz w:val="24"/>
        </w:rPr>
        <w:t>Приказ МЗ РФ от 27 марта 2024 г. n 143н об утверждении кл</w:t>
      </w:r>
      <w:r>
        <w:rPr>
          <w:rFonts w:ascii="Times New Roman" w:eastAsia="Times New Roman" w:hAnsi="Times New Roman" w:cs="Times New Roman"/>
          <w:sz w:val="24"/>
        </w:rPr>
        <w:t>ассификации природных лечебных ресурсов, указанных в пункте 2 статьи 2.1 федерального закона от 23 февраля 1995 г. n 26-фз "о природных лечебных ресурсах, лечебно-оздоровительных местностях и курортах", их характеристик и перечня медицинских показаний и пр</w:t>
      </w:r>
      <w:r>
        <w:rPr>
          <w:rFonts w:ascii="Times New Roman" w:eastAsia="Times New Roman" w:hAnsi="Times New Roman" w:cs="Times New Roman"/>
          <w:sz w:val="24"/>
        </w:rPr>
        <w:t xml:space="preserve">отивопоказаний для санаторно-курортного лечения и медицинской реабилитации с применением таких природных лечебных ресурсов. </w:t>
      </w:r>
    </w:p>
    <w:p w:rsidR="001C2479" w:rsidRDefault="00863A7D">
      <w:pPr>
        <w:spacing w:after="153"/>
        <w:ind w:left="356" w:right="361" w:hanging="10"/>
        <w:jc w:val="both"/>
      </w:pPr>
      <w:hyperlink r:id="rId13" w:anchor="h614">
        <w:r>
          <w:rPr>
            <w:rFonts w:ascii="Times New Roman" w:eastAsia="Times New Roman" w:hAnsi="Times New Roman" w:cs="Times New Roman"/>
            <w:sz w:val="24"/>
          </w:rPr>
          <w:t>https://normativ.kontur.ru/document?m</w:t>
        </w:r>
        <w:r>
          <w:rPr>
            <w:rFonts w:ascii="Times New Roman" w:eastAsia="Times New Roman" w:hAnsi="Times New Roman" w:cs="Times New Roman"/>
            <w:sz w:val="24"/>
          </w:rPr>
          <w:t>oduleId=1&amp;documentId=468782#h614</w:t>
        </w:r>
      </w:hyperlink>
      <w:hyperlink r:id="rId14" w:anchor="h614">
        <w:r>
          <w:rPr>
            <w:rFonts w:ascii="Times New Roman" w:eastAsia="Times New Roman" w:hAnsi="Times New Roman" w:cs="Times New Roman"/>
            <w:sz w:val="24"/>
          </w:rPr>
          <w:t xml:space="preserve"> </w:t>
        </w:r>
      </w:hyperlink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260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pStyle w:val="Heading1"/>
        <w:spacing w:after="68"/>
        <w:ind w:left="0" w:right="2281" w:firstLine="0"/>
        <w:jc w:val="right"/>
      </w:pPr>
      <w:r>
        <w:rPr>
          <w:sz w:val="28"/>
          <w:u w:val="none"/>
        </w:rPr>
        <w:t>Приложение Б. Алгоритмы действия врача</w:t>
      </w:r>
      <w:r>
        <w:rPr>
          <w:sz w:val="28"/>
          <w:u w:val="none"/>
        </w:rPr>
        <w:t xml:space="preserve">  </w:t>
      </w:r>
    </w:p>
    <w:p w:rsidR="001C2479" w:rsidRDefault="00863A7D">
      <w:pPr>
        <w:spacing w:after="0"/>
        <w:ind w:right="1942"/>
        <w:jc w:val="right"/>
      </w:pPr>
      <w:r>
        <w:rPr>
          <w:noProof/>
        </w:rPr>
        <w:drawing>
          <wp:inline distT="0" distB="0" distL="0" distR="0">
            <wp:extent cx="4444746" cy="5027310"/>
            <wp:effectExtent l="0" t="0" r="0" b="0"/>
            <wp:docPr id="6461" name="Picture 64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1" name="Picture 646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44746" cy="502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5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4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257"/>
        <w:ind w:left="361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1C2479" w:rsidRDefault="00863A7D">
      <w:pPr>
        <w:spacing w:after="93"/>
        <w:ind w:left="319" w:right="317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Приложение В. Информация для пациентов </w:t>
      </w:r>
    </w:p>
    <w:p w:rsidR="001C2479" w:rsidRDefault="00863A7D">
      <w:pPr>
        <w:spacing w:after="3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Вторичная глаукома – тяжелое заболевание, являющееся одной из основных причин слепоты, слабовидения и нарушений зрения у детей. Успех лечения вторичной глаукомы во многом зависит от раннего выявления заболевания и св</w:t>
      </w:r>
      <w:r>
        <w:rPr>
          <w:rFonts w:ascii="Times New Roman" w:eastAsia="Times New Roman" w:hAnsi="Times New Roman" w:cs="Times New Roman"/>
          <w:sz w:val="24"/>
        </w:rPr>
        <w:t xml:space="preserve">оевременного проводимого лечения. </w:t>
      </w:r>
    </w:p>
    <w:p w:rsidR="001C2479" w:rsidRDefault="00863A7D">
      <w:pPr>
        <w:spacing w:after="3" w:line="362" w:lineRule="auto"/>
        <w:ind w:left="346" w:right="361" w:firstLine="708"/>
        <w:jc w:val="both"/>
      </w:pPr>
      <w:r>
        <w:rPr>
          <w:rFonts w:ascii="Times New Roman" w:eastAsia="Times New Roman" w:hAnsi="Times New Roman" w:cs="Times New Roman"/>
          <w:sz w:val="24"/>
        </w:rPr>
        <w:t>При несвоевременно начатом лечении болезнь быстро прогрессирует и приводит к необратимым изменениям глазного яблока. В поздних стадиях заболевания даже после хирургического лечения шансы на успешный исход значительно сниж</w:t>
      </w:r>
      <w:r>
        <w:rPr>
          <w:rFonts w:ascii="Times New Roman" w:eastAsia="Times New Roman" w:hAnsi="Times New Roman" w:cs="Times New Roman"/>
          <w:sz w:val="24"/>
        </w:rPr>
        <w:t>аются. Дети с подозрением на вторичную глаукому или установленным диагнозом ставятся на диспансерный учет в поликлинике. При подозрении на вторичную глаукому ребенок должен быть в обязательном порядке обследован и, если диагноз не снимается, обследования п</w:t>
      </w:r>
      <w:r>
        <w:rPr>
          <w:rFonts w:ascii="Times New Roman" w:eastAsia="Times New Roman" w:hAnsi="Times New Roman" w:cs="Times New Roman"/>
          <w:sz w:val="24"/>
        </w:rPr>
        <w:t xml:space="preserve">овторяются 3 -4 раза не реже 1 раза в 3 месяца. Ребенок с установленным диагнозом и нормализованным давлением должен показываться окулисту не реже одного раза в три месяца. После хирургического лечения первое обследование следует проводить не позднее, чем </w:t>
      </w:r>
      <w:r>
        <w:rPr>
          <w:rFonts w:ascii="Times New Roman" w:eastAsia="Times New Roman" w:hAnsi="Times New Roman" w:cs="Times New Roman"/>
          <w:sz w:val="24"/>
        </w:rPr>
        <w:t xml:space="preserve">через 1 неделю, в дальнейшем в зависимости от течения – 1 раз в 1 – 3 – 6месяцев.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Необходимо срочное обращение к врачу-офтальмологу при появлении любого из нижеперечисленных симптомов: покраснение глаза, светобоязнь, боль, снижение и/или затуманивание зре</w:t>
      </w:r>
      <w:r>
        <w:rPr>
          <w:rFonts w:ascii="Times New Roman" w:eastAsia="Times New Roman" w:hAnsi="Times New Roman" w:cs="Times New Roman"/>
          <w:sz w:val="24"/>
        </w:rPr>
        <w:t xml:space="preserve">ния, выпадение поля зрения, нарушение восприятия цветов, изменение цвета радужки, размеров и формы зрачка.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 xml:space="preserve">Необходимо строго соблюдать все назначения и рекомендуемую кратность обследования у врача-офтальмолога. </w:t>
      </w:r>
    </w:p>
    <w:p w:rsidR="001C2479" w:rsidRDefault="00863A7D">
      <w:pPr>
        <w:spacing w:after="3" w:line="362" w:lineRule="auto"/>
        <w:ind w:left="356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Пациент (родители пациента)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должны владеть </w:t>
      </w:r>
      <w:r>
        <w:rPr>
          <w:rFonts w:ascii="Times New Roman" w:eastAsia="Times New Roman" w:hAnsi="Times New Roman" w:cs="Times New Roman"/>
          <w:sz w:val="24"/>
        </w:rPr>
        <w:t>информацией о возможных побочных эффектах терапии, а также срочно обращаться к врачу-офтальмологу при их развитии.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В случае необратимой слепоты или слабовидения пациент (родители пациента)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должны владеть полной информацией о возможностях социальной, психол</w:t>
      </w:r>
      <w:r>
        <w:rPr>
          <w:rFonts w:ascii="Times New Roman" w:eastAsia="Times New Roman" w:hAnsi="Times New Roman" w:cs="Times New Roman"/>
          <w:sz w:val="24"/>
        </w:rPr>
        <w:t xml:space="preserve">огической и профессиональной реабилитации. </w:t>
      </w:r>
    </w:p>
    <w:p w:rsidR="001C2479" w:rsidRDefault="00863A7D">
      <w:pPr>
        <w:spacing w:after="113"/>
        <w:ind w:left="36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115"/>
        <w:ind w:left="36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863A7D">
      <w:pPr>
        <w:spacing w:after="0" w:line="357" w:lineRule="auto"/>
        <w:ind w:left="319" w:right="309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Приложение Г1-ГN. Шкалы оценки, вопросники и другие оценочные инструменты состояния пациента, приведенные в клинических рекомендациях </w:t>
      </w:r>
    </w:p>
    <w:p w:rsidR="001C2479" w:rsidRDefault="00863A7D">
      <w:pPr>
        <w:spacing w:after="3"/>
        <w:ind w:left="1079" w:right="361" w:hanging="10"/>
        <w:jc w:val="both"/>
      </w:pPr>
      <w:r>
        <w:rPr>
          <w:rFonts w:ascii="Times New Roman" w:eastAsia="Times New Roman" w:hAnsi="Times New Roman" w:cs="Times New Roman"/>
          <w:sz w:val="24"/>
        </w:rPr>
        <w:t>Не применяются.</w:t>
      </w:r>
      <w:r>
        <w:rPr>
          <w:rFonts w:ascii="Arial" w:eastAsia="Arial" w:hAnsi="Arial" w:cs="Arial"/>
          <w:sz w:val="24"/>
        </w:rPr>
        <w:t xml:space="preserve"> </w:t>
      </w:r>
    </w:p>
    <w:p w:rsidR="001C2479" w:rsidRDefault="00863A7D">
      <w:pPr>
        <w:spacing w:after="0"/>
        <w:ind w:left="361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C2479" w:rsidRDefault="001C2479">
      <w:pPr>
        <w:sectPr w:rsidR="001C2479">
          <w:footerReference w:type="even" r:id="rId16"/>
          <w:footerReference w:type="default" r:id="rId17"/>
          <w:footerReference w:type="first" r:id="rId18"/>
          <w:pgSz w:w="11906" w:h="16838"/>
          <w:pgMar w:top="1137" w:right="908" w:bottom="1218" w:left="917" w:header="720" w:footer="776" w:gutter="0"/>
          <w:cols w:space="720"/>
        </w:sectPr>
      </w:pPr>
    </w:p>
    <w:p w:rsidR="001C2479" w:rsidRDefault="00863A7D">
      <w:pPr>
        <w:spacing w:after="0"/>
        <w:ind w:left="-1440" w:right="10800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27432</wp:posOffset>
            </wp:positionH>
            <wp:positionV relativeFrom="page">
              <wp:posOffset>36576</wp:posOffset>
            </wp:positionV>
            <wp:extent cx="7708393" cy="10021824"/>
            <wp:effectExtent l="0" t="0" r="0" b="0"/>
            <wp:wrapTopAndBottom/>
            <wp:docPr id="52381" name="Picture 523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81" name="Picture 52381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708393" cy="10021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C2479">
      <w:footerReference w:type="even" r:id="rId20"/>
      <w:footerReference w:type="default" r:id="rId21"/>
      <w:footerReference w:type="first" r:id="rId22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863A7D">
      <w:pPr>
        <w:spacing w:after="0" w:line="240" w:lineRule="auto"/>
      </w:pPr>
      <w:r>
        <w:separator/>
      </w:r>
    </w:p>
  </w:endnote>
  <w:endnote w:type="continuationSeparator" w:id="0">
    <w:p w:rsidR="00000000" w:rsidRDefault="00863A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479" w:rsidRDefault="00863A7D">
    <w:pPr>
      <w:spacing w:after="0"/>
      <w:ind w:right="365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ahoma" w:eastAsia="Tahoma" w:hAnsi="Tahoma" w:cs="Tahoma"/>
        <w:sz w:val="16"/>
      </w:rPr>
      <w:t>2</w:t>
    </w:r>
    <w:r>
      <w:rPr>
        <w:rFonts w:ascii="Tahoma" w:eastAsia="Tahoma" w:hAnsi="Tahoma" w:cs="Tahoma"/>
        <w:sz w:val="16"/>
      </w:rPr>
      <w:fldChar w:fldCharType="end"/>
    </w:r>
    <w:r>
      <w:rPr>
        <w:rFonts w:ascii="Tahoma" w:eastAsia="Tahoma" w:hAnsi="Tahoma" w:cs="Tahoma"/>
        <w:sz w:val="16"/>
      </w:rPr>
      <w:t xml:space="preserve"> </w:t>
    </w:r>
  </w:p>
  <w:p w:rsidR="001C2479" w:rsidRDefault="00863A7D">
    <w:pPr>
      <w:spacing w:after="0"/>
      <w:ind w:left="361"/>
    </w:pPr>
    <w:r>
      <w:rPr>
        <w:rFonts w:ascii="Tahoma" w:eastAsia="Tahoma" w:hAnsi="Tahoma" w:cs="Tahoma"/>
        <w:sz w:val="16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479" w:rsidRDefault="00863A7D">
    <w:pPr>
      <w:spacing w:after="0"/>
      <w:ind w:right="365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ahoma" w:eastAsia="Tahoma" w:hAnsi="Tahoma" w:cs="Tahoma"/>
        <w:sz w:val="16"/>
      </w:rPr>
      <w:t>2</w:t>
    </w:r>
    <w:r>
      <w:rPr>
        <w:rFonts w:ascii="Tahoma" w:eastAsia="Tahoma" w:hAnsi="Tahoma" w:cs="Tahoma"/>
        <w:sz w:val="16"/>
      </w:rPr>
      <w:fldChar w:fldCharType="end"/>
    </w:r>
    <w:r>
      <w:rPr>
        <w:rFonts w:ascii="Tahoma" w:eastAsia="Tahoma" w:hAnsi="Tahoma" w:cs="Tahoma"/>
        <w:sz w:val="16"/>
      </w:rPr>
      <w:t xml:space="preserve"> </w:t>
    </w:r>
  </w:p>
  <w:p w:rsidR="001C2479" w:rsidRDefault="00863A7D">
    <w:pPr>
      <w:spacing w:after="0"/>
      <w:ind w:left="361"/>
    </w:pPr>
    <w:r>
      <w:rPr>
        <w:rFonts w:ascii="Tahoma" w:eastAsia="Tahoma" w:hAnsi="Tahoma" w:cs="Tahoma"/>
        <w:sz w:val="16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479" w:rsidRDefault="00863A7D">
    <w:pPr>
      <w:spacing w:after="0"/>
      <w:ind w:right="365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ahoma" w:eastAsia="Tahoma" w:hAnsi="Tahoma" w:cs="Tahoma"/>
        <w:sz w:val="16"/>
      </w:rPr>
      <w:t>2</w:t>
    </w:r>
    <w:r>
      <w:rPr>
        <w:rFonts w:ascii="Tahoma" w:eastAsia="Tahoma" w:hAnsi="Tahoma" w:cs="Tahoma"/>
        <w:sz w:val="16"/>
      </w:rPr>
      <w:fldChar w:fldCharType="end"/>
    </w:r>
    <w:r>
      <w:rPr>
        <w:rFonts w:ascii="Tahoma" w:eastAsia="Tahoma" w:hAnsi="Tahoma" w:cs="Tahoma"/>
        <w:sz w:val="16"/>
      </w:rPr>
      <w:t xml:space="preserve"> </w:t>
    </w:r>
  </w:p>
  <w:p w:rsidR="001C2479" w:rsidRDefault="00863A7D">
    <w:pPr>
      <w:spacing w:after="0"/>
      <w:ind w:left="361"/>
    </w:pPr>
    <w:r>
      <w:rPr>
        <w:rFonts w:ascii="Tahoma" w:eastAsia="Tahoma" w:hAnsi="Tahoma" w:cs="Tahoma"/>
        <w:sz w:val="16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479" w:rsidRDefault="001C2479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479" w:rsidRDefault="001C2479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479" w:rsidRDefault="001C247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863A7D">
      <w:pPr>
        <w:spacing w:after="0" w:line="240" w:lineRule="auto"/>
      </w:pPr>
      <w:r>
        <w:separator/>
      </w:r>
    </w:p>
  </w:footnote>
  <w:footnote w:type="continuationSeparator" w:id="0">
    <w:p w:rsidR="00000000" w:rsidRDefault="00863A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779A8"/>
    <w:multiLevelType w:val="hybridMultilevel"/>
    <w:tmpl w:val="E452DCC8"/>
    <w:lvl w:ilvl="0" w:tplc="8124BEC2">
      <w:start w:val="1"/>
      <w:numFmt w:val="decimal"/>
      <w:lvlText w:val="%1."/>
      <w:lvlJc w:val="left"/>
      <w:pPr>
        <w:ind w:left="8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04E829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BF204C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1D4CBF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EC2D07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260897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6064F0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A9284B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C9E66E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C5718C7"/>
    <w:multiLevelType w:val="multilevel"/>
    <w:tmpl w:val="9500B0DC"/>
    <w:lvl w:ilvl="0">
      <w:start w:val="1"/>
      <w:numFmt w:val="decimal"/>
      <w:lvlText w:val="%1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3"/>
      <w:numFmt w:val="decimal"/>
      <w:lvlText w:val="%1.%2"/>
      <w:lvlJc w:val="left"/>
      <w:pPr>
        <w:ind w:left="7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0C15D78"/>
    <w:multiLevelType w:val="hybridMultilevel"/>
    <w:tmpl w:val="07C08EA0"/>
    <w:lvl w:ilvl="0" w:tplc="0602D266">
      <w:start w:val="1"/>
      <w:numFmt w:val="bullet"/>
      <w:lvlText w:val="•"/>
      <w:lvlJc w:val="left"/>
      <w:pPr>
        <w:ind w:left="35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282DDA8">
      <w:start w:val="1"/>
      <w:numFmt w:val="bullet"/>
      <w:lvlText w:val="o"/>
      <w:lvlJc w:val="left"/>
      <w:pPr>
        <w:ind w:left="14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1049DC">
      <w:start w:val="1"/>
      <w:numFmt w:val="bullet"/>
      <w:lvlText w:val="▪"/>
      <w:lvlJc w:val="left"/>
      <w:pPr>
        <w:ind w:left="21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D468462">
      <w:start w:val="1"/>
      <w:numFmt w:val="bullet"/>
      <w:lvlText w:val="•"/>
      <w:lvlJc w:val="left"/>
      <w:pPr>
        <w:ind w:left="28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66E4E10">
      <w:start w:val="1"/>
      <w:numFmt w:val="bullet"/>
      <w:lvlText w:val="o"/>
      <w:lvlJc w:val="left"/>
      <w:pPr>
        <w:ind w:left="35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D766CFC">
      <w:start w:val="1"/>
      <w:numFmt w:val="bullet"/>
      <w:lvlText w:val="▪"/>
      <w:lvlJc w:val="left"/>
      <w:pPr>
        <w:ind w:left="43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0A7DB4">
      <w:start w:val="1"/>
      <w:numFmt w:val="bullet"/>
      <w:lvlText w:val="•"/>
      <w:lvlJc w:val="left"/>
      <w:pPr>
        <w:ind w:left="50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104E4E2">
      <w:start w:val="1"/>
      <w:numFmt w:val="bullet"/>
      <w:lvlText w:val="o"/>
      <w:lvlJc w:val="left"/>
      <w:pPr>
        <w:ind w:left="57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4FE0790">
      <w:start w:val="1"/>
      <w:numFmt w:val="bullet"/>
      <w:lvlText w:val="▪"/>
      <w:lvlJc w:val="left"/>
      <w:pPr>
        <w:ind w:left="64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17A383C"/>
    <w:multiLevelType w:val="hybridMultilevel"/>
    <w:tmpl w:val="252E9A32"/>
    <w:lvl w:ilvl="0" w:tplc="FDD800C8">
      <w:start w:val="1"/>
      <w:numFmt w:val="bullet"/>
      <w:lvlText w:val="-"/>
      <w:lvlJc w:val="left"/>
      <w:pPr>
        <w:ind w:left="4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F0A0D0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718DED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410706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C44DA4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C54A14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856E3D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6C8673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54A327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8E66164"/>
    <w:multiLevelType w:val="hybridMultilevel"/>
    <w:tmpl w:val="E480AE9A"/>
    <w:lvl w:ilvl="0" w:tplc="C4DE18C0">
      <w:start w:val="6"/>
      <w:numFmt w:val="decimal"/>
      <w:lvlText w:val="%1."/>
      <w:lvlJc w:val="left"/>
      <w:pPr>
        <w:ind w:left="59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2163E50">
      <w:start w:val="1"/>
      <w:numFmt w:val="lowerLetter"/>
      <w:lvlText w:val="%2"/>
      <w:lvlJc w:val="left"/>
      <w:pPr>
        <w:ind w:left="20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4C29F7C">
      <w:start w:val="1"/>
      <w:numFmt w:val="lowerRoman"/>
      <w:lvlText w:val="%3"/>
      <w:lvlJc w:val="left"/>
      <w:pPr>
        <w:ind w:left="27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084A218">
      <w:start w:val="1"/>
      <w:numFmt w:val="decimal"/>
      <w:lvlText w:val="%4"/>
      <w:lvlJc w:val="left"/>
      <w:pPr>
        <w:ind w:left="34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B8AFC0E">
      <w:start w:val="1"/>
      <w:numFmt w:val="lowerLetter"/>
      <w:lvlText w:val="%5"/>
      <w:lvlJc w:val="left"/>
      <w:pPr>
        <w:ind w:left="419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B265DE6">
      <w:start w:val="1"/>
      <w:numFmt w:val="lowerRoman"/>
      <w:lvlText w:val="%6"/>
      <w:lvlJc w:val="left"/>
      <w:pPr>
        <w:ind w:left="491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AB65ED6">
      <w:start w:val="1"/>
      <w:numFmt w:val="decimal"/>
      <w:lvlText w:val="%7"/>
      <w:lvlJc w:val="left"/>
      <w:pPr>
        <w:ind w:left="56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66E889A">
      <w:start w:val="1"/>
      <w:numFmt w:val="lowerLetter"/>
      <w:lvlText w:val="%8"/>
      <w:lvlJc w:val="left"/>
      <w:pPr>
        <w:ind w:left="63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7C63C36">
      <w:start w:val="1"/>
      <w:numFmt w:val="lowerRoman"/>
      <w:lvlText w:val="%9"/>
      <w:lvlJc w:val="left"/>
      <w:pPr>
        <w:ind w:left="70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A206B4F"/>
    <w:multiLevelType w:val="hybridMultilevel"/>
    <w:tmpl w:val="0B227C8C"/>
    <w:lvl w:ilvl="0" w:tplc="7FC88FE2">
      <w:start w:val="1"/>
      <w:numFmt w:val="bullet"/>
      <w:lvlText w:val="•"/>
      <w:lvlJc w:val="left"/>
      <w:pPr>
        <w:ind w:left="36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2C8D846">
      <w:start w:val="1"/>
      <w:numFmt w:val="bullet"/>
      <w:lvlText w:val="•"/>
      <w:lvlJc w:val="left"/>
      <w:pPr>
        <w:ind w:left="35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68A7F3C">
      <w:start w:val="1"/>
      <w:numFmt w:val="bullet"/>
      <w:lvlText w:val="▪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3B8257A">
      <w:start w:val="1"/>
      <w:numFmt w:val="bullet"/>
      <w:lvlText w:val="•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9FC1FC2">
      <w:start w:val="1"/>
      <w:numFmt w:val="bullet"/>
      <w:lvlText w:val="o"/>
      <w:lvlJc w:val="left"/>
      <w:pPr>
        <w:ind w:left="2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0A8B7C">
      <w:start w:val="1"/>
      <w:numFmt w:val="bullet"/>
      <w:lvlText w:val="▪"/>
      <w:lvlJc w:val="left"/>
      <w:pPr>
        <w:ind w:left="3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86BADC">
      <w:start w:val="1"/>
      <w:numFmt w:val="bullet"/>
      <w:lvlText w:val="•"/>
      <w:lvlJc w:val="left"/>
      <w:pPr>
        <w:ind w:left="4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883FD6">
      <w:start w:val="1"/>
      <w:numFmt w:val="bullet"/>
      <w:lvlText w:val="o"/>
      <w:lvlJc w:val="left"/>
      <w:pPr>
        <w:ind w:left="5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F4DD16">
      <w:start w:val="1"/>
      <w:numFmt w:val="bullet"/>
      <w:lvlText w:val="▪"/>
      <w:lvlJc w:val="left"/>
      <w:pPr>
        <w:ind w:left="5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FAB2B9C"/>
    <w:multiLevelType w:val="hybridMultilevel"/>
    <w:tmpl w:val="931E53DA"/>
    <w:lvl w:ilvl="0" w:tplc="6BD67242">
      <w:start w:val="1"/>
      <w:numFmt w:val="bullet"/>
      <w:lvlText w:val="•"/>
      <w:lvlJc w:val="left"/>
      <w:pPr>
        <w:ind w:left="35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E52778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CCA158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50698C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BFAEC6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2E071A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6A28FC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CFA90F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29039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68027D3"/>
    <w:multiLevelType w:val="hybridMultilevel"/>
    <w:tmpl w:val="1F9ADDC6"/>
    <w:lvl w:ilvl="0" w:tplc="6F580522">
      <w:start w:val="1"/>
      <w:numFmt w:val="bullet"/>
      <w:lvlText w:val="•"/>
      <w:lvlJc w:val="left"/>
      <w:pPr>
        <w:ind w:left="35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992CC14">
      <w:start w:val="1"/>
      <w:numFmt w:val="bullet"/>
      <w:lvlText w:val="-"/>
      <w:lvlJc w:val="left"/>
      <w:pPr>
        <w:ind w:left="12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B49754">
      <w:start w:val="1"/>
      <w:numFmt w:val="bullet"/>
      <w:lvlText w:val="▪"/>
      <w:lvlJc w:val="left"/>
      <w:pPr>
        <w:ind w:left="1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E92F3E0">
      <w:start w:val="1"/>
      <w:numFmt w:val="bullet"/>
      <w:lvlText w:val="•"/>
      <w:lvlJc w:val="left"/>
      <w:pPr>
        <w:ind w:left="2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FC62106">
      <w:start w:val="1"/>
      <w:numFmt w:val="bullet"/>
      <w:lvlText w:val="o"/>
      <w:lvlJc w:val="left"/>
      <w:pPr>
        <w:ind w:left="3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D743550">
      <w:start w:val="1"/>
      <w:numFmt w:val="bullet"/>
      <w:lvlText w:val="▪"/>
      <w:lvlJc w:val="left"/>
      <w:pPr>
        <w:ind w:left="39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301E56">
      <w:start w:val="1"/>
      <w:numFmt w:val="bullet"/>
      <w:lvlText w:val="•"/>
      <w:lvlJc w:val="left"/>
      <w:pPr>
        <w:ind w:left="46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1FC3374">
      <w:start w:val="1"/>
      <w:numFmt w:val="bullet"/>
      <w:lvlText w:val="o"/>
      <w:lvlJc w:val="left"/>
      <w:pPr>
        <w:ind w:left="53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6C6C5FC">
      <w:start w:val="1"/>
      <w:numFmt w:val="bullet"/>
      <w:lvlText w:val="▪"/>
      <w:lvlJc w:val="left"/>
      <w:pPr>
        <w:ind w:left="61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C323E06"/>
    <w:multiLevelType w:val="hybridMultilevel"/>
    <w:tmpl w:val="4F164CF4"/>
    <w:lvl w:ilvl="0" w:tplc="80E09D6A">
      <w:start w:val="1"/>
      <w:numFmt w:val="decimal"/>
      <w:lvlText w:val="%1."/>
      <w:lvlJc w:val="left"/>
      <w:pPr>
        <w:ind w:left="9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F86ED4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6E07F2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142F1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A4AC87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F4A080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D6863B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4D2F32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5A0C85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DBE1DCA"/>
    <w:multiLevelType w:val="multilevel"/>
    <w:tmpl w:val="040A460C"/>
    <w:lvl w:ilvl="0">
      <w:start w:val="1"/>
      <w:numFmt w:val="decimal"/>
      <w:lvlText w:val="%1."/>
      <w:lvlJc w:val="left"/>
      <w:pPr>
        <w:ind w:left="31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77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4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6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8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0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2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4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6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DF52177"/>
    <w:multiLevelType w:val="hybridMultilevel"/>
    <w:tmpl w:val="2B7A7052"/>
    <w:lvl w:ilvl="0" w:tplc="8EFA77AA">
      <w:start w:val="1"/>
      <w:numFmt w:val="bullet"/>
      <w:lvlText w:val="-"/>
      <w:lvlJc w:val="left"/>
      <w:pPr>
        <w:ind w:left="48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182E33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B7A223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8ECEA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4ACD06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41899B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7702EF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0EED1E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1C2E2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3F875CF7"/>
    <w:multiLevelType w:val="hybridMultilevel"/>
    <w:tmpl w:val="5DD0849C"/>
    <w:lvl w:ilvl="0" w:tplc="E7929338">
      <w:start w:val="1"/>
      <w:numFmt w:val="bullet"/>
      <w:lvlText w:val="•"/>
      <w:lvlJc w:val="left"/>
      <w:pPr>
        <w:ind w:left="11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9265D3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206824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CEA168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4389F3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F96D41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962D82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86C165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A3C3E7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4106538E"/>
    <w:multiLevelType w:val="hybridMultilevel"/>
    <w:tmpl w:val="4874F832"/>
    <w:lvl w:ilvl="0" w:tplc="3FA4FE4C">
      <w:start w:val="2"/>
      <w:numFmt w:val="decimal"/>
      <w:lvlText w:val="%1."/>
      <w:lvlJc w:val="left"/>
      <w:pPr>
        <w:ind w:left="10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E98E28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8B6959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22F79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31460C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D50E3D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660298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E3A763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1ECF65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411E535E"/>
    <w:multiLevelType w:val="hybridMultilevel"/>
    <w:tmpl w:val="0D0854E0"/>
    <w:lvl w:ilvl="0" w:tplc="827C4BB8">
      <w:start w:val="1"/>
      <w:numFmt w:val="bullet"/>
      <w:lvlText w:val="•"/>
      <w:lvlJc w:val="left"/>
      <w:pPr>
        <w:ind w:left="35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7F64FE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4B0376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A5A0EE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C44999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C3E208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0E65C3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B40D45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5A68F6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2EF73BB"/>
    <w:multiLevelType w:val="multilevel"/>
    <w:tmpl w:val="5B6CC7F2"/>
    <w:lvl w:ilvl="0">
      <w:start w:val="1"/>
      <w:numFmt w:val="decimal"/>
      <w:lvlText w:val="%1."/>
      <w:lvlJc w:val="left"/>
      <w:pPr>
        <w:ind w:left="5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153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53939A8"/>
    <w:multiLevelType w:val="hybridMultilevel"/>
    <w:tmpl w:val="2F24C746"/>
    <w:lvl w:ilvl="0" w:tplc="3DC05826">
      <w:start w:val="1"/>
      <w:numFmt w:val="bullet"/>
      <w:lvlText w:val="•"/>
      <w:lvlJc w:val="left"/>
      <w:pPr>
        <w:ind w:left="10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C54D3F4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AB899FC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8829DF0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0CE9E20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68C388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63080F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660DB8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C48A070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58032904"/>
    <w:multiLevelType w:val="hybridMultilevel"/>
    <w:tmpl w:val="54FE2D1E"/>
    <w:lvl w:ilvl="0" w:tplc="391C5028">
      <w:start w:val="1"/>
      <w:numFmt w:val="decimal"/>
      <w:lvlText w:val="%1."/>
      <w:lvlJc w:val="left"/>
      <w:pPr>
        <w:ind w:left="105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550382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37A2B8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B849DA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800D26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126CD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C60A46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6F01B7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DF4350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5C254BA4"/>
    <w:multiLevelType w:val="hybridMultilevel"/>
    <w:tmpl w:val="4AECA8CE"/>
    <w:lvl w:ilvl="0" w:tplc="5B7AAEFC">
      <w:start w:val="1"/>
      <w:numFmt w:val="bullet"/>
      <w:lvlText w:val="•"/>
      <w:lvlJc w:val="left"/>
      <w:pPr>
        <w:ind w:left="36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D8868D4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84AE7E2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92855D4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2384628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C56BACC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566732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9208ADA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73852E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E05216A"/>
    <w:multiLevelType w:val="hybridMultilevel"/>
    <w:tmpl w:val="10B425CC"/>
    <w:lvl w:ilvl="0" w:tplc="56E0369C">
      <w:start w:val="1"/>
      <w:numFmt w:val="bullet"/>
      <w:lvlText w:val="•"/>
      <w:lvlJc w:val="left"/>
      <w:pPr>
        <w:ind w:left="105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7CA0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EFA200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354E6E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528E4C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74E5C9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6FA7A0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D366AA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D50DAE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660C240B"/>
    <w:multiLevelType w:val="hybridMultilevel"/>
    <w:tmpl w:val="0338B558"/>
    <w:lvl w:ilvl="0" w:tplc="69DA503E">
      <w:start w:val="1"/>
      <w:numFmt w:val="bullet"/>
      <w:lvlText w:val="-"/>
      <w:lvlJc w:val="left"/>
      <w:pPr>
        <w:ind w:left="48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2167DC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B8CBBB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08619D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0AEB6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BC0587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39EC0E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CCC577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0F270E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707D4AA5"/>
    <w:multiLevelType w:val="hybridMultilevel"/>
    <w:tmpl w:val="9EDCC520"/>
    <w:lvl w:ilvl="0" w:tplc="ED5CA404">
      <w:start w:val="1"/>
      <w:numFmt w:val="decimal"/>
      <w:lvlText w:val="%1."/>
      <w:lvlJc w:val="left"/>
      <w:pPr>
        <w:ind w:left="58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3087652">
      <w:start w:val="1"/>
      <w:numFmt w:val="lowerLetter"/>
      <w:lvlText w:val="%2"/>
      <w:lvlJc w:val="left"/>
      <w:pPr>
        <w:ind w:left="144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10ED45E">
      <w:start w:val="1"/>
      <w:numFmt w:val="lowerRoman"/>
      <w:lvlText w:val="%3"/>
      <w:lvlJc w:val="left"/>
      <w:pPr>
        <w:ind w:left="216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3ACA3EE">
      <w:start w:val="1"/>
      <w:numFmt w:val="decimal"/>
      <w:lvlText w:val="%4"/>
      <w:lvlJc w:val="left"/>
      <w:pPr>
        <w:ind w:left="288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442838">
      <w:start w:val="1"/>
      <w:numFmt w:val="lowerLetter"/>
      <w:lvlText w:val="%5"/>
      <w:lvlJc w:val="left"/>
      <w:pPr>
        <w:ind w:left="360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4F21348">
      <w:start w:val="1"/>
      <w:numFmt w:val="lowerRoman"/>
      <w:lvlText w:val="%6"/>
      <w:lvlJc w:val="left"/>
      <w:pPr>
        <w:ind w:left="432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49A0356">
      <w:start w:val="1"/>
      <w:numFmt w:val="decimal"/>
      <w:lvlText w:val="%7"/>
      <w:lvlJc w:val="left"/>
      <w:pPr>
        <w:ind w:left="504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A6C2806">
      <w:start w:val="1"/>
      <w:numFmt w:val="lowerLetter"/>
      <w:lvlText w:val="%8"/>
      <w:lvlJc w:val="left"/>
      <w:pPr>
        <w:ind w:left="576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020B49C">
      <w:start w:val="1"/>
      <w:numFmt w:val="lowerRoman"/>
      <w:lvlText w:val="%9"/>
      <w:lvlJc w:val="left"/>
      <w:pPr>
        <w:ind w:left="6481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72A73570"/>
    <w:multiLevelType w:val="hybridMultilevel"/>
    <w:tmpl w:val="74A8AE64"/>
    <w:lvl w:ilvl="0" w:tplc="C0ECA9CE">
      <w:start w:val="1"/>
      <w:numFmt w:val="bullet"/>
      <w:lvlText w:val="-"/>
      <w:lvlJc w:val="left"/>
      <w:pPr>
        <w:ind w:left="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CC8AC50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F78AB00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FCA6AA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3CA1EFE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0241E00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CA8102A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7C2F1F6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F5E80A6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73FA7D61"/>
    <w:multiLevelType w:val="hybridMultilevel"/>
    <w:tmpl w:val="69D8DA62"/>
    <w:lvl w:ilvl="0" w:tplc="71F42C24">
      <w:start w:val="1"/>
      <w:numFmt w:val="decimal"/>
      <w:lvlText w:val="%1."/>
      <w:lvlJc w:val="left"/>
      <w:pPr>
        <w:ind w:left="3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E4C190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09EE86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51A5F8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C90AF3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54CF8B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F098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B2A5E2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B0432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4"/>
  </w:num>
  <w:num w:numId="2">
    <w:abstractNumId w:val="1"/>
  </w:num>
  <w:num w:numId="3">
    <w:abstractNumId w:val="9"/>
  </w:num>
  <w:num w:numId="4">
    <w:abstractNumId w:val="17"/>
  </w:num>
  <w:num w:numId="5">
    <w:abstractNumId w:val="11"/>
  </w:num>
  <w:num w:numId="6">
    <w:abstractNumId w:val="3"/>
  </w:num>
  <w:num w:numId="7">
    <w:abstractNumId w:val="6"/>
  </w:num>
  <w:num w:numId="8">
    <w:abstractNumId w:val="2"/>
  </w:num>
  <w:num w:numId="9">
    <w:abstractNumId w:val="10"/>
  </w:num>
  <w:num w:numId="10">
    <w:abstractNumId w:val="7"/>
  </w:num>
  <w:num w:numId="11">
    <w:abstractNumId w:val="22"/>
  </w:num>
  <w:num w:numId="12">
    <w:abstractNumId w:val="16"/>
  </w:num>
  <w:num w:numId="13">
    <w:abstractNumId w:val="19"/>
  </w:num>
  <w:num w:numId="14">
    <w:abstractNumId w:val="18"/>
  </w:num>
  <w:num w:numId="15">
    <w:abstractNumId w:val="13"/>
  </w:num>
  <w:num w:numId="16">
    <w:abstractNumId w:val="20"/>
  </w:num>
  <w:num w:numId="17">
    <w:abstractNumId w:val="5"/>
  </w:num>
  <w:num w:numId="18">
    <w:abstractNumId w:val="4"/>
  </w:num>
  <w:num w:numId="19">
    <w:abstractNumId w:val="8"/>
  </w:num>
  <w:num w:numId="20">
    <w:abstractNumId w:val="0"/>
  </w:num>
  <w:num w:numId="21">
    <w:abstractNumId w:val="15"/>
  </w:num>
  <w:num w:numId="22">
    <w:abstractNumId w:val="12"/>
  </w:num>
  <w:num w:numId="2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2479"/>
    <w:rsid w:val="001C2479"/>
    <w:rsid w:val="00863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A64539FC-A21F-4897-9367-ADC239D8B3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12"/>
      <w:ind w:left="371" w:hanging="10"/>
      <w:jc w:val="both"/>
      <w:outlineLvl w:val="0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8008/1816" TargetMode="External"/><Relationship Id="rId13" Type="http://schemas.openxmlformats.org/officeDocument/2006/relationships/hyperlink" Target="https://normativ.kontur.ru/document?moduleId=1&amp;documentId=468782" TargetMode="Externa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footer" Target="footer5.xml"/><Relationship Id="rId7" Type="http://schemas.openxmlformats.org/officeDocument/2006/relationships/image" Target="media/image1.png"/><Relationship Id="rId12" Type="http://schemas.openxmlformats.org/officeDocument/2006/relationships/hyperlink" Target="https://www.sciencedirect.com/journal/asia-pacific-journal-of-ophthalmology" TargetMode="External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oter" Target="foot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sciencedirect.com/journal/asia-pacific-journal-of-ophthalmology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2.jpg"/><Relationship Id="rId23" Type="http://schemas.openxmlformats.org/officeDocument/2006/relationships/fontTable" Target="fontTable.xml"/><Relationship Id="rId10" Type="http://schemas.openxmlformats.org/officeDocument/2006/relationships/hyperlink" Target="https://www.sciencedirect.com/journal/asia-pacific-journal-of-ophthalmology" TargetMode="External"/><Relationship Id="rId19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doi.org/10.18008/1816" TargetMode="External"/><Relationship Id="rId14" Type="http://schemas.openxmlformats.org/officeDocument/2006/relationships/hyperlink" Target="https://normativ.kontur.ru/document?moduleId=1&amp;documentId=468782" TargetMode="External"/><Relationship Id="rId22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14037</Words>
  <Characters>80012</Characters>
  <Application>Microsoft Office Word</Application>
  <DocSecurity>4</DocSecurity>
  <Lines>666</Lines>
  <Paragraphs>187</Paragraphs>
  <ScaleCrop>false</ScaleCrop>
  <Company/>
  <LinksUpToDate>false</LinksUpToDate>
  <CharactersWithSpaces>93862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2024-11-22T12:14:00Z</dcterms:created>
  <dcterms:modified xsi:type="dcterms:W3CDTF">2024-11-22T12:14:00Z</dcterms:modified>
</cp:coreProperties>
</file>