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D4D38">
      <w:pPr>
        <w:widowControl w:val="0"/>
        <w:suppressAutoHyphens/>
        <w:autoSpaceDE w:val="0"/>
        <w:autoSpaceDN w:val="0"/>
        <w:adjustRightInd w:val="0"/>
        <w:spacing w:after="0" w:line="240" w:lineRule="auto"/>
        <w:jc w:val="right"/>
        <w:rPr>
          <w:rFonts w:ascii="Arial" w:hAnsi="Arial" w:cs="Arial"/>
          <w:color w:val="000000"/>
          <w:kern w:val="1"/>
          <w:sz w:val="20"/>
          <w:szCs w:val="20"/>
        </w:rPr>
      </w:pPr>
      <w:bookmarkStart w:id="0" w:name="_GoBack"/>
      <w:bookmarkEnd w:id="0"/>
      <w:r>
        <w:rPr>
          <w:rFonts w:ascii="Arial" w:hAnsi="Arial" w:cs="Arial"/>
          <w:color w:val="000000"/>
          <w:kern w:val="1"/>
          <w:sz w:val="20"/>
          <w:szCs w:val="20"/>
        </w:rPr>
        <w:t> </w:t>
      </w:r>
      <w:r>
        <w:rPr>
          <w:rFonts w:ascii="Arial" w:hAnsi="Arial" w:cs="Arial"/>
          <w:color w:val="000000"/>
          <w:kern w:val="1"/>
          <w:sz w:val="20"/>
          <w:szCs w:val="20"/>
        </w:rPr>
        <w:t xml:space="preserve"> </w:t>
      </w:r>
      <w:r>
        <w:rPr>
          <w:rFonts w:ascii="Arial" w:hAnsi="Arial" w:cs="Arial"/>
          <w:color w:val="000000"/>
          <w:kern w:val="1"/>
          <w:sz w:val="20"/>
          <w:szCs w:val="20"/>
        </w:rPr>
        <w:t> </w:t>
      </w:r>
      <w:r>
        <w:rPr>
          <w:rFonts w:ascii="Arial" w:hAnsi="Arial" w:cs="Arial"/>
          <w:color w:val="000000"/>
          <w:kern w:val="1"/>
          <w:sz w:val="20"/>
          <w:szCs w:val="20"/>
        </w:rPr>
        <w:t xml:space="preserve"> </w:t>
      </w:r>
      <w:r>
        <w:rPr>
          <w:rFonts w:ascii="Arial" w:hAnsi="Arial" w:cs="Arial"/>
          <w:color w:val="000000"/>
          <w:kern w:val="1"/>
          <w:sz w:val="20"/>
          <w:szCs w:val="20"/>
        </w:rPr>
        <w:t> </w:t>
      </w:r>
      <w:r>
        <w:rPr>
          <w:rFonts w:ascii="Arial" w:hAnsi="Arial" w:cs="Arial"/>
          <w:color w:val="000000"/>
          <w:kern w:val="1"/>
          <w:sz w:val="20"/>
          <w:szCs w:val="20"/>
        </w:rPr>
        <w:t xml:space="preserve"> </w:t>
      </w:r>
      <w:r>
        <w:rPr>
          <w:rFonts w:ascii="Arial" w:hAnsi="Arial" w:cs="Arial"/>
          <w:color w:val="000000"/>
          <w:kern w:val="1"/>
          <w:sz w:val="20"/>
          <w:szCs w:val="20"/>
        </w:rPr>
        <w:t> </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jc w:val="right"/>
        <w:rPr>
          <w:rFonts w:ascii="Arial" w:hAnsi="Arial" w:cs="Arial"/>
          <w:color w:val="000000"/>
          <w:kern w:val="1"/>
          <w:sz w:val="20"/>
          <w:szCs w:val="20"/>
        </w:rPr>
      </w:pPr>
      <w:r>
        <w:rPr>
          <w:rFonts w:ascii="Arial" w:hAnsi="Arial" w:cs="Arial"/>
          <w:color w:val="000000"/>
          <w:kern w:val="1"/>
          <w:sz w:val="20"/>
          <w:szCs w:val="20"/>
        </w:rPr>
        <w:t xml:space="preserve">     МУК 4.2.2238-07 </w:t>
      </w: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МЕТОДИЧЕСКИЕ УКАЗАНИЯ </w:t>
      </w:r>
    </w:p>
    <w:p w:rsidR="00000000" w:rsidRDefault="00DD4D38">
      <w:pPr>
        <w:widowControl w:val="0"/>
        <w:suppressAutoHyphens/>
        <w:autoSpaceDE w:val="0"/>
        <w:autoSpaceDN w:val="0"/>
        <w:adjustRightInd w:val="0"/>
        <w:spacing w:after="0" w:line="240" w:lineRule="auto"/>
        <w:jc w:val="center"/>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4.2. МЕТОДЫ КОНТРОЛЯ. БИОЛОГИЧЕСКИЕ И МИКРОБИОЛОГИЧЕСКИЕ ФАКТОРЫ</w:t>
      </w: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Микробиологическое измерение концентрации клеток микроорганизма Penicillium canescens F-912* - продуцента </w:t>
      </w:r>
      <w:r>
        <w:rPr>
          <w:rFonts w:ascii="Arial" w:hAnsi="Arial" w:cs="Arial"/>
          <w:b/>
          <w:bCs/>
          <w:noProof/>
          <w:color w:val="000000"/>
          <w:kern w:val="1"/>
          <w:sz w:val="20"/>
          <w:szCs w:val="20"/>
        </w:rPr>
        <w:drawing>
          <wp:inline distT="0" distB="0" distL="0" distR="0">
            <wp:extent cx="101600" cy="203200"/>
            <wp:effectExtent l="0" t="0" r="0" b="0"/>
            <wp:docPr id="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b/>
          <w:bCs/>
          <w:color w:val="000000"/>
          <w:kern w:val="1"/>
          <w:sz w:val="20"/>
          <w:szCs w:val="20"/>
        </w:rPr>
        <w:t xml:space="preserve">-ксиланазы в воздухе рабочей зоны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right"/>
        <w:rPr>
          <w:rFonts w:ascii="Arial" w:hAnsi="Arial" w:cs="Arial"/>
          <w:color w:val="000000"/>
          <w:kern w:val="1"/>
          <w:sz w:val="20"/>
          <w:szCs w:val="20"/>
        </w:rPr>
      </w:pPr>
      <w:r>
        <w:rPr>
          <w:rFonts w:ascii="Arial" w:hAnsi="Arial" w:cs="Arial"/>
          <w:color w:val="000000"/>
          <w:kern w:val="1"/>
          <w:sz w:val="20"/>
          <w:szCs w:val="20"/>
        </w:rPr>
        <w:t>     </w:t>
      </w:r>
    </w:p>
    <w:p w:rsidR="00000000" w:rsidRDefault="00DD4D38">
      <w:pPr>
        <w:widowControl w:val="0"/>
        <w:suppressAutoHyphens/>
        <w:autoSpaceDE w:val="0"/>
        <w:autoSpaceDN w:val="0"/>
        <w:adjustRightInd w:val="0"/>
        <w:spacing w:after="0" w:line="240" w:lineRule="auto"/>
        <w:jc w:val="right"/>
        <w:rPr>
          <w:rFonts w:ascii="Arial" w:hAnsi="Arial" w:cs="Arial"/>
          <w:color w:val="000000"/>
          <w:kern w:val="1"/>
          <w:sz w:val="20"/>
          <w:szCs w:val="20"/>
        </w:rPr>
      </w:pPr>
      <w:r>
        <w:rPr>
          <w:rFonts w:ascii="Arial" w:hAnsi="Arial" w:cs="Arial"/>
          <w:color w:val="000000"/>
          <w:kern w:val="1"/>
          <w:sz w:val="20"/>
          <w:szCs w:val="20"/>
        </w:rPr>
        <w:t>     </w:t>
      </w:r>
    </w:p>
    <w:p w:rsidR="00000000" w:rsidRDefault="00DD4D38">
      <w:pPr>
        <w:widowControl w:val="0"/>
        <w:suppressAutoHyphens/>
        <w:autoSpaceDE w:val="0"/>
        <w:autoSpaceDN w:val="0"/>
        <w:adjustRightInd w:val="0"/>
        <w:spacing w:after="0" w:line="240" w:lineRule="auto"/>
        <w:jc w:val="right"/>
        <w:rPr>
          <w:rFonts w:ascii="Arial" w:hAnsi="Arial" w:cs="Arial"/>
          <w:color w:val="000000"/>
          <w:kern w:val="1"/>
          <w:sz w:val="20"/>
          <w:szCs w:val="20"/>
        </w:rPr>
      </w:pPr>
      <w:r>
        <w:rPr>
          <w:rFonts w:ascii="Arial" w:hAnsi="Arial" w:cs="Arial"/>
          <w:color w:val="000000"/>
          <w:kern w:val="1"/>
          <w:sz w:val="20"/>
          <w:szCs w:val="20"/>
        </w:rPr>
        <w:t xml:space="preserve">Дата введения 2007-10-01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1. РАЗРАБОТАНЫ ОАО "Всероссийский научный центр по безопасности биологически активных веществ" (д.б.н. В.И.Бобров, к.б.н. С.Н.Птицина, к.б.н. М.М.Б</w:t>
      </w:r>
      <w:r>
        <w:rPr>
          <w:rFonts w:ascii="Arial" w:hAnsi="Arial" w:cs="Arial"/>
          <w:color w:val="000000"/>
          <w:kern w:val="1"/>
          <w:sz w:val="20"/>
          <w:szCs w:val="20"/>
        </w:rPr>
        <w:t>орисов, И.X.Иванова).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2. ВВЕДЕНЫ В ДЕЙСТВИЕ с 1 октября 2007 г.</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1. Общие положения и область применения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Настоящие методические указания устанавливают методику проведения микробиологического количественного анализа концентрации клеток штамма </w:t>
      </w:r>
      <w:r>
        <w:rPr>
          <w:rFonts w:ascii="Arial" w:hAnsi="Arial" w:cs="Arial"/>
          <w:i/>
          <w:iCs/>
          <w:color w:val="000000"/>
          <w:kern w:val="1"/>
          <w:sz w:val="20"/>
          <w:szCs w:val="20"/>
        </w:rPr>
        <w:t>Penicilliu</w:t>
      </w:r>
      <w:r>
        <w:rPr>
          <w:rFonts w:ascii="Arial" w:hAnsi="Arial" w:cs="Arial"/>
          <w:i/>
          <w:iCs/>
          <w:color w:val="000000"/>
          <w:kern w:val="1"/>
          <w:sz w:val="20"/>
          <w:szCs w:val="20"/>
        </w:rPr>
        <w:t>m canescens F-912</w:t>
      </w:r>
      <w:r>
        <w:rPr>
          <w:rFonts w:ascii="Arial" w:hAnsi="Arial" w:cs="Arial"/>
          <w:color w:val="000000"/>
          <w:kern w:val="1"/>
          <w:sz w:val="20"/>
          <w:szCs w:val="20"/>
        </w:rPr>
        <w:t xml:space="preserve"> в воздухе рабочей зоны в диапазоне концентраций от 100 до 5000 клеток в 1 м</w:t>
      </w:r>
      <w:r>
        <w:rPr>
          <w:rFonts w:ascii="Arial" w:hAnsi="Arial" w:cs="Arial"/>
          <w:noProof/>
          <w:color w:val="000000"/>
          <w:kern w:val="1"/>
          <w:sz w:val="20"/>
          <w:szCs w:val="20"/>
        </w:rPr>
        <w:drawing>
          <wp:inline distT="0" distB="0" distL="0" distR="0">
            <wp:extent cx="101600" cy="203200"/>
            <wp:effectExtent l="0" t="0" r="0" b="0"/>
            <wp:docPr id="2"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 воздуха.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Методические указания разработаны в соответствии с требованиями </w:t>
      </w:r>
      <w:hyperlink r:id="rId6" w:history="1">
        <w:r>
          <w:rPr>
            <w:rFonts w:ascii="Arial" w:hAnsi="Arial" w:cs="Arial"/>
            <w:color w:val="0000FF"/>
            <w:kern w:val="1"/>
            <w:sz w:val="20"/>
            <w:szCs w:val="20"/>
            <w:u w:val="single"/>
          </w:rPr>
          <w:t>ГОСТ 12.1.005-88</w:t>
        </w:r>
      </w:hyperlink>
      <w:r>
        <w:rPr>
          <w:rFonts w:ascii="Arial" w:hAnsi="Arial" w:cs="Arial"/>
          <w:color w:val="000000"/>
          <w:kern w:val="1"/>
          <w:sz w:val="20"/>
          <w:szCs w:val="20"/>
        </w:rPr>
        <w:t xml:space="preserve"> "ССБТ. Воздух рабочей зоны. Общие санитарно-гигиенические требования" и </w:t>
      </w:r>
      <w:hyperlink r:id="rId7" w:history="1">
        <w:r>
          <w:rPr>
            <w:rFonts w:ascii="Arial" w:hAnsi="Arial" w:cs="Arial"/>
            <w:color w:val="0000FF"/>
            <w:kern w:val="1"/>
            <w:sz w:val="20"/>
            <w:szCs w:val="20"/>
            <w:u w:val="single"/>
          </w:rPr>
          <w:t>ГОСТ Р 8.563-96</w:t>
        </w:r>
      </w:hyperlink>
      <w:r>
        <w:rPr>
          <w:rFonts w:ascii="Arial" w:hAnsi="Arial" w:cs="Arial"/>
          <w:color w:val="000000"/>
          <w:kern w:val="1"/>
          <w:sz w:val="20"/>
          <w:szCs w:val="20"/>
        </w:rPr>
        <w:t xml:space="preserve">* "Методики выполнения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Методические указан</w:t>
      </w:r>
      <w:r>
        <w:rPr>
          <w:rFonts w:ascii="Arial" w:hAnsi="Arial" w:cs="Arial"/>
          <w:color w:val="000000"/>
          <w:kern w:val="1"/>
          <w:sz w:val="20"/>
          <w:szCs w:val="20"/>
        </w:rPr>
        <w:t>ия предназначены для применения в лабораториях предприятий, организаций и учреждений, аккредитованных в установленном порядке на право проведения микробиологических исследований.</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2. Характеристика штамма Penicillium canescens F-912*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Штамм</w:t>
      </w:r>
      <w:r>
        <w:rPr>
          <w:rFonts w:ascii="Arial" w:hAnsi="Arial" w:cs="Arial"/>
          <w:color w:val="000000"/>
          <w:kern w:val="1"/>
          <w:sz w:val="20"/>
          <w:szCs w:val="20"/>
        </w:rPr>
        <w:t xml:space="preserve"> мицелиального гриба </w:t>
      </w:r>
      <w:r>
        <w:rPr>
          <w:rFonts w:ascii="Arial" w:hAnsi="Arial" w:cs="Arial"/>
          <w:i/>
          <w:iCs/>
          <w:color w:val="000000"/>
          <w:kern w:val="1"/>
          <w:sz w:val="20"/>
          <w:szCs w:val="20"/>
        </w:rPr>
        <w:t>Penicillium canescens F-912</w:t>
      </w:r>
      <w:r>
        <w:rPr>
          <w:rFonts w:ascii="Arial" w:hAnsi="Arial" w:cs="Arial"/>
          <w:color w:val="000000"/>
          <w:kern w:val="1"/>
          <w:sz w:val="20"/>
          <w:szCs w:val="20"/>
        </w:rPr>
        <w:t xml:space="preserve"> является продуцентом для синтеза эндо-(1-4)-</w:t>
      </w:r>
      <w:r>
        <w:rPr>
          <w:rFonts w:ascii="Arial" w:hAnsi="Arial" w:cs="Arial"/>
          <w:noProof/>
          <w:color w:val="000000"/>
          <w:kern w:val="1"/>
          <w:sz w:val="20"/>
          <w:szCs w:val="20"/>
        </w:rPr>
        <w:drawing>
          <wp:inline distT="0" distB="0" distL="0" distR="0">
            <wp:extent cx="101600" cy="203200"/>
            <wp:effectExtent l="0" t="0" r="0" b="0"/>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-ксиланазы микробиологическим способом. На сусло-агаре (пивное неохмеленное сусло 7 </w:t>
      </w:r>
      <w:r>
        <w:rPr>
          <w:rFonts w:ascii="Arial" w:hAnsi="Arial" w:cs="Arial"/>
          <w:color w:val="000000"/>
          <w:kern w:val="1"/>
          <w:sz w:val="20"/>
          <w:szCs w:val="20"/>
          <w:lang w:val="en-US"/>
        </w:rPr>
        <w:t>°</w:t>
      </w:r>
      <w:r>
        <w:rPr>
          <w:rFonts w:ascii="Arial" w:hAnsi="Arial" w:cs="Arial"/>
          <w:color w:val="000000"/>
          <w:kern w:val="1"/>
          <w:sz w:val="20"/>
          <w:szCs w:val="20"/>
        </w:rPr>
        <w:t>Б) диаметр 5-суточных колоний, посеянн</w:t>
      </w:r>
      <w:r>
        <w:rPr>
          <w:rFonts w:ascii="Arial" w:hAnsi="Arial" w:cs="Arial"/>
          <w:color w:val="000000"/>
          <w:kern w:val="1"/>
          <w:sz w:val="20"/>
          <w:szCs w:val="20"/>
        </w:rPr>
        <w:t>ых уколом, составляет от 6-7,5 см, с ровным краем, обратная сторона колоний имеет оранжево-темнокоричневую окраску, воздушный мицелий зеленоватого цвета. Конидиеносцы имеют вид кисточек размером 430-450</w:t>
      </w:r>
      <w:r>
        <w:rPr>
          <w:rFonts w:ascii="Arial" w:hAnsi="Arial" w:cs="Arial"/>
          <w:noProof/>
          <w:color w:val="000000"/>
          <w:kern w:val="1"/>
          <w:sz w:val="20"/>
          <w:szCs w:val="20"/>
        </w:rPr>
        <w:drawing>
          <wp:inline distT="0" distB="0" distL="0" distR="0">
            <wp:extent cx="101600" cy="101600"/>
            <wp:effectExtent l="0" t="0" r="0" b="0"/>
            <wp:docPr id="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3-3,2 мкм, ко</w:t>
      </w:r>
      <w:r>
        <w:rPr>
          <w:rFonts w:ascii="Arial" w:hAnsi="Arial" w:cs="Arial"/>
          <w:color w:val="000000"/>
          <w:kern w:val="1"/>
          <w:sz w:val="20"/>
          <w:szCs w:val="20"/>
        </w:rPr>
        <w:t xml:space="preserve">нидии 2-2,2 мкм шаровидные в молодом возрасте гладкие, в старом шероховатые, образуются в цепочках, соединяются в колонки, со временем распадающиеся. Оптимальная температура роста 30 </w:t>
      </w:r>
      <w:r>
        <w:rPr>
          <w:rFonts w:ascii="Arial" w:hAnsi="Arial" w:cs="Arial"/>
          <w:color w:val="000000"/>
          <w:kern w:val="1"/>
          <w:sz w:val="20"/>
          <w:szCs w:val="20"/>
          <w:lang w:val="en-US"/>
        </w:rPr>
        <w:t>°</w:t>
      </w:r>
      <w:r>
        <w:rPr>
          <w:rFonts w:ascii="Arial" w:hAnsi="Arial" w:cs="Arial"/>
          <w:color w:val="000000"/>
          <w:kern w:val="1"/>
          <w:sz w:val="20"/>
          <w:szCs w:val="20"/>
        </w:rPr>
        <w:t>С при значении рН-среды 4,1-5,8. Желатин разжижает слабо. Хорошо усваива</w:t>
      </w:r>
      <w:r>
        <w:rPr>
          <w:rFonts w:ascii="Arial" w:hAnsi="Arial" w:cs="Arial"/>
          <w:color w:val="000000"/>
          <w:kern w:val="1"/>
          <w:sz w:val="20"/>
          <w:szCs w:val="20"/>
        </w:rPr>
        <w:t>ет моно-, ди- и полисахариды, за исключением арабинозы. Хорошо усваивает аммонийный и нитратный азот, пептон, мочевину. Устойчив к гигромицину 100 мкг/мл.</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Область применения штамма: целлюлозно-бумажная промышленность при отбеливании бумаги.</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Предельно доп</w:t>
      </w:r>
      <w:r>
        <w:rPr>
          <w:rFonts w:ascii="Arial" w:hAnsi="Arial" w:cs="Arial"/>
          <w:color w:val="000000"/>
          <w:kern w:val="1"/>
          <w:sz w:val="20"/>
          <w:szCs w:val="20"/>
        </w:rPr>
        <w:t>устимая концентрация микроорганизма в воздухе рабочей зоны - 5000 кл./м</w:t>
      </w:r>
      <w:r>
        <w:rPr>
          <w:rFonts w:ascii="Arial" w:hAnsi="Arial" w:cs="Arial"/>
          <w:noProof/>
          <w:color w:val="000000"/>
          <w:kern w:val="1"/>
          <w:sz w:val="20"/>
          <w:szCs w:val="20"/>
        </w:rPr>
        <w:drawing>
          <wp:inline distT="0" distB="0" distL="0" distR="0">
            <wp:extent cx="101600" cy="203200"/>
            <wp:effectExtent l="0" t="0" r="0" b="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3 класс опасности, пометка 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3. Пределы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Методика обеспечивает выполнение измерений количества клеток микроорганизма в воздухе ра</w:t>
      </w:r>
      <w:r>
        <w:rPr>
          <w:rFonts w:ascii="Arial" w:hAnsi="Arial" w:cs="Arial"/>
          <w:color w:val="000000"/>
          <w:kern w:val="1"/>
          <w:sz w:val="20"/>
          <w:szCs w:val="20"/>
        </w:rPr>
        <w:t>бочей зоны в диапазоне концентраций от 100 до 5000 клеток в 1 м</w:t>
      </w:r>
      <w:r>
        <w:rPr>
          <w:rFonts w:ascii="Arial" w:hAnsi="Arial" w:cs="Arial"/>
          <w:noProof/>
          <w:color w:val="000000"/>
          <w:kern w:val="1"/>
          <w:sz w:val="20"/>
          <w:szCs w:val="20"/>
        </w:rPr>
        <w:drawing>
          <wp:inline distT="0" distB="0" distL="0" distR="0">
            <wp:extent cx="101600" cy="203200"/>
            <wp:effectExtent l="0" t="0" r="0" b="0"/>
            <wp:docPr id="6"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 воздуха при доверительной вероятности 0,95.</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4. Метод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Метод измерения концентрации штамма основан на аспирации из воздуха клеток штамма на </w:t>
      </w:r>
      <w:r>
        <w:rPr>
          <w:rFonts w:ascii="Arial" w:hAnsi="Arial" w:cs="Arial"/>
          <w:color w:val="000000"/>
          <w:kern w:val="1"/>
          <w:sz w:val="20"/>
          <w:szCs w:val="20"/>
        </w:rPr>
        <w:t xml:space="preserve">поверхность плотной питательной среды (сусло-агар, содержащий гигромицин в концентрации 100 мкг/мл) и подсчете выросших колоний после инкубации среды в течение 2 сут при 30 </w:t>
      </w:r>
      <w:r>
        <w:rPr>
          <w:rFonts w:ascii="Arial" w:hAnsi="Arial" w:cs="Arial"/>
          <w:color w:val="000000"/>
          <w:kern w:val="1"/>
          <w:sz w:val="20"/>
          <w:szCs w:val="20"/>
          <w:lang w:val="en-US"/>
        </w:rPr>
        <w:t>°</w:t>
      </w:r>
      <w:r>
        <w:rPr>
          <w:rFonts w:ascii="Arial" w:hAnsi="Arial" w:cs="Arial"/>
          <w:color w:val="000000"/>
          <w:kern w:val="1"/>
          <w:sz w:val="20"/>
          <w:szCs w:val="20"/>
        </w:rPr>
        <w:t>С.</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5. Средства измерений, вспомогательные устройства, реактивы и материалы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При</w:t>
      </w:r>
      <w:r>
        <w:rPr>
          <w:rFonts w:ascii="Arial" w:hAnsi="Arial" w:cs="Arial"/>
          <w:color w:val="000000"/>
          <w:kern w:val="1"/>
          <w:sz w:val="20"/>
          <w:szCs w:val="20"/>
        </w:rPr>
        <w:t xml:space="preserve"> выполнении измерений применяют следующие средства измерений, вспомогательные устройства и материалы.</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5.1. Средства измерений, вспомогательные устройства, материалы </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tbl>
      <w:tblPr>
        <w:tblW w:w="0" w:type="auto"/>
        <w:tblInd w:w="-90" w:type="dxa"/>
        <w:tblLayout w:type="fixed"/>
        <w:tblCellMar>
          <w:left w:w="10" w:type="dxa"/>
          <w:right w:w="10" w:type="dxa"/>
        </w:tblCellMar>
        <w:tblLook w:val="0000" w:firstRow="0" w:lastRow="0" w:firstColumn="0" w:lastColumn="0" w:noHBand="0" w:noVBand="0"/>
      </w:tblPr>
      <w:tblGrid>
        <w:gridCol w:w="6749"/>
        <w:gridCol w:w="2730"/>
      </w:tblGrid>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Прибор для бактериологического анализа воздуха MAS - 100 ECO производства фирмы Merk (</w:t>
            </w:r>
            <w:r>
              <w:rPr>
                <w:rFonts w:ascii="Arial" w:hAnsi="Arial" w:cs="Arial"/>
                <w:color w:val="000000"/>
                <w:kern w:val="1"/>
                <w:sz w:val="18"/>
                <w:szCs w:val="18"/>
              </w:rPr>
              <w:t>Германия)</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Прибор для бактериологического анализа воздуха, модель 818 (щелевой прибор Кротова)</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ТУ 64-12791-77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Импактор микробиологический "Флора-100"</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ТУ 9443-001-05031637-2002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Термостаты электрические суховоздушные или водяные</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Автоклав электрический</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9586-75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Бокс, оборудованный бактерицидными лампами</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Холодильник бытовой</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Весы лабораторные аналитические, типа ВЛА-200</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Микроскоп биологический с иммерсионной системой типа "Биолам" Л-211</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Водяная баня или водяной термостат</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Газовая горелка ил</w:t>
            </w:r>
            <w:r>
              <w:rPr>
                <w:rFonts w:ascii="Arial" w:hAnsi="Arial" w:cs="Arial"/>
                <w:color w:val="000000"/>
                <w:kern w:val="1"/>
                <w:sz w:val="18"/>
                <w:szCs w:val="18"/>
              </w:rPr>
              <w:t>и спиртовка лабораторная</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Чашки Петри бактериологические плоскодонные стеклянные, диаметром 90 мм</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hyperlink r:id="rId9" w:history="1">
              <w:r>
                <w:rPr>
                  <w:rFonts w:ascii="Arial" w:hAnsi="Arial" w:cs="Arial"/>
                  <w:color w:val="0000FF"/>
                  <w:kern w:val="1"/>
                  <w:sz w:val="18"/>
                  <w:szCs w:val="18"/>
                  <w:u w:val="single"/>
                </w:rPr>
                <w:t>ГОСТ 23932-90</w:t>
              </w:r>
            </w:hyperlink>
            <w:r>
              <w:rPr>
                <w:rFonts w:ascii="Arial" w:hAnsi="Arial" w:cs="Arial"/>
                <w:color w:val="000000"/>
                <w:kern w:val="1"/>
                <w:sz w:val="18"/>
                <w:szCs w:val="18"/>
              </w:rPr>
              <w:t xml:space="preserve">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Петли бактериологические</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Пробирки биологические, вместимостью 15 и 20 мл</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hyperlink r:id="rId10" w:history="1">
              <w:r>
                <w:rPr>
                  <w:rFonts w:ascii="Arial" w:hAnsi="Arial" w:cs="Arial"/>
                  <w:color w:val="0000FF"/>
                  <w:kern w:val="1"/>
                  <w:sz w:val="18"/>
                  <w:szCs w:val="18"/>
                  <w:u w:val="single"/>
                </w:rPr>
                <w:t>ГОСТ 25336-82</w:t>
              </w:r>
            </w:hyperlink>
            <w:r>
              <w:rPr>
                <w:rFonts w:ascii="Arial" w:hAnsi="Arial" w:cs="Arial"/>
                <w:color w:val="000000"/>
                <w:kern w:val="1"/>
                <w:sz w:val="18"/>
                <w:szCs w:val="18"/>
              </w:rPr>
              <w:t xml:space="preserve">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Пипетки мерные на 1, 5 и 10 мл</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hyperlink r:id="rId11" w:history="1">
              <w:r>
                <w:rPr>
                  <w:rFonts w:ascii="Arial" w:hAnsi="Arial" w:cs="Arial"/>
                  <w:color w:val="0000FF"/>
                  <w:kern w:val="1"/>
                  <w:sz w:val="18"/>
                  <w:szCs w:val="18"/>
                  <w:u w:val="single"/>
                </w:rPr>
                <w:t>ГОСТ 1770-74</w:t>
              </w:r>
            </w:hyperlink>
            <w:r>
              <w:rPr>
                <w:rFonts w:ascii="Arial" w:hAnsi="Arial" w:cs="Arial"/>
                <w:color w:val="000000"/>
                <w:kern w:val="1"/>
                <w:sz w:val="18"/>
                <w:szCs w:val="18"/>
              </w:rPr>
              <w:t xml:space="preserve">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Колбы конические, вместимостью 250 и 500 мл</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hyperlink r:id="rId12" w:history="1">
              <w:r>
                <w:rPr>
                  <w:rFonts w:ascii="Arial" w:hAnsi="Arial" w:cs="Arial"/>
                  <w:color w:val="0000FF"/>
                  <w:kern w:val="1"/>
                  <w:sz w:val="18"/>
                  <w:szCs w:val="18"/>
                  <w:u w:val="single"/>
                </w:rPr>
                <w:t>ГОСТ 1770-74</w:t>
              </w:r>
            </w:hyperlink>
            <w:r>
              <w:rPr>
                <w:rFonts w:ascii="Arial" w:hAnsi="Arial" w:cs="Arial"/>
                <w:color w:val="000000"/>
                <w:kern w:val="1"/>
                <w:sz w:val="18"/>
                <w:szCs w:val="18"/>
              </w:rPr>
              <w:t xml:space="preserve">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Секундомер</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9586-75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Барометр</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24696-79 </w:t>
            </w: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Марля медицинская </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9412-77* </w:t>
            </w:r>
          </w:p>
        </w:tc>
      </w:tr>
      <w:tr w:rsidR="00000000">
        <w:tblPrEx>
          <w:tblCellMar>
            <w:top w:w="0" w:type="dxa"/>
            <w:bottom w:w="0" w:type="dxa"/>
          </w:tblCellMar>
        </w:tblPrEx>
        <w:tc>
          <w:tcPr>
            <w:tcW w:w="9479" w:type="dxa"/>
            <w:gridSpan w:val="2"/>
            <w:tcBorders>
              <w:top w:val="nil"/>
              <w:left w:val="nil"/>
              <w:bottom w:val="nil"/>
              <w:right w:val="nil"/>
            </w:tcBorders>
          </w:tcPr>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18"/>
                <w:szCs w:val="18"/>
              </w:rPr>
              <w:t xml:space="preserve">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74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Вата медицинская гигроскопическая </w:t>
            </w:r>
          </w:p>
        </w:tc>
        <w:tc>
          <w:tcPr>
            <w:tcW w:w="273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25556-81 </w:t>
            </w:r>
          </w:p>
        </w:tc>
      </w:tr>
    </w:tbl>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5.2. Реактивы, растворы </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tbl>
      <w:tblPr>
        <w:tblW w:w="0" w:type="auto"/>
        <w:tblInd w:w="-90" w:type="dxa"/>
        <w:tblLayout w:type="fixed"/>
        <w:tblCellMar>
          <w:left w:w="10" w:type="dxa"/>
          <w:right w:w="10" w:type="dxa"/>
        </w:tblCellMar>
        <w:tblLook w:val="0000" w:firstRow="0" w:lastRow="0" w:firstColumn="0" w:lastColumn="0" w:noHBand="0" w:noVBand="0"/>
      </w:tblPr>
      <w:tblGrid>
        <w:gridCol w:w="6810"/>
        <w:gridCol w:w="2489"/>
      </w:tblGrid>
      <w:tr w:rsidR="00000000">
        <w:tblPrEx>
          <w:tblCellMar>
            <w:top w:w="0" w:type="dxa"/>
            <w:bottom w:w="0" w:type="dxa"/>
          </w:tblCellMar>
        </w:tblPrEx>
        <w:tc>
          <w:tcPr>
            <w:tcW w:w="681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Сусло-агар 7 </w:t>
            </w:r>
            <w:r>
              <w:rPr>
                <w:rFonts w:ascii="Arial" w:hAnsi="Arial" w:cs="Arial"/>
                <w:color w:val="000000"/>
                <w:kern w:val="1"/>
                <w:sz w:val="18"/>
                <w:szCs w:val="18"/>
                <w:lang w:val="en-US"/>
              </w:rPr>
              <w:t>°</w:t>
            </w:r>
            <w:r>
              <w:rPr>
                <w:rFonts w:ascii="Arial" w:hAnsi="Arial" w:cs="Arial"/>
                <w:color w:val="000000"/>
                <w:kern w:val="1"/>
                <w:sz w:val="18"/>
                <w:szCs w:val="18"/>
              </w:rPr>
              <w:t>Б, приготовленны</w:t>
            </w:r>
            <w:r>
              <w:rPr>
                <w:rFonts w:ascii="Arial" w:hAnsi="Arial" w:cs="Arial"/>
                <w:color w:val="000000"/>
                <w:kern w:val="1"/>
                <w:sz w:val="18"/>
                <w:szCs w:val="18"/>
              </w:rPr>
              <w:t>й из неохмеленного пивного сусла</w:t>
            </w:r>
          </w:p>
        </w:tc>
        <w:tc>
          <w:tcPr>
            <w:tcW w:w="248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81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Спирт этиловый ректификат </w:t>
            </w:r>
          </w:p>
        </w:tc>
        <w:tc>
          <w:tcPr>
            <w:tcW w:w="248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ГОСТ 5962-67* </w:t>
            </w:r>
          </w:p>
        </w:tc>
      </w:tr>
      <w:tr w:rsidR="00000000">
        <w:tblPrEx>
          <w:tblCellMar>
            <w:top w:w="0" w:type="dxa"/>
            <w:bottom w:w="0" w:type="dxa"/>
          </w:tblCellMar>
        </w:tblPrEx>
        <w:tc>
          <w:tcPr>
            <w:tcW w:w="9299" w:type="dxa"/>
            <w:gridSpan w:val="2"/>
            <w:tcBorders>
              <w:top w:val="nil"/>
              <w:left w:val="nil"/>
              <w:bottom w:val="nil"/>
              <w:right w:val="nil"/>
            </w:tcBorders>
          </w:tcPr>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18"/>
                <w:szCs w:val="18"/>
              </w:rPr>
              <w:t xml:space="preserve">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6810"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Антибиотик - гигромицин </w:t>
            </w:r>
          </w:p>
        </w:tc>
        <w:tc>
          <w:tcPr>
            <w:tcW w:w="248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bl>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Тест-культура </w:t>
      </w:r>
      <w:r>
        <w:rPr>
          <w:rFonts w:ascii="Arial" w:hAnsi="Arial" w:cs="Arial"/>
          <w:i/>
          <w:iCs/>
          <w:color w:val="000000"/>
          <w:kern w:val="1"/>
          <w:sz w:val="20"/>
          <w:szCs w:val="20"/>
        </w:rPr>
        <w:t>Penicillium canescens F-912</w:t>
      </w:r>
      <w:r>
        <w:rPr>
          <w:rFonts w:ascii="Arial" w:hAnsi="Arial" w:cs="Arial"/>
          <w:color w:val="000000"/>
          <w:kern w:val="1"/>
          <w:sz w:val="20"/>
          <w:szCs w:val="20"/>
        </w:rPr>
        <w:t>, музейный штамм, хранится на косяках или в столбиках сусло-агара под вазелиновым стерильным маслом в хол</w:t>
      </w:r>
      <w:r>
        <w:rPr>
          <w:rFonts w:ascii="Arial" w:hAnsi="Arial" w:cs="Arial"/>
          <w:color w:val="000000"/>
          <w:kern w:val="1"/>
          <w:sz w:val="20"/>
          <w:szCs w:val="20"/>
        </w:rPr>
        <w:t xml:space="preserve">одильнике при 4 </w:t>
      </w:r>
      <w:r>
        <w:rPr>
          <w:rFonts w:ascii="Arial" w:hAnsi="Arial" w:cs="Arial"/>
          <w:color w:val="000000"/>
          <w:kern w:val="1"/>
          <w:sz w:val="20"/>
          <w:szCs w:val="20"/>
          <w:lang w:val="en-US"/>
        </w:rPr>
        <w:t>°</w:t>
      </w:r>
      <w:r>
        <w:rPr>
          <w:rFonts w:ascii="Arial" w:hAnsi="Arial" w:cs="Arial"/>
          <w:color w:val="000000"/>
          <w:kern w:val="1"/>
          <w:sz w:val="20"/>
          <w:szCs w:val="20"/>
        </w:rPr>
        <w:t>С.</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6. Требования безопасности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При выполнении измерений концентрации клеток штамма </w:t>
      </w:r>
      <w:r>
        <w:rPr>
          <w:rFonts w:ascii="Arial" w:hAnsi="Arial" w:cs="Arial"/>
          <w:i/>
          <w:iCs/>
          <w:color w:val="000000"/>
          <w:kern w:val="1"/>
          <w:sz w:val="20"/>
          <w:szCs w:val="20"/>
        </w:rPr>
        <w:t>Penicillium canescens F-912</w:t>
      </w:r>
      <w:r>
        <w:rPr>
          <w:rFonts w:ascii="Arial" w:hAnsi="Arial" w:cs="Arial"/>
          <w:color w:val="000000"/>
          <w:kern w:val="1"/>
          <w:sz w:val="20"/>
          <w:szCs w:val="20"/>
        </w:rPr>
        <w:t xml:space="preserve"> в воздухе рабочей зоны соблюдают требования:</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01600" cy="101600"/>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санитарных правил СП 1.2.731-99* "Безоп</w:t>
      </w:r>
      <w:r>
        <w:rPr>
          <w:rFonts w:ascii="Arial" w:hAnsi="Arial" w:cs="Arial"/>
          <w:color w:val="000000"/>
          <w:kern w:val="1"/>
          <w:sz w:val="20"/>
          <w:szCs w:val="20"/>
        </w:rPr>
        <w:t xml:space="preserve">асность работы с микроорганизмами III-IV групп патогенности и гельминтами";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01600" cy="101600"/>
            <wp:effectExtent l="0" t="0" r="0" b="0"/>
            <wp:docPr id="8"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 xml:space="preserve">правил техники безопасности при работе с химическими реактивами по </w:t>
      </w:r>
      <w:hyperlink r:id="rId14" w:history="1">
        <w:r>
          <w:rPr>
            <w:rFonts w:ascii="Arial" w:hAnsi="Arial" w:cs="Arial"/>
            <w:color w:val="0000FF"/>
            <w:kern w:val="1"/>
            <w:sz w:val="20"/>
            <w:szCs w:val="20"/>
            <w:u w:val="single"/>
          </w:rPr>
          <w:t>ГОСТ 12.1.005-88</w:t>
        </w:r>
      </w:hyperlink>
      <w:r>
        <w:rPr>
          <w:rFonts w:ascii="Arial" w:hAnsi="Arial" w:cs="Arial"/>
          <w:color w:val="000000"/>
          <w:kern w:val="1"/>
          <w:sz w:val="20"/>
          <w:szCs w:val="20"/>
        </w:rPr>
        <w:t>;</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01600" cy="101600"/>
            <wp:effectExtent l="0" t="0" r="0" b="0"/>
            <wp:docPr id="9"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правил электробезопасности при работе с электроустановками по ГОСТ 12.1.019-79 и инструкцию по эксплуатации прибора;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01600" cy="101600"/>
            <wp:effectExtent l="0" t="0" r="0" b="0"/>
            <wp:docPr id="10" name="Рисунок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руководства "Положение об организации работы по технике безопас</w:t>
      </w:r>
      <w:r>
        <w:rPr>
          <w:rFonts w:ascii="Arial" w:hAnsi="Arial" w:cs="Arial"/>
          <w:color w:val="000000"/>
          <w:kern w:val="1"/>
          <w:sz w:val="20"/>
          <w:szCs w:val="20"/>
        </w:rPr>
        <w:t>ности в микробиологической промышленности" (1980);</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01600" cy="101600"/>
            <wp:effectExtent l="0" t="0" r="0" b="0"/>
            <wp:docPr id="11" name="Рисунок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color w:val="000000"/>
          <w:kern w:val="1"/>
          <w:sz w:val="20"/>
          <w:szCs w:val="20"/>
        </w:rPr>
        <w:t>"Инструкции по устройству, требованиям безопасности и личной гигиены при работе в микробиологических лабораториях предприятий микробиологической промышленности" (1</w:t>
      </w:r>
      <w:r>
        <w:rPr>
          <w:rFonts w:ascii="Arial" w:hAnsi="Arial" w:cs="Arial"/>
          <w:color w:val="000000"/>
          <w:kern w:val="1"/>
          <w:sz w:val="20"/>
          <w:szCs w:val="20"/>
        </w:rPr>
        <w:t>977).</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Все виды работ с реактивами проводят только в вытяжном шкафу при работающей вентиляции, работа с биологическим материалом осуществляется в боксе, оборудованном бактерицидными лампами.</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7. Требования к квалификации операторов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К выполнению измерени</w:t>
      </w:r>
      <w:r>
        <w:rPr>
          <w:rFonts w:ascii="Arial" w:hAnsi="Arial" w:cs="Arial"/>
          <w:color w:val="000000"/>
          <w:kern w:val="1"/>
          <w:sz w:val="20"/>
          <w:szCs w:val="20"/>
        </w:rPr>
        <w:t>й и обработке их результатов допускаются лица с высшим или средним специальным образованием, прошедшие соответствующую подготовку и имеющие навыки работы в области микробиологических исследований.</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8. Условия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Процессы приготовления растворов и</w:t>
      </w:r>
      <w:r>
        <w:rPr>
          <w:rFonts w:ascii="Arial" w:hAnsi="Arial" w:cs="Arial"/>
          <w:color w:val="000000"/>
          <w:kern w:val="1"/>
          <w:sz w:val="20"/>
          <w:szCs w:val="20"/>
        </w:rPr>
        <w:t xml:space="preserve"> подготовки проб к анализу проводят в нормальных условиях при температуре воздуха (20</w:t>
      </w:r>
      <w:r>
        <w:rPr>
          <w:rFonts w:ascii="Arial" w:hAnsi="Arial" w:cs="Arial"/>
          <w:color w:val="000000"/>
          <w:kern w:val="1"/>
          <w:sz w:val="20"/>
          <w:szCs w:val="20"/>
          <w:lang w:val="en-US"/>
        </w:rPr>
        <w:t>±5) °</w:t>
      </w:r>
      <w:r>
        <w:rPr>
          <w:rFonts w:ascii="Arial" w:hAnsi="Arial" w:cs="Arial"/>
          <w:color w:val="000000"/>
          <w:kern w:val="1"/>
          <w:sz w:val="20"/>
          <w:szCs w:val="20"/>
        </w:rPr>
        <w:t>С, атмосферном давлении 630-800 мм рт.ст. и влажности воздуха не более 80%.</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9. Проведение измерений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9.1. Условия отбора проб воздуха </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Для определения кон</w:t>
      </w:r>
      <w:r>
        <w:rPr>
          <w:rFonts w:ascii="Arial" w:hAnsi="Arial" w:cs="Arial"/>
          <w:color w:val="000000"/>
          <w:kern w:val="1"/>
          <w:sz w:val="20"/>
          <w:szCs w:val="20"/>
        </w:rPr>
        <w:t xml:space="preserve">центрации клеток штамма </w:t>
      </w:r>
      <w:r>
        <w:rPr>
          <w:rFonts w:ascii="Arial" w:hAnsi="Arial" w:cs="Arial"/>
          <w:i/>
          <w:iCs/>
          <w:color w:val="000000"/>
          <w:kern w:val="1"/>
          <w:sz w:val="20"/>
          <w:szCs w:val="20"/>
        </w:rPr>
        <w:t>Penicillium canescens F-912</w:t>
      </w:r>
      <w:r>
        <w:rPr>
          <w:rFonts w:ascii="Arial" w:hAnsi="Arial" w:cs="Arial"/>
          <w:color w:val="000000"/>
          <w:kern w:val="1"/>
          <w:sz w:val="20"/>
          <w:szCs w:val="20"/>
        </w:rPr>
        <w:t xml:space="preserve"> воздух рабочей зоны аспирируют со скоростью 10 л/мин на поверхность питательной среды (сусло-агар, содержащий гигромицин в концентрации 100 мкг/мл). Время аспирации воздуха (1-10 мин) зависит от предполаг</w:t>
      </w:r>
      <w:r>
        <w:rPr>
          <w:rFonts w:ascii="Arial" w:hAnsi="Arial" w:cs="Arial"/>
          <w:color w:val="000000"/>
          <w:kern w:val="1"/>
          <w:sz w:val="20"/>
          <w:szCs w:val="20"/>
        </w:rPr>
        <w:t>аемой концентрации клеток культуры. Прямой метод позволяет учитывать на чашке Петри до 200 колоний микроорганизма. Выбранный для бактериологического анализа воздуха аппарат (п.5.1) перед каждым отбором пробы воздуха тщательно протирают спиртом. Особенно тщ</w:t>
      </w:r>
      <w:r>
        <w:rPr>
          <w:rFonts w:ascii="Arial" w:hAnsi="Arial" w:cs="Arial"/>
          <w:color w:val="000000"/>
          <w:kern w:val="1"/>
          <w:sz w:val="20"/>
          <w:szCs w:val="20"/>
        </w:rPr>
        <w:t>ательно обрабатывают поверхность подвижного диска и внутреннюю стенку прибора, наружную и внутреннюю стенку крышки.</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На подвижный диск устанавливают подготовленную чашку Петри со средой, одновременно снимая с нее крышку. Прибор закрывают. Соприкосновение к</w:t>
      </w:r>
      <w:r>
        <w:rPr>
          <w:rFonts w:ascii="Arial" w:hAnsi="Arial" w:cs="Arial"/>
          <w:color w:val="000000"/>
          <w:kern w:val="1"/>
          <w:sz w:val="20"/>
          <w:szCs w:val="20"/>
        </w:rPr>
        <w:t>рышки прибора со средой недопустимо.</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После отбора пробы воздуха и остановки диска прибор открывают, быстро снимают чашку Петри и закрывают крышкой от данной чашки. На дне чашки Петри стеклографом отмечают точку контроля, время аспирации и дату отбора проб</w:t>
      </w:r>
      <w:r>
        <w:rPr>
          <w:rFonts w:ascii="Arial" w:hAnsi="Arial" w:cs="Arial"/>
          <w:color w:val="000000"/>
          <w:kern w:val="1"/>
          <w:sz w:val="20"/>
          <w:szCs w:val="20"/>
        </w:rPr>
        <w:t>ы. В период отбора проб воздуха крышку чашки Петри хранят в стерильном пакете из бумаги, полиэтилена или других стерильных емкостях.</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Отбор проб сопровождается составлением акта отбора с указанием места, времени и условий отбора.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9.2. Выполнение анализа </w:t>
      </w:r>
      <w:r>
        <w:rPr>
          <w:rFonts w:ascii="Arial" w:hAnsi="Arial" w:cs="Arial"/>
          <w:color w:val="000000"/>
          <w:kern w:val="1"/>
          <w:sz w:val="20"/>
          <w:szCs w:val="20"/>
        </w:rPr>
        <w:t> </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Сусло-агар расплавляют и остужают до 50 </w:t>
      </w:r>
      <w:r>
        <w:rPr>
          <w:rFonts w:ascii="Arial" w:hAnsi="Arial" w:cs="Arial"/>
          <w:color w:val="000000"/>
          <w:kern w:val="1"/>
          <w:sz w:val="20"/>
          <w:szCs w:val="20"/>
          <w:lang w:val="en-US"/>
        </w:rPr>
        <w:t>°</w:t>
      </w:r>
      <w:r>
        <w:rPr>
          <w:rFonts w:ascii="Arial" w:hAnsi="Arial" w:cs="Arial"/>
          <w:color w:val="000000"/>
          <w:kern w:val="1"/>
          <w:sz w:val="20"/>
          <w:szCs w:val="20"/>
        </w:rPr>
        <w:t xml:space="preserve">С. Затем добавляют свежеприготовленный в стерильной дистиллированной воде гигромицин из расчета 100 мкг на 1 мл среды для подавления </w:t>
      </w:r>
      <w:r>
        <w:rPr>
          <w:rFonts w:ascii="Arial" w:hAnsi="Arial" w:cs="Arial"/>
          <w:color w:val="000000"/>
          <w:kern w:val="1"/>
          <w:sz w:val="20"/>
          <w:szCs w:val="20"/>
        </w:rPr>
        <w:lastRenderedPageBreak/>
        <w:t>посторонней воздушной микрофлоры, тщательно перемешивают и разливают в стерильны</w:t>
      </w:r>
      <w:r>
        <w:rPr>
          <w:rFonts w:ascii="Arial" w:hAnsi="Arial" w:cs="Arial"/>
          <w:color w:val="000000"/>
          <w:kern w:val="1"/>
          <w:sz w:val="20"/>
          <w:szCs w:val="20"/>
        </w:rPr>
        <w:t xml:space="preserve">е чашки Петри по 15 мл. Чашки с застывшей средой помещают в термостат при 37 </w:t>
      </w:r>
      <w:r>
        <w:rPr>
          <w:rFonts w:ascii="Arial" w:hAnsi="Arial" w:cs="Arial"/>
          <w:color w:val="000000"/>
          <w:kern w:val="1"/>
          <w:sz w:val="20"/>
          <w:szCs w:val="20"/>
          <w:lang w:val="en-US"/>
        </w:rPr>
        <w:t>°</w:t>
      </w:r>
      <w:r>
        <w:rPr>
          <w:rFonts w:ascii="Arial" w:hAnsi="Arial" w:cs="Arial"/>
          <w:color w:val="000000"/>
          <w:kern w:val="1"/>
          <w:sz w:val="20"/>
          <w:szCs w:val="20"/>
        </w:rPr>
        <w:t>С на сутки, после чего проросшие чашки бракуют.</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После отбора проб воздуха на чашки Петри в приборе их помещают в термостат при температуре 30 </w:t>
      </w:r>
      <w:r>
        <w:rPr>
          <w:rFonts w:ascii="Arial" w:hAnsi="Arial" w:cs="Arial"/>
          <w:color w:val="000000"/>
          <w:kern w:val="1"/>
          <w:sz w:val="20"/>
          <w:szCs w:val="20"/>
          <w:lang w:val="en-US"/>
        </w:rPr>
        <w:t>°</w:t>
      </w:r>
      <w:r>
        <w:rPr>
          <w:rFonts w:ascii="Arial" w:hAnsi="Arial" w:cs="Arial"/>
          <w:color w:val="000000"/>
          <w:kern w:val="1"/>
          <w:sz w:val="20"/>
          <w:szCs w:val="20"/>
        </w:rPr>
        <w:t>С на 48 ч донышком вверх.</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Количес</w:t>
      </w:r>
      <w:r>
        <w:rPr>
          <w:rFonts w:ascii="Arial" w:hAnsi="Arial" w:cs="Arial"/>
          <w:color w:val="000000"/>
          <w:kern w:val="1"/>
          <w:sz w:val="20"/>
          <w:szCs w:val="20"/>
        </w:rPr>
        <w:t xml:space="preserve">твенный учет клеток штамма проводится методом подсчета выросших колоний культуры на поверхности агаризованной питательной среды. В качестве контроля выросших колоний используется посев музейного штамма </w:t>
      </w:r>
      <w:r>
        <w:rPr>
          <w:rFonts w:ascii="Arial" w:hAnsi="Arial" w:cs="Arial"/>
          <w:i/>
          <w:iCs/>
          <w:color w:val="000000"/>
          <w:kern w:val="1"/>
          <w:sz w:val="20"/>
          <w:szCs w:val="20"/>
        </w:rPr>
        <w:t>Penicillium canescens F-912</w:t>
      </w:r>
      <w:r>
        <w:rPr>
          <w:rFonts w:ascii="Arial" w:hAnsi="Arial" w:cs="Arial"/>
          <w:color w:val="000000"/>
          <w:kern w:val="1"/>
          <w:sz w:val="20"/>
          <w:szCs w:val="20"/>
        </w:rPr>
        <w:t xml:space="preserve"> на сусло-агар в отдельные </w:t>
      </w:r>
      <w:r>
        <w:rPr>
          <w:rFonts w:ascii="Arial" w:hAnsi="Arial" w:cs="Arial"/>
          <w:color w:val="000000"/>
          <w:kern w:val="1"/>
          <w:sz w:val="20"/>
          <w:szCs w:val="20"/>
        </w:rPr>
        <w:t>чашки Петри из расчета 100 клеток микроорганизма в 1 мл стерильного 0,9%-го раствора хлорида натрия.</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10. Вычисление результатов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Расчет концентрации клеток микроорганизма в пересчете на 1 м</w:t>
      </w:r>
      <w:r>
        <w:rPr>
          <w:rFonts w:ascii="Arial" w:hAnsi="Arial" w:cs="Arial"/>
          <w:noProof/>
          <w:color w:val="000000"/>
          <w:kern w:val="1"/>
          <w:sz w:val="20"/>
          <w:szCs w:val="20"/>
        </w:rPr>
        <w:drawing>
          <wp:inline distT="0" distB="0" distL="0" distR="0">
            <wp:extent cx="101600" cy="203200"/>
            <wp:effectExtent l="0" t="0" r="0" b="0"/>
            <wp:docPr id="12" name="Рисунок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 воздуха пров</w:t>
      </w:r>
      <w:r>
        <w:rPr>
          <w:rFonts w:ascii="Arial" w:hAnsi="Arial" w:cs="Arial"/>
          <w:color w:val="000000"/>
          <w:kern w:val="1"/>
          <w:sz w:val="20"/>
          <w:szCs w:val="20"/>
        </w:rPr>
        <w:t>одят по формуле:</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914400" cy="406400"/>
            <wp:effectExtent l="0" t="0" r="0" b="0"/>
            <wp:docPr id="13" name="Рисунок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406400"/>
                    </a:xfrm>
                    <a:prstGeom prst="rect">
                      <a:avLst/>
                    </a:prstGeom>
                    <a:noFill/>
                    <a:ln>
                      <a:noFill/>
                    </a:ln>
                  </pic:spPr>
                </pic:pic>
              </a:graphicData>
            </a:graphic>
          </wp:inline>
        </w:drawing>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r>
        <w:rPr>
          <w:rFonts w:ascii="Arial" w:hAnsi="Arial" w:cs="Arial"/>
          <w:color w:val="000000"/>
          <w:kern w:val="1"/>
          <w:sz w:val="20"/>
          <w:szCs w:val="20"/>
        </w:rPr>
        <w:t xml:space="preserve">где </w:t>
      </w:r>
      <w:r>
        <w:rPr>
          <w:rFonts w:ascii="Arial" w:hAnsi="Arial" w:cs="Arial"/>
          <w:noProof/>
          <w:color w:val="000000"/>
          <w:kern w:val="1"/>
          <w:sz w:val="20"/>
          <w:szCs w:val="20"/>
        </w:rPr>
        <w:drawing>
          <wp:inline distT="0" distB="0" distL="0" distR="0">
            <wp:extent cx="203200" cy="152400"/>
            <wp:effectExtent l="0" t="0" r="0" b="0"/>
            <wp:docPr id="14" name="Рисунок 1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pic:spPr>
                </pic:pic>
              </a:graphicData>
            </a:graphic>
          </wp:inline>
        </w:drawing>
      </w:r>
      <w:r>
        <w:rPr>
          <w:rFonts w:ascii="Arial" w:hAnsi="Arial" w:cs="Arial"/>
          <w:color w:val="000000"/>
          <w:kern w:val="1"/>
          <w:sz w:val="20"/>
          <w:szCs w:val="20"/>
        </w:rPr>
        <w:t>- концентрация клеток продуцента в воздухе, кл./м</w:t>
      </w:r>
      <w:r>
        <w:rPr>
          <w:rFonts w:ascii="Arial" w:hAnsi="Arial" w:cs="Arial"/>
          <w:noProof/>
          <w:color w:val="000000"/>
          <w:kern w:val="1"/>
          <w:sz w:val="20"/>
          <w:szCs w:val="20"/>
        </w:rPr>
        <w:drawing>
          <wp:inline distT="0" distB="0" distL="0" distR="0">
            <wp:extent cx="101600" cy="203200"/>
            <wp:effectExtent l="0" t="0" r="0" b="0"/>
            <wp:docPr id="15" name="Рисунок 1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203200" cy="203200"/>
            <wp:effectExtent l="0" t="0" r="0" b="0"/>
            <wp:docPr id="16" name="Рисунок 1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ascii="Arial" w:hAnsi="Arial" w:cs="Arial"/>
          <w:color w:val="000000"/>
          <w:kern w:val="1"/>
          <w:sz w:val="20"/>
          <w:szCs w:val="20"/>
        </w:rPr>
        <w:t>- количество колоний микроорганизма, выросших на чашке;</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1000 - коэффициент пересчета н</w:t>
      </w:r>
      <w:r>
        <w:rPr>
          <w:rFonts w:ascii="Arial" w:hAnsi="Arial" w:cs="Arial"/>
          <w:color w:val="000000"/>
          <w:kern w:val="1"/>
          <w:sz w:val="20"/>
          <w:szCs w:val="20"/>
        </w:rPr>
        <w:t>а 1 м</w:t>
      </w:r>
      <w:r>
        <w:rPr>
          <w:rFonts w:ascii="Arial" w:hAnsi="Arial" w:cs="Arial"/>
          <w:noProof/>
          <w:color w:val="000000"/>
          <w:kern w:val="1"/>
          <w:sz w:val="20"/>
          <w:szCs w:val="20"/>
        </w:rPr>
        <w:drawing>
          <wp:inline distT="0" distB="0" distL="0" distR="0">
            <wp:extent cx="101600" cy="203200"/>
            <wp:effectExtent l="0" t="0" r="0" b="0"/>
            <wp:docPr id="17" name="Рисунок 1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r>
        <w:rPr>
          <w:rFonts w:ascii="Arial" w:hAnsi="Arial" w:cs="Arial"/>
          <w:color w:val="000000"/>
          <w:kern w:val="1"/>
          <w:sz w:val="20"/>
          <w:szCs w:val="20"/>
        </w:rPr>
        <w:t xml:space="preserve"> воздуха;</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Microsoft Sans Serif" w:hAnsi="Microsoft Sans Serif" w:cs="Microsoft Sans Serif"/>
          <w:noProof/>
          <w:sz w:val="17"/>
          <w:szCs w:val="17"/>
        </w:rPr>
        <w:drawing>
          <wp:inline distT="0" distB="0" distL="0" distR="0">
            <wp:extent cx="152400" cy="203200"/>
            <wp:effectExtent l="0" t="0" r="0" b="0"/>
            <wp:docPr id="18" name="Рисунок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03200"/>
                    </a:xfrm>
                    <a:prstGeom prst="rect">
                      <a:avLst/>
                    </a:prstGeom>
                    <a:noFill/>
                    <a:ln>
                      <a:noFill/>
                    </a:ln>
                  </pic:spPr>
                </pic:pic>
              </a:graphicData>
            </a:graphic>
          </wp:inline>
        </w:drawing>
      </w:r>
      <w:r>
        <w:rPr>
          <w:rFonts w:ascii="Arial" w:hAnsi="Arial" w:cs="Arial"/>
          <w:color w:val="000000"/>
          <w:kern w:val="1"/>
          <w:sz w:val="20"/>
          <w:szCs w:val="20"/>
        </w:rPr>
        <w:t>- объем воздуха, л (произведение скорости на время аспирации).</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11. Оформление результатов измерений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Результаты измерений оформляют протоколом по приведенной форме.</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Протокол N</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20"/>
          <w:szCs w:val="20"/>
        </w:rPr>
        <w:t>количественного микробиологического анал</w:t>
      </w:r>
      <w:r>
        <w:rPr>
          <w:rFonts w:ascii="Arial" w:hAnsi="Arial" w:cs="Arial"/>
          <w:color w:val="000000"/>
          <w:kern w:val="1"/>
          <w:sz w:val="20"/>
          <w:szCs w:val="20"/>
        </w:rPr>
        <w:t xml:space="preserve">иза штамма </w:t>
      </w:r>
      <w:r>
        <w:rPr>
          <w:rFonts w:ascii="Arial" w:hAnsi="Arial" w:cs="Arial"/>
          <w:i/>
          <w:iCs/>
          <w:color w:val="000000"/>
          <w:kern w:val="1"/>
          <w:sz w:val="20"/>
          <w:szCs w:val="20"/>
        </w:rPr>
        <w:t>Penicillium canescens F-912</w:t>
      </w:r>
      <w:r>
        <w:rPr>
          <w:rFonts w:ascii="Arial" w:hAnsi="Arial" w:cs="Arial"/>
          <w:color w:val="000000"/>
          <w:kern w:val="1"/>
          <w:sz w:val="20"/>
          <w:szCs w:val="20"/>
        </w:rPr>
        <w:t xml:space="preserve"> в воздухе рабочей зоны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tbl>
      <w:tblPr>
        <w:tblW w:w="0" w:type="auto"/>
        <w:tblInd w:w="-90" w:type="dxa"/>
        <w:tblLayout w:type="fixed"/>
        <w:tblCellMar>
          <w:left w:w="10" w:type="dxa"/>
          <w:right w:w="10" w:type="dxa"/>
        </w:tblCellMar>
        <w:tblLook w:val="0000" w:firstRow="0" w:lastRow="0" w:firstColumn="0" w:lastColumn="0" w:noHBand="0" w:noVBand="0"/>
      </w:tblPr>
      <w:tblGrid>
        <w:gridCol w:w="2069"/>
        <w:gridCol w:w="180"/>
        <w:gridCol w:w="301"/>
        <w:gridCol w:w="600"/>
        <w:gridCol w:w="5954"/>
      </w:tblGrid>
      <w:tr w:rsidR="00000000">
        <w:tblPrEx>
          <w:tblCellMar>
            <w:top w:w="0" w:type="dxa"/>
            <w:bottom w:w="0" w:type="dxa"/>
          </w:tblCellMar>
        </w:tblPrEx>
        <w:tc>
          <w:tcPr>
            <w:tcW w:w="9104" w:type="dxa"/>
            <w:gridSpan w:val="5"/>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1. Дата проведения анализа </w:t>
            </w:r>
          </w:p>
        </w:tc>
      </w:tr>
      <w:tr w:rsidR="00000000">
        <w:tblPrEx>
          <w:tblCellMar>
            <w:top w:w="0" w:type="dxa"/>
            <w:bottom w:w="0" w:type="dxa"/>
          </w:tblCellMar>
        </w:tblPrEx>
        <w:tc>
          <w:tcPr>
            <w:tcW w:w="2550" w:type="dxa"/>
            <w:gridSpan w:val="3"/>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6554" w:type="dxa"/>
            <w:gridSpan w:val="2"/>
            <w:tcBorders>
              <w:top w:val="single" w:sz="6" w:space="0" w:color="000000"/>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9104" w:type="dxa"/>
            <w:gridSpan w:val="5"/>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2. Место отбора пробы </w:t>
            </w:r>
          </w:p>
        </w:tc>
      </w:tr>
      <w:tr w:rsidR="00000000">
        <w:tblPrEx>
          <w:tblCellMar>
            <w:top w:w="0" w:type="dxa"/>
            <w:bottom w:w="0" w:type="dxa"/>
          </w:tblCellMar>
        </w:tblPrEx>
        <w:tc>
          <w:tcPr>
            <w:tcW w:w="2069" w:type="dxa"/>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7035" w:type="dxa"/>
            <w:gridSpan w:val="4"/>
            <w:tcBorders>
              <w:top w:val="single" w:sz="6" w:space="0" w:color="000000"/>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9104" w:type="dxa"/>
            <w:gridSpan w:val="5"/>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3. Название лаборатории </w:t>
            </w:r>
          </w:p>
        </w:tc>
      </w:tr>
      <w:tr w:rsidR="00000000">
        <w:tblPrEx>
          <w:tblCellMar>
            <w:top w:w="0" w:type="dxa"/>
            <w:bottom w:w="0" w:type="dxa"/>
          </w:tblCellMar>
        </w:tblPrEx>
        <w:tc>
          <w:tcPr>
            <w:tcW w:w="2249" w:type="dxa"/>
            <w:gridSpan w:val="2"/>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6855" w:type="dxa"/>
            <w:gridSpan w:val="3"/>
            <w:tcBorders>
              <w:top w:val="single" w:sz="6" w:space="0" w:color="000000"/>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r w:rsidR="00000000">
        <w:tblPrEx>
          <w:tblCellMar>
            <w:top w:w="0" w:type="dxa"/>
            <w:bottom w:w="0" w:type="dxa"/>
          </w:tblCellMar>
        </w:tblPrEx>
        <w:tc>
          <w:tcPr>
            <w:tcW w:w="9104" w:type="dxa"/>
            <w:gridSpan w:val="5"/>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20"/>
                <w:szCs w:val="20"/>
              </w:rPr>
            </w:pPr>
            <w:r>
              <w:rPr>
                <w:rFonts w:ascii="Arial" w:hAnsi="Arial" w:cs="Arial"/>
                <w:color w:val="000000"/>
                <w:kern w:val="1"/>
                <w:sz w:val="18"/>
                <w:szCs w:val="18"/>
              </w:rPr>
              <w:t xml:space="preserve">4. Юридический адрес организации </w:t>
            </w:r>
          </w:p>
        </w:tc>
      </w:tr>
      <w:tr w:rsidR="00000000">
        <w:tblPrEx>
          <w:tblCellMar>
            <w:top w:w="0" w:type="dxa"/>
            <w:bottom w:w="0" w:type="dxa"/>
          </w:tblCellMar>
        </w:tblPrEx>
        <w:tc>
          <w:tcPr>
            <w:tcW w:w="3150" w:type="dxa"/>
            <w:gridSpan w:val="4"/>
            <w:tcBorders>
              <w:top w:val="nil"/>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5954" w:type="dxa"/>
            <w:tcBorders>
              <w:top w:val="single" w:sz="6" w:space="0" w:color="000000"/>
              <w:left w:val="nil"/>
              <w:bottom w:val="nil"/>
              <w:right w:val="nil"/>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bl>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20"/>
          <w:szCs w:val="20"/>
        </w:rPr>
        <w:t>     </w:t>
      </w: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Результаты микробиологического анализа</w:t>
      </w:r>
      <w:r>
        <w:rPr>
          <w:rFonts w:ascii="Arial" w:hAnsi="Arial" w:cs="Arial"/>
          <w:color w:val="000000"/>
          <w:kern w:val="1"/>
          <w:sz w:val="20"/>
          <w:szCs w:val="20"/>
        </w:rPr>
        <w:t xml:space="preserve"> </w:t>
      </w:r>
    </w:p>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tbl>
      <w:tblPr>
        <w:tblW w:w="0" w:type="auto"/>
        <w:tblInd w:w="-90" w:type="dxa"/>
        <w:tblLayout w:type="fixed"/>
        <w:tblCellMar>
          <w:left w:w="10" w:type="dxa"/>
          <w:right w:w="10" w:type="dxa"/>
        </w:tblCellMar>
        <w:tblLook w:val="0000" w:firstRow="0" w:lastRow="0" w:firstColumn="0" w:lastColumn="0" w:noHBand="0" w:noVBand="0"/>
      </w:tblPr>
      <w:tblGrid>
        <w:gridCol w:w="3030"/>
        <w:gridCol w:w="3030"/>
        <w:gridCol w:w="3030"/>
      </w:tblGrid>
      <w:tr w:rsidR="00000000">
        <w:tblPrEx>
          <w:tblCellMar>
            <w:top w:w="0" w:type="dxa"/>
            <w:bottom w:w="0" w:type="dxa"/>
          </w:tblCellMar>
        </w:tblPrEx>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18"/>
                <w:szCs w:val="18"/>
              </w:rPr>
              <w:t xml:space="preserve">Шифр или N пробы </w:t>
            </w:r>
          </w:p>
        </w:tc>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18"/>
                <w:szCs w:val="18"/>
              </w:rPr>
              <w:t xml:space="preserve">Определяемый микроорганизм </w:t>
            </w:r>
          </w:p>
        </w:tc>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color w:val="000000"/>
                <w:kern w:val="1"/>
                <w:sz w:val="18"/>
                <w:szCs w:val="18"/>
              </w:rPr>
              <w:t>Концентрация, кл./м</w:t>
            </w:r>
            <w:r>
              <w:rPr>
                <w:rFonts w:ascii="Arial" w:hAnsi="Arial" w:cs="Arial"/>
                <w:noProof/>
                <w:color w:val="000000"/>
                <w:kern w:val="1"/>
                <w:sz w:val="18"/>
                <w:szCs w:val="18"/>
              </w:rPr>
              <w:drawing>
                <wp:inline distT="0" distB="0" distL="0" distR="0">
                  <wp:extent cx="101600" cy="203200"/>
                  <wp:effectExtent l="0" t="0" r="0" b="0"/>
                  <wp:docPr id="19" name="Рисунок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600" cy="203200"/>
                          </a:xfrm>
                          <a:prstGeom prst="rect">
                            <a:avLst/>
                          </a:prstGeom>
                          <a:noFill/>
                          <a:ln>
                            <a:noFill/>
                          </a:ln>
                        </pic:spPr>
                      </pic:pic>
                    </a:graphicData>
                  </a:graphic>
                </wp:inline>
              </w:drawing>
            </w:r>
          </w:p>
        </w:tc>
      </w:tr>
      <w:tr w:rsidR="00000000">
        <w:tblPrEx>
          <w:tblCellMar>
            <w:top w:w="0" w:type="dxa"/>
            <w:bottom w:w="0" w:type="dxa"/>
          </w:tblCellMar>
        </w:tblPrEx>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c>
          <w:tcPr>
            <w:tcW w:w="3030" w:type="dxa"/>
            <w:tcBorders>
              <w:top w:val="single" w:sz="6" w:space="0" w:color="000000"/>
              <w:left w:val="single" w:sz="6" w:space="0" w:color="000000"/>
              <w:bottom w:val="single" w:sz="6" w:space="0" w:color="000000"/>
              <w:right w:val="single" w:sz="6" w:space="0" w:color="000000"/>
            </w:tcBorders>
          </w:tcPr>
          <w:p w:rsidR="00000000" w:rsidRDefault="00DD4D38">
            <w:pPr>
              <w:widowControl w:val="0"/>
              <w:suppressAutoHyphens/>
              <w:autoSpaceDE w:val="0"/>
              <w:autoSpaceDN w:val="0"/>
              <w:adjustRightInd w:val="0"/>
              <w:spacing w:after="0" w:line="240" w:lineRule="auto"/>
              <w:rPr>
                <w:rFonts w:ascii="Arial" w:hAnsi="Arial" w:cs="Arial"/>
                <w:color w:val="000000"/>
                <w:kern w:val="1"/>
                <w:sz w:val="18"/>
                <w:szCs w:val="18"/>
              </w:rPr>
            </w:pPr>
          </w:p>
        </w:tc>
      </w:tr>
    </w:tbl>
    <w:p w:rsidR="00000000" w:rsidRDefault="00DD4D38">
      <w:pPr>
        <w:widowControl w:val="0"/>
        <w:suppressAutoHyphens/>
        <w:autoSpaceDE w:val="0"/>
        <w:autoSpaceDN w:val="0"/>
        <w:adjustRightInd w:val="0"/>
        <w:spacing w:after="0" w:line="240" w:lineRule="auto"/>
        <w:rPr>
          <w:rFonts w:ascii="Arial" w:hAnsi="Arial" w:cs="Arial"/>
          <w:color w:val="000000"/>
          <w:kern w:val="1"/>
          <w:sz w:val="24"/>
          <w:szCs w:val="24"/>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Ответственный исполнитель:</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Научный руководитель:</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rPr>
          <w:rFonts w:ascii="Arial" w:hAnsi="Arial" w:cs="Arial"/>
          <w:b/>
          <w:bCs/>
          <w:color w:val="000000"/>
          <w:kern w:val="1"/>
          <w:sz w:val="20"/>
          <w:szCs w:val="20"/>
        </w:rPr>
      </w:pPr>
    </w:p>
    <w:p w:rsidR="00000000" w:rsidRDefault="00DD4D38">
      <w:pPr>
        <w:widowControl w:val="0"/>
        <w:suppressAutoHyphens/>
        <w:autoSpaceDE w:val="0"/>
        <w:autoSpaceDN w:val="0"/>
        <w:adjustRightInd w:val="0"/>
        <w:spacing w:after="0" w:line="240" w:lineRule="auto"/>
        <w:jc w:val="center"/>
        <w:rPr>
          <w:rFonts w:ascii="Arial" w:hAnsi="Arial" w:cs="Arial"/>
          <w:color w:val="000000"/>
          <w:kern w:val="1"/>
          <w:sz w:val="20"/>
          <w:szCs w:val="20"/>
        </w:rPr>
      </w:pPr>
      <w:r>
        <w:rPr>
          <w:rFonts w:ascii="Arial" w:hAnsi="Arial" w:cs="Arial"/>
          <w:b/>
          <w:bCs/>
          <w:color w:val="000000"/>
          <w:kern w:val="1"/>
          <w:sz w:val="20"/>
          <w:szCs w:val="20"/>
        </w:rPr>
        <w:t xml:space="preserve"> Список литературы </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 xml:space="preserve">1. </w:t>
      </w:r>
      <w:hyperlink r:id="rId19" w:history="1">
        <w:r>
          <w:rPr>
            <w:rFonts w:ascii="Arial" w:hAnsi="Arial" w:cs="Arial"/>
            <w:color w:val="0000FF"/>
            <w:kern w:val="1"/>
            <w:sz w:val="20"/>
            <w:szCs w:val="20"/>
            <w:u w:val="single"/>
          </w:rPr>
          <w:t>ГОСТ 12.1.005-88</w:t>
        </w:r>
      </w:hyperlink>
      <w:r>
        <w:rPr>
          <w:rFonts w:ascii="Arial" w:hAnsi="Arial" w:cs="Arial"/>
          <w:color w:val="000000"/>
          <w:kern w:val="1"/>
          <w:sz w:val="20"/>
          <w:szCs w:val="20"/>
        </w:rPr>
        <w:t xml:space="preserve"> "СС</w:t>
      </w:r>
      <w:r>
        <w:rPr>
          <w:rFonts w:ascii="Arial" w:hAnsi="Arial" w:cs="Arial"/>
          <w:color w:val="000000"/>
          <w:kern w:val="1"/>
          <w:sz w:val="20"/>
          <w:szCs w:val="20"/>
        </w:rPr>
        <w:t>БТ. Воздух рабочей зоны. Общие санитарно-гигиенические требования".</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2. ГОСТ 8.563-96 ГСИ "Методики выполнения измерений".</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3. Положение об организации работы по технике безопасности в микробиологической промышленности. М., 1980. 27 с.</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r>
        <w:rPr>
          <w:rFonts w:ascii="Arial" w:hAnsi="Arial" w:cs="Arial"/>
          <w:color w:val="000000"/>
          <w:kern w:val="1"/>
          <w:sz w:val="20"/>
          <w:szCs w:val="20"/>
        </w:rPr>
        <w:t>4. Инструкции по ус</w:t>
      </w:r>
      <w:r>
        <w:rPr>
          <w:rFonts w:ascii="Arial" w:hAnsi="Arial" w:cs="Arial"/>
          <w:color w:val="000000"/>
          <w:kern w:val="1"/>
          <w:sz w:val="20"/>
          <w:szCs w:val="20"/>
        </w:rPr>
        <w:t>тройству, требованиям безопасности и личной гигиены при работе в микробиологических лабораториях предприятий микробиологической промышленности. М., 1977. 7 с.</w:t>
      </w:r>
    </w:p>
    <w:p w:rsidR="00000000" w:rsidRDefault="00DD4D38">
      <w:pPr>
        <w:widowControl w:val="0"/>
        <w:suppressAutoHyphens/>
        <w:autoSpaceDE w:val="0"/>
        <w:autoSpaceDN w:val="0"/>
        <w:adjustRightInd w:val="0"/>
        <w:spacing w:after="0" w:line="240" w:lineRule="auto"/>
        <w:ind w:firstLine="568"/>
        <w:jc w:val="both"/>
        <w:rPr>
          <w:rFonts w:ascii="Arial" w:hAnsi="Arial" w:cs="Arial"/>
          <w:color w:val="000000"/>
          <w:kern w:val="1"/>
          <w:sz w:val="20"/>
          <w:szCs w:val="20"/>
        </w:rPr>
      </w:pPr>
    </w:p>
    <w:p w:rsidR="00000000" w:rsidRDefault="00DD4D38">
      <w:pPr>
        <w:widowControl w:val="0"/>
        <w:suppressAutoHyphens/>
        <w:autoSpaceDE w:val="0"/>
        <w:autoSpaceDN w:val="0"/>
        <w:adjustRightInd w:val="0"/>
        <w:spacing w:after="0" w:line="240" w:lineRule="auto"/>
        <w:jc w:val="both"/>
        <w:rPr>
          <w:rFonts w:ascii="Arial" w:hAnsi="Arial" w:cs="Arial"/>
          <w:color w:val="000000"/>
          <w:kern w:val="1"/>
          <w:sz w:val="20"/>
          <w:szCs w:val="20"/>
        </w:rPr>
      </w:pPr>
      <w:r>
        <w:rPr>
          <w:rFonts w:ascii="Arial" w:hAnsi="Arial" w:cs="Arial"/>
          <w:color w:val="000000"/>
          <w:kern w:val="1"/>
          <w:sz w:val="20"/>
          <w:szCs w:val="20"/>
        </w:rPr>
        <w:t>           </w:t>
      </w:r>
    </w:p>
    <w:p w:rsidR="00DD4D38" w:rsidRDefault="00DD4D38">
      <w:pPr>
        <w:widowControl w:val="0"/>
        <w:suppressAutoHyphens/>
        <w:autoSpaceDE w:val="0"/>
        <w:autoSpaceDN w:val="0"/>
        <w:adjustRightInd w:val="0"/>
        <w:spacing w:after="0" w:line="240" w:lineRule="auto"/>
        <w:rPr>
          <w:rFonts w:ascii="Liberation Serif" w:hAnsi="Liberation Serif" w:cs="Liberation Serif"/>
          <w:kern w:val="1"/>
          <w:sz w:val="24"/>
          <w:szCs w:val="24"/>
        </w:rPr>
      </w:pPr>
    </w:p>
    <w:sectPr w:rsidR="00DD4D3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Liberation Serif">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72966"/>
    <w:rsid w:val="00A12F11"/>
    <w:rsid w:val="00DD4D38"/>
    <w:rsid w:val="00F72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533728-D7D2-4128-A0A6-A103215A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gostassistent.ru/search?q=&#1043;&#1054;&#1057;&#1058;%20&#1056;%208.563-96" TargetMode="External"/><Relationship Id="rId12" Type="http://schemas.openxmlformats.org/officeDocument/2006/relationships/hyperlink" Target="https://gostassistent.ru/search?q=&#1043;&#1054;&#1057;&#1058;%201770-74" TargetMode="Externa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gostassistent.ru/search?q=&#1043;&#1054;&#1057;&#1058;%2012.1.005-88" TargetMode="External"/><Relationship Id="rId11" Type="http://schemas.openxmlformats.org/officeDocument/2006/relationships/hyperlink" Target="https://gostassistent.ru/search?q=&#1043;&#1054;&#1057;&#1058;%201770-74" TargetMode="External"/><Relationship Id="rId5" Type="http://schemas.openxmlformats.org/officeDocument/2006/relationships/image" Target="media/image2.png"/><Relationship Id="rId15" Type="http://schemas.openxmlformats.org/officeDocument/2006/relationships/image" Target="media/image5.png"/><Relationship Id="rId10" Type="http://schemas.openxmlformats.org/officeDocument/2006/relationships/hyperlink" Target="https://gostassistent.ru/search?q=&#1043;&#1054;&#1057;&#1058;%2025336-82" TargetMode="External"/><Relationship Id="rId19" Type="http://schemas.openxmlformats.org/officeDocument/2006/relationships/hyperlink" Target="https://gostassistent.ru/search?q=&#1043;&#1054;&#1057;&#1058;%2012.1.005-88" TargetMode="External"/><Relationship Id="rId4" Type="http://schemas.openxmlformats.org/officeDocument/2006/relationships/image" Target="media/image1.png"/><Relationship Id="rId9" Type="http://schemas.openxmlformats.org/officeDocument/2006/relationships/hyperlink" Target="https://gostassistent.ru/search?q=&#1043;&#1054;&#1057;&#1058;%2023932-90" TargetMode="External"/><Relationship Id="rId14" Type="http://schemas.openxmlformats.org/officeDocument/2006/relationships/hyperlink" Target="https://gostassistent.ru/search?q=&#1043;&#1054;&#1057;&#1058;%2012.1.005-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1505</Words>
  <Characters>8584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2024-09-18T09:53:00Z</dcterms:created>
  <dcterms:modified xsi:type="dcterms:W3CDTF">2024-09-18T09:53:00Z</dcterms:modified>
</cp:coreProperties>
</file>