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421" w:rsidRPr="00251421" w:rsidRDefault="00251421" w:rsidP="00251421">
      <w:pPr>
        <w:shd w:val="clear" w:color="auto" w:fill="FFFFFF"/>
        <w:spacing w:after="0" w:line="240" w:lineRule="auto"/>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251421" w:rsidRPr="00251421" w:rsidRDefault="00251421" w:rsidP="00251421">
      <w:pPr>
        <w:shd w:val="clear" w:color="auto" w:fill="FFFFFF"/>
        <w:spacing w:after="0" w:line="240" w:lineRule="auto"/>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Клинические рекомендации</w:t>
      </w:r>
    </w:p>
    <w:p w:rsidR="00251421" w:rsidRPr="00251421" w:rsidRDefault="00251421" w:rsidP="00251421">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Подозрение на глаукому</w:t>
      </w:r>
    </w:p>
    <w:p w:rsidR="00251421" w:rsidRPr="00251421" w:rsidRDefault="00251421" w:rsidP="00251421">
      <w:pPr>
        <w:shd w:val="clear" w:color="auto" w:fill="FFFFFF"/>
        <w:spacing w:after="150" w:line="240" w:lineRule="auto"/>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Кодирование по Международной статистической</w:t>
      </w:r>
      <w:r w:rsidRPr="00251421">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251421">
        <w:rPr>
          <w:rFonts w:ascii="Times New Roman" w:eastAsia="Times New Roman" w:hAnsi="Times New Roman" w:cs="Times New Roman"/>
          <w:b/>
          <w:bCs/>
          <w:color w:val="222222"/>
          <w:sz w:val="27"/>
          <w:szCs w:val="27"/>
          <w:lang w:eastAsia="ru-RU"/>
        </w:rPr>
        <w:t>H40.0</w:t>
      </w:r>
    </w:p>
    <w:p w:rsidR="00251421" w:rsidRPr="00251421" w:rsidRDefault="00251421" w:rsidP="00251421">
      <w:pPr>
        <w:shd w:val="clear" w:color="auto" w:fill="FFFFFF"/>
        <w:spacing w:after="150" w:line="240" w:lineRule="auto"/>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Год утверждения (частота пересмотра):</w:t>
      </w:r>
      <w:r w:rsidRPr="00251421">
        <w:rPr>
          <w:rFonts w:ascii="Times New Roman" w:eastAsia="Times New Roman" w:hAnsi="Times New Roman" w:cs="Times New Roman"/>
          <w:b/>
          <w:bCs/>
          <w:color w:val="222222"/>
          <w:sz w:val="27"/>
          <w:szCs w:val="27"/>
          <w:lang w:eastAsia="ru-RU"/>
        </w:rPr>
        <w:t>2024</w:t>
      </w:r>
    </w:p>
    <w:p w:rsidR="00251421" w:rsidRPr="00251421" w:rsidRDefault="00251421" w:rsidP="00251421">
      <w:pPr>
        <w:shd w:val="clear" w:color="auto" w:fill="FFFFFF"/>
        <w:spacing w:after="150" w:line="240" w:lineRule="auto"/>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Возрастная категория:</w:t>
      </w:r>
      <w:r w:rsidRPr="00251421">
        <w:rPr>
          <w:rFonts w:ascii="Times New Roman" w:eastAsia="Times New Roman" w:hAnsi="Times New Roman" w:cs="Times New Roman"/>
          <w:b/>
          <w:bCs/>
          <w:color w:val="222222"/>
          <w:sz w:val="27"/>
          <w:szCs w:val="27"/>
          <w:lang w:eastAsia="ru-RU"/>
        </w:rPr>
        <w:t>Взрослые</w:t>
      </w:r>
    </w:p>
    <w:p w:rsidR="00251421" w:rsidRPr="00251421" w:rsidRDefault="00251421" w:rsidP="00251421">
      <w:pPr>
        <w:shd w:val="clear" w:color="auto" w:fill="FFFFFF"/>
        <w:spacing w:after="150" w:line="240" w:lineRule="auto"/>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Пересмотр не позднее:</w:t>
      </w:r>
      <w:r w:rsidRPr="00251421">
        <w:rPr>
          <w:rFonts w:ascii="Times New Roman" w:eastAsia="Times New Roman" w:hAnsi="Times New Roman" w:cs="Times New Roman"/>
          <w:b/>
          <w:bCs/>
          <w:color w:val="222222"/>
          <w:sz w:val="27"/>
          <w:szCs w:val="27"/>
          <w:lang w:eastAsia="ru-RU"/>
        </w:rPr>
        <w:t>2026</w:t>
      </w:r>
    </w:p>
    <w:p w:rsidR="00251421" w:rsidRPr="00251421" w:rsidRDefault="00251421" w:rsidP="00251421">
      <w:pPr>
        <w:shd w:val="clear" w:color="auto" w:fill="FFFFFF"/>
        <w:spacing w:after="150" w:line="240" w:lineRule="auto"/>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ID:</w:t>
      </w:r>
      <w:r w:rsidRPr="00251421">
        <w:rPr>
          <w:rFonts w:ascii="Times New Roman" w:eastAsia="Times New Roman" w:hAnsi="Times New Roman" w:cs="Times New Roman"/>
          <w:b/>
          <w:bCs/>
          <w:color w:val="222222"/>
          <w:sz w:val="27"/>
          <w:szCs w:val="27"/>
          <w:lang w:eastAsia="ru-RU"/>
        </w:rPr>
        <w:t>628</w:t>
      </w:r>
    </w:p>
    <w:p w:rsidR="00251421" w:rsidRPr="00251421" w:rsidRDefault="00251421" w:rsidP="00251421">
      <w:pPr>
        <w:shd w:val="clear" w:color="auto" w:fill="FFFFFF"/>
        <w:spacing w:after="0" w:line="240" w:lineRule="auto"/>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Разработчик клинической рекомендации</w:t>
      </w:r>
    </w:p>
    <w:p w:rsidR="00251421" w:rsidRPr="00251421" w:rsidRDefault="00251421" w:rsidP="00251421">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251421">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офтальмологов-глаукоматологов»</w:t>
      </w:r>
    </w:p>
    <w:p w:rsidR="00251421" w:rsidRPr="00251421" w:rsidRDefault="00251421" w:rsidP="00251421">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251421">
        <w:rPr>
          <w:rFonts w:ascii="Times New Roman" w:eastAsia="Times New Roman" w:hAnsi="Times New Roman" w:cs="Times New Roman"/>
          <w:b/>
          <w:bCs/>
          <w:color w:val="222222"/>
          <w:sz w:val="27"/>
          <w:szCs w:val="27"/>
          <w:lang w:eastAsia="ru-RU"/>
        </w:rPr>
        <w:t>Общероссийская общественная организация «Общество офтальмологов России»</w:t>
      </w:r>
    </w:p>
    <w:p w:rsidR="00251421" w:rsidRPr="00251421" w:rsidRDefault="00251421" w:rsidP="00251421">
      <w:pPr>
        <w:shd w:val="clear" w:color="auto" w:fill="FFFFFF"/>
        <w:spacing w:after="150" w:line="240" w:lineRule="auto"/>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Оглавление</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Список сокращений</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Термины и определения</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2.1 Жалобы и анамнез</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2.2 Физикальное обследование</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2.3 Лабораторные диагностические исследования</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2.5 Иные диагностические исследования</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6. Организация оказания медицинской помощи</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Критерии оценки качества медицинской помощи</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Список литературы</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Приложение Б. Алгоритмы действий врача</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Приложение В. Информация для пациента</w:t>
      </w:r>
    </w:p>
    <w:p w:rsidR="00251421" w:rsidRPr="00251421" w:rsidRDefault="00251421" w:rsidP="0025142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Список сокращений</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ВГД – внутриглазное давление</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ВГЖ – внутриглазная жидкость</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ДЗН – диск зрительного нерва</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ДИ – доверительный интервал</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ЛИ – лазерная иридотомия/иридэктомия</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ЛС – лекарственное средство</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ЛТП – лазерная трабекулопластика</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МКБ 10 – международная классификация болезней 10-го пересмотра</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МНН – международное непатентованное наименование</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НРП – нейроретинальный поясок</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ОГ – офтальмогипертензия</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ОКТ – оптическая когерентная томография</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ПГ – подозрение на глаукому</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ПЗ – поле зрения</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ПОУГ – первичная открытоугольная глаукома</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ПЭРГ – паттерн электроретинограмма</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ПЭС – псевдоэксфолиативный синдром</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СНВС – слой нервных волокон сетчатки</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УПК – угол передней камеры</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ФЭК – факоэмульсификация катаракты</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ЦТР – толщина роговицы в центральной оптической зоне</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Э/Д –</w:t>
      </w:r>
      <w:r w:rsidRPr="00251421">
        <w:rPr>
          <w:rFonts w:ascii="Times New Roman" w:eastAsia="Times New Roman" w:hAnsi="Times New Roman" w:cs="Times New Roman"/>
          <w:i/>
          <w:iCs/>
          <w:color w:val="333333"/>
          <w:sz w:val="27"/>
          <w:szCs w:val="27"/>
          <w:lang w:eastAsia="ru-RU"/>
        </w:rPr>
        <w:t> </w:t>
      </w:r>
      <w:r w:rsidRPr="00251421">
        <w:rPr>
          <w:rFonts w:ascii="Times New Roman" w:eastAsia="Times New Roman" w:hAnsi="Times New Roman" w:cs="Times New Roman"/>
          <w:color w:val="222222"/>
          <w:sz w:val="27"/>
          <w:szCs w:val="27"/>
          <w:lang w:eastAsia="ru-RU"/>
        </w:rPr>
        <w:t>отношение максимального размера экскавации к диаметру ДЗН</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ISNT (inferior, superior, nasalis, temporalis / нижний, верхний, назальный, темпоральный) – правило офтальмоскопической оценки состояния НРП при диагностике глаукомы</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P</w:t>
      </w:r>
      <w:r w:rsidRPr="00251421">
        <w:rPr>
          <w:rFonts w:ascii="Times New Roman" w:eastAsia="Times New Roman" w:hAnsi="Times New Roman" w:cs="Times New Roman"/>
          <w:color w:val="222222"/>
          <w:sz w:val="20"/>
          <w:szCs w:val="20"/>
          <w:vertAlign w:val="subscript"/>
          <w:lang w:eastAsia="ru-RU"/>
        </w:rPr>
        <w:t>0</w:t>
      </w:r>
      <w:r w:rsidRPr="00251421">
        <w:rPr>
          <w:rFonts w:ascii="Times New Roman" w:eastAsia="Times New Roman" w:hAnsi="Times New Roman" w:cs="Times New Roman"/>
          <w:color w:val="222222"/>
          <w:sz w:val="27"/>
          <w:szCs w:val="27"/>
          <w:lang w:eastAsia="ru-RU"/>
        </w:rPr>
        <w:t> – истинный уровень внутриглазного давления</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Pt – показатель тонометрии при измерении тонометром внутриглазного давления по Маклакову, грузом массой 10 г.</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Термины и определения</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Биомикроскопия глаза</w:t>
      </w:r>
      <w:r w:rsidRPr="00251421">
        <w:rPr>
          <w:rFonts w:ascii="Times New Roman" w:eastAsia="Times New Roman" w:hAnsi="Times New Roman" w:cs="Times New Roman"/>
          <w:color w:val="222222"/>
          <w:sz w:val="27"/>
          <w:szCs w:val="27"/>
          <w:lang w:eastAsia="ru-RU"/>
        </w:rPr>
        <w:t> – метод прижизненного визуального исследования оптических сред и тканей глаза, основанный на создании контраста между освещенными и неосвещенными участками.</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Внутриглазное давление </w:t>
      </w:r>
      <w:r w:rsidRPr="00251421">
        <w:rPr>
          <w:rFonts w:ascii="Times New Roman" w:eastAsia="Times New Roman" w:hAnsi="Times New Roman" w:cs="Times New Roman"/>
          <w:color w:val="222222"/>
          <w:sz w:val="27"/>
          <w:szCs w:val="27"/>
          <w:lang w:eastAsia="ru-RU"/>
        </w:rPr>
        <w:t>–</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давление жидкости внутри глаза, являющееся результатом баланса между продукцией камерной влаги, трабекулярным и увеосклеральным оттоком и давлением в эписклеральных венах, поддерживающее его форму и обеспечивающее постоянство циркулирующих питательных веществ, и нормальную трофику внутриглазных тканей</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Гониоскопия </w:t>
      </w:r>
      <w:r w:rsidRPr="00251421">
        <w:rPr>
          <w:rFonts w:ascii="Times New Roman" w:eastAsia="Times New Roman" w:hAnsi="Times New Roman" w:cs="Times New Roman"/>
          <w:color w:val="222222"/>
          <w:sz w:val="27"/>
          <w:szCs w:val="27"/>
          <w:lang w:eastAsia="ru-RU"/>
        </w:rPr>
        <w:t>– метод визуального исследования (осмотра) угла передней камеры глаза, проводимый при помощи щелевой лампы и гониолинзы (гониоскопа)</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Диск зрительного нерва (ДЗН) </w:t>
      </w:r>
      <w:r w:rsidRPr="00251421">
        <w:rPr>
          <w:rFonts w:ascii="Times New Roman" w:eastAsia="Times New Roman" w:hAnsi="Times New Roman" w:cs="Times New Roman"/>
          <w:color w:val="222222"/>
          <w:sz w:val="27"/>
          <w:szCs w:val="27"/>
          <w:lang w:eastAsia="ru-RU"/>
        </w:rPr>
        <w:t>–</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место выхода аксонов ганглиозных клеток сетчатки из глазного яблока</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lastRenderedPageBreak/>
        <w:t>Нейроретинальный поясок (НРП) ‒ </w:t>
      </w:r>
      <w:r w:rsidRPr="00251421">
        <w:rPr>
          <w:rFonts w:ascii="Times New Roman" w:eastAsia="Times New Roman" w:hAnsi="Times New Roman" w:cs="Times New Roman"/>
          <w:color w:val="222222"/>
          <w:sz w:val="27"/>
          <w:szCs w:val="27"/>
          <w:lang w:eastAsia="ru-RU"/>
        </w:rPr>
        <w:t>область между краем диска зрительного нерва и краем экскавации, где проецируется основная масса аксонов ганглиозных клеток сетчатки</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Оптическое исследование головки зрительного нерва и слоя нервных волокон с помощью компьютерного анализатора (здесь и далее - оптическая когерентная томография, ОКТ) ‒ </w:t>
      </w:r>
      <w:r w:rsidRPr="00251421">
        <w:rPr>
          <w:rFonts w:ascii="Times New Roman" w:eastAsia="Times New Roman" w:hAnsi="Times New Roman" w:cs="Times New Roman"/>
          <w:color w:val="222222"/>
          <w:sz w:val="27"/>
          <w:szCs w:val="27"/>
          <w:lang w:eastAsia="ru-RU"/>
        </w:rPr>
        <w:t>неинвазивный бесконтактный метод прижизненной визуализации, качественного и количественного анализа морфологических особенностей структур глазного дна, основанный на принципе световой интерферометрии.</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Офтальмогипертензия (глазная гипертензия) </w:t>
      </w:r>
      <w:r w:rsidRPr="00251421">
        <w:rPr>
          <w:rFonts w:ascii="Times New Roman" w:eastAsia="Times New Roman" w:hAnsi="Times New Roman" w:cs="Times New Roman"/>
          <w:color w:val="222222"/>
          <w:sz w:val="27"/>
          <w:szCs w:val="27"/>
          <w:lang w:eastAsia="ru-RU"/>
        </w:rPr>
        <w:t>–</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повышение уровня ВГД при отсутствии характерных для глаукомы изменений ДЗН, СНВС и дефектов ПЗ</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Офтальмоскопия </w:t>
      </w:r>
      <w:r w:rsidRPr="00251421">
        <w:rPr>
          <w:rFonts w:ascii="Times New Roman" w:eastAsia="Times New Roman" w:hAnsi="Times New Roman" w:cs="Times New Roman"/>
          <w:color w:val="222222"/>
          <w:sz w:val="27"/>
          <w:szCs w:val="27"/>
          <w:lang w:eastAsia="ru-RU"/>
        </w:rPr>
        <w:t>–</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инструментальный метод осмотра глазного дна и его структур</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Офтальмотонометрия </w:t>
      </w:r>
      <w:r w:rsidRPr="00251421">
        <w:rPr>
          <w:rFonts w:ascii="Times New Roman" w:eastAsia="Times New Roman" w:hAnsi="Times New Roman" w:cs="Times New Roman"/>
          <w:color w:val="222222"/>
          <w:sz w:val="27"/>
          <w:szCs w:val="27"/>
          <w:lang w:eastAsia="ru-RU"/>
        </w:rPr>
        <w:t>– метод инструментального измерения уровня ВГД, величина которого определяется анализом данных деформации глаза тонометром и оценивается в миллиметрах ртутного столба (мм рт. ст.)</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Статическая и компьютерная периметрия</w:t>
      </w:r>
      <w:r w:rsidRPr="00251421">
        <w:rPr>
          <w:rFonts w:ascii="Times New Roman" w:eastAsia="Times New Roman" w:hAnsi="Times New Roman" w:cs="Times New Roman"/>
          <w:color w:val="222222"/>
          <w:sz w:val="27"/>
          <w:szCs w:val="27"/>
          <w:lang w:eastAsia="ru-RU"/>
        </w:rPr>
        <w:t>–</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методы исследования ПЗ</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Поле зрения </w:t>
      </w:r>
      <w:r w:rsidRPr="00251421">
        <w:rPr>
          <w:rFonts w:ascii="Times New Roman" w:eastAsia="Times New Roman" w:hAnsi="Times New Roman" w:cs="Times New Roman"/>
          <w:color w:val="222222"/>
          <w:sz w:val="27"/>
          <w:szCs w:val="27"/>
          <w:lang w:eastAsia="ru-RU"/>
        </w:rPr>
        <w:t>–</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совокупность точек пространства, одновременно видимых глазом при неподвижном взоре</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Скотома </w:t>
      </w:r>
      <w:r w:rsidRPr="00251421">
        <w:rPr>
          <w:rFonts w:ascii="Times New Roman" w:eastAsia="Times New Roman" w:hAnsi="Times New Roman" w:cs="Times New Roman"/>
          <w:color w:val="222222"/>
          <w:sz w:val="27"/>
          <w:szCs w:val="27"/>
          <w:lang w:eastAsia="ru-RU"/>
        </w:rPr>
        <w:t>–</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дефект ПЗ, не связанный с периферическими границами</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Слой нервных волокон сетчатки (СНВС) </w:t>
      </w:r>
      <w:r w:rsidRPr="00251421">
        <w:rPr>
          <w:rFonts w:ascii="Times New Roman" w:eastAsia="Times New Roman" w:hAnsi="Times New Roman" w:cs="Times New Roman"/>
          <w:color w:val="222222"/>
          <w:sz w:val="27"/>
          <w:szCs w:val="27"/>
          <w:lang w:eastAsia="ru-RU"/>
        </w:rPr>
        <w:t>–</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слой сетчатки, представляющий собой аксоны ганглиозных клеток сетчатки</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Угол передней камеры </w:t>
      </w:r>
      <w:r w:rsidRPr="00251421">
        <w:rPr>
          <w:rFonts w:ascii="Times New Roman" w:eastAsia="Times New Roman" w:hAnsi="Times New Roman" w:cs="Times New Roman"/>
          <w:color w:val="222222"/>
          <w:sz w:val="27"/>
          <w:szCs w:val="27"/>
          <w:lang w:eastAsia="ru-RU"/>
        </w:rPr>
        <w:t>–</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пространство между роговично-склеральной областью и передней поверхностью радужки</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MD, mean deviation (среднее отклонение) </w:t>
      </w:r>
      <w:r w:rsidRPr="00251421">
        <w:rPr>
          <w:rFonts w:ascii="Times New Roman" w:eastAsia="Times New Roman" w:hAnsi="Times New Roman" w:cs="Times New Roman"/>
          <w:color w:val="222222"/>
          <w:sz w:val="27"/>
          <w:szCs w:val="27"/>
          <w:lang w:eastAsia="ru-RU"/>
        </w:rPr>
        <w:t>–</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периметрический индекс, который определяется при статической периметрии и представляет собой среднее различие между нормальными значениями светочувствительности сетчатки с поправкой на возраст и измеренными пороговыми значениями во всех точках сканирования</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PSD, pattern standard deviation (паттерн стандартного отклонения) – </w:t>
      </w:r>
      <w:r w:rsidRPr="00251421">
        <w:rPr>
          <w:rFonts w:ascii="Times New Roman" w:eastAsia="Times New Roman" w:hAnsi="Times New Roman" w:cs="Times New Roman"/>
          <w:color w:val="222222"/>
          <w:sz w:val="27"/>
          <w:szCs w:val="27"/>
          <w:lang w:eastAsia="ru-RU"/>
        </w:rPr>
        <w:t>периметрический индекс, характеризующий выраженность очаговых дефектов поля зрения</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GHT, Glaucoma Hemifield Test (глаукомный тест полуполей) </w:t>
      </w:r>
      <w:r w:rsidRPr="00251421">
        <w:rPr>
          <w:rFonts w:ascii="Times New Roman" w:eastAsia="Times New Roman" w:hAnsi="Times New Roman" w:cs="Times New Roman"/>
          <w:color w:val="222222"/>
          <w:sz w:val="27"/>
          <w:szCs w:val="27"/>
          <w:lang w:eastAsia="ru-RU"/>
        </w:rPr>
        <w:t>–  тест, сравнивающий верхнюю и нижнюю половины ПЗ по 5 (пяти) соответствующим участкам</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lastRenderedPageBreak/>
        <w:t>1. Краткая информация по заболеванию или состоянию (группы заболеваний или состояний)</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Подозрение на глаукому</w:t>
      </w:r>
      <w:r w:rsidRPr="00251421">
        <w:rPr>
          <w:rFonts w:ascii="Times New Roman" w:eastAsia="Times New Roman" w:hAnsi="Times New Roman" w:cs="Times New Roman"/>
          <w:color w:val="222222"/>
          <w:sz w:val="27"/>
          <w:szCs w:val="27"/>
          <w:lang w:eastAsia="ru-RU"/>
        </w:rPr>
        <w:t> – это состояние, характеризующееся наличием клинических проявлений и/или совокупности факторов риска, указывающих на повышенную вероятность развития ПОУГ [1-7]:</w:t>
      </w:r>
    </w:p>
    <w:p w:rsidR="00251421" w:rsidRPr="00251421" w:rsidRDefault="00251421" w:rsidP="00251421">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повышенный уровень ВГД при отсутствии изменений параметров ДЗН, СНВС и ПЗ - офтальмогипертензия;</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или</w:t>
      </w:r>
    </w:p>
    <w:p w:rsidR="00251421" w:rsidRPr="00251421" w:rsidRDefault="00251421" w:rsidP="00251421">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наличие изменений в ДЗН или СНВС, подозрительных на глаукомное повреждение;</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или</w:t>
      </w:r>
    </w:p>
    <w:p w:rsidR="00251421" w:rsidRPr="00251421" w:rsidRDefault="00251421" w:rsidP="00251421">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наличие изменений в ПЗ, подозрительных на глаукомное повреждение, при отсутствии клинических признаков других видов оптической нейропатий или ретинопатий.</w:t>
      </w:r>
      <w:r w:rsidRPr="00251421">
        <w:rPr>
          <w:rFonts w:ascii="Times New Roman" w:eastAsia="Times New Roman" w:hAnsi="Times New Roman" w:cs="Times New Roman"/>
          <w:b/>
          <w:bCs/>
          <w:color w:val="222222"/>
          <w:sz w:val="27"/>
          <w:szCs w:val="27"/>
          <w:lang w:eastAsia="ru-RU"/>
        </w:rPr>
        <w:t> </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Таким образом, термин «подозрение на глаукому» имеет более широкое значение, чем термин «офтальмогипертензия» (т.к. включает в себя когорты пациентов с нормальным уровнем ВГД, но наличием изменений структуры ДЗН и/или СНВС и/или поля зрения). В данном контексте офтальмогипертензия может рассматриваться как частный случай «подозрения на глаукому».</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При обследовании и последующем наблюдении пациента с ПГ особое внимание уделяется факторам риска, увеличивающим вероятность развития ПОУГ. К ним относятся следующие локальные и системные факторы:</w:t>
      </w:r>
    </w:p>
    <w:p w:rsidR="00251421" w:rsidRPr="00251421" w:rsidRDefault="00251421" w:rsidP="00251421">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возраст:</w:t>
      </w:r>
      <w:r w:rsidRPr="00251421">
        <w:rPr>
          <w:rFonts w:ascii="Times New Roman" w:eastAsia="Times New Roman" w:hAnsi="Times New Roman" w:cs="Times New Roman"/>
          <w:color w:val="222222"/>
          <w:sz w:val="27"/>
          <w:szCs w:val="27"/>
          <w:lang w:eastAsia="ru-RU"/>
        </w:rPr>
        <w:t> ПОУГ преимущественно развивается у пациентов старше 40 лет, а ее распространенность увеличивается с возрастом (95% ДИ 2,5–4,0) [8-14].</w:t>
      </w:r>
    </w:p>
    <w:p w:rsidR="00251421" w:rsidRPr="00251421" w:rsidRDefault="00251421" w:rsidP="00251421">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раса/этническая принадлежность:</w:t>
      </w:r>
      <w:r w:rsidRPr="00251421">
        <w:rPr>
          <w:rFonts w:ascii="Times New Roman" w:eastAsia="Times New Roman" w:hAnsi="Times New Roman" w:cs="Times New Roman"/>
          <w:color w:val="222222"/>
          <w:sz w:val="27"/>
          <w:szCs w:val="27"/>
          <w:lang w:eastAsia="ru-RU"/>
        </w:rPr>
        <w:t> распространенность ПОУГ в несколько раз выше у афроамериканцев, чем у лиц европеоидной расы (95% ДИ 3,83–9,13) [15-18].</w:t>
      </w:r>
    </w:p>
    <w:p w:rsidR="00251421" w:rsidRPr="00251421" w:rsidRDefault="00251421" w:rsidP="00251421">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пол:</w:t>
      </w:r>
      <w:r w:rsidRPr="00251421">
        <w:rPr>
          <w:rFonts w:ascii="Times New Roman" w:eastAsia="Times New Roman" w:hAnsi="Times New Roman" w:cs="Times New Roman"/>
          <w:color w:val="222222"/>
          <w:sz w:val="27"/>
          <w:szCs w:val="27"/>
          <w:lang w:eastAsia="ru-RU"/>
        </w:rPr>
        <w:t> данные о взаимосвязи пола и ПОУГ противоречивы [19-22].</w:t>
      </w:r>
    </w:p>
    <w:p w:rsidR="00251421" w:rsidRPr="00251421" w:rsidRDefault="00251421" w:rsidP="00251421">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семейный анамнез:</w:t>
      </w:r>
      <w:r w:rsidRPr="00251421">
        <w:rPr>
          <w:rFonts w:ascii="Times New Roman" w:eastAsia="Times New Roman" w:hAnsi="Times New Roman" w:cs="Times New Roman"/>
          <w:color w:val="222222"/>
          <w:sz w:val="27"/>
          <w:szCs w:val="27"/>
          <w:lang w:eastAsia="ru-RU"/>
        </w:rPr>
        <w:t> распространенность глаукомы среди кровных родственников больных с ПОУГ в 4–9 раз выше, чем в общей популяции [23-27].</w:t>
      </w:r>
    </w:p>
    <w:p w:rsidR="00251421" w:rsidRPr="00251421" w:rsidRDefault="00251421" w:rsidP="00251421">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повышенный уровень ВГД: </w:t>
      </w:r>
      <w:r w:rsidRPr="00251421">
        <w:rPr>
          <w:rFonts w:ascii="Times New Roman" w:eastAsia="Times New Roman" w:hAnsi="Times New Roman" w:cs="Times New Roman"/>
          <w:color w:val="222222"/>
          <w:sz w:val="27"/>
          <w:szCs w:val="27"/>
          <w:lang w:eastAsia="ru-RU"/>
        </w:rPr>
        <w:t>прямо коррелирует с увеличением распространенности и заболеваемости ПОУГ. Риск развития глаукомы возрастает на 10% на каждый 1 мм рт. ст. повышения уровня ВГД выше среднестатистической нормы [28-41].</w:t>
      </w:r>
    </w:p>
    <w:p w:rsidR="00251421" w:rsidRPr="00251421" w:rsidRDefault="00251421" w:rsidP="00251421">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псевдоэксфолиативный синдром:</w:t>
      </w:r>
      <w:r w:rsidRPr="00251421">
        <w:rPr>
          <w:rFonts w:ascii="Times New Roman" w:eastAsia="Times New Roman" w:hAnsi="Times New Roman" w:cs="Times New Roman"/>
          <w:color w:val="222222"/>
          <w:sz w:val="27"/>
          <w:szCs w:val="27"/>
          <w:lang w:eastAsia="ru-RU"/>
        </w:rPr>
        <w:t> наличие псевдоэксфолиаций увеличивает риск ПОУГ в 9–11 раз. В течение 10 лет глаукома развивается у каждого третьего пациента с ПЭС [42-46].</w:t>
      </w:r>
    </w:p>
    <w:p w:rsidR="00251421" w:rsidRPr="00251421" w:rsidRDefault="00251421" w:rsidP="00251421">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синдром пигментной дисперсии:</w:t>
      </w:r>
      <w:r w:rsidRPr="00251421">
        <w:rPr>
          <w:rFonts w:ascii="Times New Roman" w:eastAsia="Times New Roman" w:hAnsi="Times New Roman" w:cs="Times New Roman"/>
          <w:color w:val="222222"/>
          <w:sz w:val="27"/>
          <w:szCs w:val="27"/>
          <w:lang w:eastAsia="ru-RU"/>
        </w:rPr>
        <w:t> риск развития пигментной глаукомы у пациентов с синдромом пигментной дисперсии составила около 10% за 5 лет и 15% за 15 лет [47-50].</w:t>
      </w:r>
    </w:p>
    <w:p w:rsidR="00251421" w:rsidRPr="00251421" w:rsidRDefault="00251421" w:rsidP="00251421">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толщина роговицы в центральной оптической зоне (ЦТР):</w:t>
      </w:r>
      <w:r w:rsidRPr="00251421">
        <w:rPr>
          <w:rFonts w:ascii="Times New Roman" w:eastAsia="Times New Roman" w:hAnsi="Times New Roman" w:cs="Times New Roman"/>
          <w:color w:val="222222"/>
          <w:sz w:val="27"/>
          <w:szCs w:val="27"/>
          <w:lang w:eastAsia="ru-RU"/>
        </w:rPr>
        <w:t> установлено увеличение риска развития ПОУГ на 30–41% на каждые 40 мкм истончения ЦТР ниже среднестатистической нормы [31, 51-54].</w:t>
      </w:r>
    </w:p>
    <w:p w:rsidR="00251421" w:rsidRPr="00251421" w:rsidRDefault="00251421" w:rsidP="00251421">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миопия: </w:t>
      </w:r>
      <w:r w:rsidRPr="00251421">
        <w:rPr>
          <w:rFonts w:ascii="Times New Roman" w:eastAsia="Times New Roman" w:hAnsi="Times New Roman" w:cs="Times New Roman"/>
          <w:color w:val="222222"/>
          <w:sz w:val="27"/>
          <w:szCs w:val="27"/>
          <w:lang w:eastAsia="ru-RU"/>
        </w:rPr>
        <w:t>миопия высокой степени (≥6 диоптрий) увеличивает частоту возникновения ПГ [55-60].</w:t>
      </w:r>
    </w:p>
    <w:p w:rsidR="00251421" w:rsidRPr="00251421" w:rsidRDefault="00251421" w:rsidP="00251421">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перфузионное глазное давление: </w:t>
      </w:r>
      <w:r w:rsidRPr="00251421">
        <w:rPr>
          <w:rFonts w:ascii="Times New Roman" w:eastAsia="Times New Roman" w:hAnsi="Times New Roman" w:cs="Times New Roman"/>
          <w:color w:val="222222"/>
          <w:sz w:val="27"/>
          <w:szCs w:val="27"/>
          <w:lang w:eastAsia="ru-RU"/>
        </w:rPr>
        <w:t>обнаружена связь низкого перфузионного глазного давления с увеличением частоты возникновения ПГ. Поскольку перфузионное давление представляет разность между диастолическим уровнем артериального давления и величиной ВГД, лечение артериальной гипертензии у больных с ПГ может приводить к развитию системной гипотензии, и как следствие – ухудшению кровоснабжения ДЗН [61-66].</w:t>
      </w:r>
    </w:p>
    <w:p w:rsidR="00251421" w:rsidRPr="00251421" w:rsidRDefault="00251421" w:rsidP="00251421">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кровоизлияния на ДЗН: </w:t>
      </w:r>
      <w:r w:rsidRPr="00251421">
        <w:rPr>
          <w:rFonts w:ascii="Times New Roman" w:eastAsia="Times New Roman" w:hAnsi="Times New Roman" w:cs="Times New Roman"/>
          <w:color w:val="222222"/>
          <w:sz w:val="27"/>
          <w:szCs w:val="27"/>
          <w:lang w:eastAsia="ru-RU"/>
        </w:rPr>
        <w:t xml:space="preserve">в международном исследовании по изучению глаукомы низкого давления (Collaborative Normal Tension Glaucoma Study, </w:t>
      </w:r>
      <w:r w:rsidRPr="00251421">
        <w:rPr>
          <w:rFonts w:ascii="Times New Roman" w:eastAsia="Times New Roman" w:hAnsi="Times New Roman" w:cs="Times New Roman"/>
          <w:color w:val="222222"/>
          <w:sz w:val="27"/>
          <w:szCs w:val="27"/>
          <w:lang w:eastAsia="ru-RU"/>
        </w:rPr>
        <w:lastRenderedPageBreak/>
        <w:t>CNTGS) наличие кровоизлияний в зоне ДЗН достоверно коррелировало с прогрессированием глаукомы [67].</w:t>
      </w:r>
    </w:p>
    <w:p w:rsidR="00251421" w:rsidRPr="00251421" w:rsidRDefault="00251421" w:rsidP="00251421">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другие факторы:</w:t>
      </w:r>
      <w:r w:rsidRPr="00251421">
        <w:rPr>
          <w:rFonts w:ascii="Times New Roman" w:eastAsia="Times New Roman" w:hAnsi="Times New Roman" w:cs="Times New Roman"/>
          <w:color w:val="222222"/>
          <w:sz w:val="27"/>
          <w:szCs w:val="27"/>
          <w:lang w:eastAsia="ru-RU"/>
        </w:rPr>
        <w:t> имеются сообщения о других факторах, которые могут быть связаны с повышенным риском развития ПОУГ (кардиоваскулярная патология, в том числе системная артериальная гипотензия, системный атеросклероз; вазоспастический синдром, в том числе болезнь Рейно, мигрень и мигренеподобные состояния; апноэ во сне и синкопальные состояния неясного генеза; сахарный диабет (95% ДИ 1,20–1,57). Вместе с тем литературные данные остаются противоречивыми [68-72].</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В Российской Федерации до настоящего времени не проводились масштабные системные клинико-эпидемиологические исследования, посвященные обнаружению лиц с подозрением на глаукому, офтальмогипертензией (ОГ).  В подавляющем большинстве случаев диагностирование данных состояний происходит при выполнении популяционных исследований по поводу глаукомы при выявлении повышенного уровня ВГД [4, 73–77].</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По отдельным данным отечественных и зарубежных литературных источников, частота повышения уровня ВГД в 5–15 раз превышает частоту распространенности глаукомы. Таким образом, включение лиц с офтальмогипертензией в группу больных с глаукомой приведет к увеличению числа последних в 10 раз без достаточных на то оснований [73, 78–82].</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В свою очередь, распространенность ОГ среди лиц европеоидной расы, проживающих в США, в возрасте 40 лет и старше, составляет 4,5% (в диапазоне от 2,7% у лиц в возрасте от 43 до 49 лет до 7,7% у лиц в возрасте от 75 до 79 лет) [83].</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Несколько выше обнаруженная распространенность повышенного уровня ВГД среди латиноамериканцев в возрасте 40 лет и старше: она составляет 3,5% (от 1,7% у лиц в возрасте 40–49 лет до 7,4% у лиц в возрасте 80 лет и старше) [84].</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Возраст-ассоциированное увеличение доли пациентов характерно как для ОГ, так и для ПОУГ. Однако темпы прироста при ОГ несомненно выше: в популяции лиц старше 50 лет распространенность ОГ составляет до 15–20% [31, 85-109].</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Реальная распространенность ОГ может быть значительно выше, поскольку значительное количество случаев остаются недиагностированными. Например, предполагается, что от 3 до 6 миллионов человек в США имеют повышенный уровень ВГД [28,110].</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H.40.0 – Подозрение на глаукому [111,112].</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Комментарий:</w:t>
      </w:r>
      <w:r w:rsidRPr="00251421">
        <w:rPr>
          <w:rFonts w:ascii="Times New Roman" w:eastAsia="Times New Roman" w:hAnsi="Times New Roman" w:cs="Times New Roman"/>
          <w:i/>
          <w:iCs/>
          <w:color w:val="333333"/>
          <w:sz w:val="27"/>
          <w:szCs w:val="27"/>
          <w:lang w:eastAsia="ru-RU"/>
        </w:rPr>
        <w:t> согласно Международной статистической классификации болезней и проблем, связанных со здоровьем в данную группу входят и другие состояния - преглаукома (Н40.00), открытый УПК с пограничными изменениями и низким риском развития заболевания (Н40.01), открытый УПК с пограничными изменениями и высоким риском развития заболевания (Н40.02), анатомически узкий УПК (Н40.03), гормонально (стероидно) -зависимая форма (Н40.04), офтальмогипертензия (Н40.05), первичное закрытие УПК без развития глаукомы (Н40.06) </w:t>
      </w:r>
      <w:r w:rsidRPr="00251421">
        <w:rPr>
          <w:rFonts w:ascii="Times New Roman" w:eastAsia="Times New Roman" w:hAnsi="Times New Roman" w:cs="Times New Roman"/>
          <w:color w:val="222222"/>
          <w:sz w:val="27"/>
          <w:szCs w:val="27"/>
          <w:lang w:eastAsia="ru-RU"/>
        </w:rPr>
        <w:t>[11,112].</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Не существует классификации ПГ, однако выделяют состояния, характеризующие ОГ, которую подразделяют на: </w:t>
      </w:r>
      <w:r w:rsidRPr="00251421">
        <w:rPr>
          <w:rFonts w:ascii="Times New Roman" w:eastAsia="Times New Roman" w:hAnsi="Times New Roman" w:cs="Times New Roman"/>
          <w:color w:val="222222"/>
          <w:sz w:val="27"/>
          <w:szCs w:val="27"/>
          <w:lang w:eastAsia="ru-RU"/>
        </w:rPr>
        <w:t>[1, 113,114]:</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1) ложную;</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2) эссенциальную;</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3) симптоматическую.</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Примеры диагноза:</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Подозрение на глаукому обоих глаз.</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Подозрение на глаукому обоих глаз. Ложная офтальмогипертензия обоих глаз.</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Подозрение на глаукому обоих глаз. Эссенциальная офтальмогипертензия обоих глаз.</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Подозрение на глаукому обоих глаз. Симптоматическая офтальмогипертензия обоих глаз.</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Чаще всего при подозрении на глаукому ПЗ и/или ДЗН и/или СНВС не имеют отклонений от нормы или обнаруживают пограничные изменения не менее чем одной из перечисленных функций/структур на фоне периодического или постоянного повышения уровня ВГД [115].</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Как правило, ПГ, также как и первичная открытоугольная глаукома (ПОУГ) протекает бессимптомно и в большинстве случаев выявляется случайно при определении повышения уровня ВГД, которое иногда проявляется отдельными нетипичными жалобами: периодическое затуманивание зрения, видение радужных кругов вокруг источников света, боли в глазах и голове, мелькание «мушек», быстрая утомляемость, частая смена пресбиопических очков [116-118].</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 xml:space="preserve">Помимо этого, следует обратить внимание на повышенный уровень ВГД (&gt;21 мм рт. ст., Ро) без лечения, асимметрию офтальмотонуса между парными глазами [119-122]. Измененный внешний вид ДЗН включает в себя расширение экскавации, истончение НРП или СНВС, прорыв экскавации к краю, </w:t>
      </w:r>
      <w:r w:rsidRPr="00251421">
        <w:rPr>
          <w:rFonts w:ascii="Times New Roman" w:eastAsia="Times New Roman" w:hAnsi="Times New Roman" w:cs="Times New Roman"/>
          <w:color w:val="222222"/>
          <w:sz w:val="27"/>
          <w:szCs w:val="27"/>
          <w:lang w:eastAsia="ru-RU"/>
        </w:rPr>
        <w:lastRenderedPageBreak/>
        <w:t>кровоизлияние на ДЗН, выраженную перипапиллярную атрофию и асимметрию морфометрических параметров парных глаз [1, 122].</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Комментарий: </w:t>
      </w:r>
      <w:r w:rsidRPr="00251421">
        <w:rPr>
          <w:rFonts w:ascii="Times New Roman" w:eastAsia="Times New Roman" w:hAnsi="Times New Roman" w:cs="Times New Roman"/>
          <w:i/>
          <w:iCs/>
          <w:color w:val="333333"/>
          <w:sz w:val="27"/>
          <w:szCs w:val="27"/>
          <w:lang w:eastAsia="ru-RU"/>
        </w:rPr>
        <w:t>Эти изменения, также можно увидеть и при других состояниях, таких как миопия или аномалии ДЗН (физиологическое увеличение Э/Д при ДЗН большого размера, наклоненные аномальные ДЗН и др.), где они могут быть вариантом нормы [123,124].</w:t>
      </w:r>
      <w:r w:rsidRPr="00251421">
        <w:rPr>
          <w:rFonts w:ascii="Times New Roman" w:eastAsia="Times New Roman" w:hAnsi="Times New Roman" w:cs="Times New Roman"/>
          <w:color w:val="222222"/>
          <w:sz w:val="27"/>
          <w:szCs w:val="27"/>
          <w:lang w:eastAsia="ru-RU"/>
        </w:rPr>
        <w:t> </w:t>
      </w:r>
      <w:r w:rsidRPr="00251421">
        <w:rPr>
          <w:rFonts w:ascii="Times New Roman" w:eastAsia="Times New Roman" w:hAnsi="Times New Roman" w:cs="Times New Roman"/>
          <w:i/>
          <w:iCs/>
          <w:color w:val="333333"/>
          <w:sz w:val="27"/>
          <w:szCs w:val="27"/>
          <w:lang w:eastAsia="ru-RU"/>
        </w:rPr>
        <w:t>До 40% волокон зрительного нерва могут быть потеряны до того, как произойдет изменения поля зрения и снижение толщины СНВС при сравнении пациентов с ПГ и здоровыми глазами [125,126]. При ПГ не обнаруживается никаких дефектов поля зрения при тестировании или появляются дефекты, которые еще не вполне убедительны в качестве доказательства глаукомы [122]. В случае обнаружения изменений и для их подтверждения исследования следует повторить с учетом эффекта обучения пациента [1, 122]. </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Особенности клинико-патогенетических форм ОГ</w:t>
      </w:r>
      <w:r w:rsidRPr="00251421">
        <w:rPr>
          <w:rFonts w:ascii="Times New Roman" w:eastAsia="Times New Roman" w:hAnsi="Times New Roman" w:cs="Times New Roman"/>
          <w:color w:val="222222"/>
          <w:sz w:val="27"/>
          <w:szCs w:val="27"/>
          <w:lang w:eastAsia="ru-RU"/>
        </w:rPr>
        <w:t>.</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Для ОГ характерно доброкачественное течение без поражения ДЗН. Вместе с тем в части случаев (15–25%) возможен переход ОГ в глаукому, поэтому данное состояние следует рассматривать как один из факторов риска [1]. </w:t>
      </w:r>
      <w:r w:rsidRPr="00251421">
        <w:rPr>
          <w:rFonts w:ascii="Times New Roman" w:eastAsia="Times New Roman" w:hAnsi="Times New Roman" w:cs="Times New Roman"/>
          <w:b/>
          <w:bCs/>
          <w:color w:val="222222"/>
          <w:sz w:val="27"/>
          <w:szCs w:val="27"/>
          <w:lang w:eastAsia="ru-RU"/>
        </w:rPr>
        <w:t>Ложная гипертензия</w:t>
      </w:r>
      <w:r w:rsidRPr="00251421">
        <w:rPr>
          <w:rFonts w:ascii="Times New Roman" w:eastAsia="Times New Roman" w:hAnsi="Times New Roman" w:cs="Times New Roman"/>
          <w:color w:val="222222"/>
          <w:sz w:val="27"/>
          <w:szCs w:val="27"/>
          <w:lang w:eastAsia="ru-RU"/>
        </w:rPr>
        <w:t> связана с устойчивой повышенной̆ реактивностью пациента на офтальмотонометрию, высоким индивидуальным уровнем ВГД или техническими погрешностями при измерении офтальмотонуса. </w:t>
      </w:r>
      <w:r w:rsidRPr="00251421">
        <w:rPr>
          <w:rFonts w:ascii="Times New Roman" w:eastAsia="Times New Roman" w:hAnsi="Times New Roman" w:cs="Times New Roman"/>
          <w:b/>
          <w:bCs/>
          <w:color w:val="222222"/>
          <w:sz w:val="27"/>
          <w:szCs w:val="27"/>
          <w:lang w:eastAsia="ru-RU"/>
        </w:rPr>
        <w:t>Эссенциальная гипертензия</w:t>
      </w:r>
      <w:r w:rsidRPr="00251421">
        <w:rPr>
          <w:rFonts w:ascii="Times New Roman" w:eastAsia="Times New Roman" w:hAnsi="Times New Roman" w:cs="Times New Roman"/>
          <w:color w:val="222222"/>
          <w:sz w:val="27"/>
          <w:szCs w:val="27"/>
          <w:lang w:eastAsia="ru-RU"/>
        </w:rPr>
        <w:t> обусловлена дисбалансом возрастных изменений в гидродинамике глаза - ухудшением оттока водянистой̆ влаги при сохранившейся ее секреции. Во многих случаях этот дисбаланс постепенно выравнивается. </w:t>
      </w:r>
      <w:r w:rsidRPr="00251421">
        <w:rPr>
          <w:rFonts w:ascii="Times New Roman" w:eastAsia="Times New Roman" w:hAnsi="Times New Roman" w:cs="Times New Roman"/>
          <w:b/>
          <w:bCs/>
          <w:color w:val="222222"/>
          <w:sz w:val="27"/>
          <w:szCs w:val="27"/>
          <w:lang w:eastAsia="ru-RU"/>
        </w:rPr>
        <w:t>Симптоматическая гипертензия</w:t>
      </w:r>
      <w:r w:rsidRPr="00251421">
        <w:rPr>
          <w:rFonts w:ascii="Times New Roman" w:eastAsia="Times New Roman" w:hAnsi="Times New Roman" w:cs="Times New Roman"/>
          <w:color w:val="222222"/>
          <w:sz w:val="27"/>
          <w:szCs w:val="27"/>
          <w:lang w:eastAsia="ru-RU"/>
        </w:rPr>
        <w:t> представляет собой̆ кратковременное или длительное повышение уровня ВГД, являющееся лишь симптомом другого заболевания. Если основное заболевание излечивают, то офтальмотонус нормализуется. К симптоматической гипертензии относят глаукомоциклические кризы, увеиты с гипертензией, а также повышение офтальмотонуса, вызванное нарушением активной регуляции ВГД вследствие интоксикации, диэнцефальных и эндокринных расстройств, патологически протекающего климактерического периода, длительной терапии большими дозами некоторых гормонов.</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 xml:space="preserve">2. Диагностика заболевания или состояния (группы заболеваний или </w:t>
      </w:r>
      <w:r w:rsidRPr="00251421">
        <w:rPr>
          <w:rFonts w:ascii="Times New Roman" w:eastAsia="Times New Roman" w:hAnsi="Times New Roman" w:cs="Times New Roman"/>
          <w:b/>
          <w:bCs/>
          <w:color w:val="000000"/>
          <w:kern w:val="36"/>
          <w:sz w:val="48"/>
          <w:szCs w:val="48"/>
          <w:lang w:eastAsia="ru-RU"/>
        </w:rPr>
        <w:lastRenderedPageBreak/>
        <w:t>состояний) медицинские показания и противопоказания к применению методов диагностики</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Критерии установления заболевания или состояния:</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повышенный уровень ВГД при отсутствии изменений параметров ДЗН, СНВС и ПЗ (офтальмогипертензия);</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или наличие изменений в ДЗН или СНВС, подозрительных на глаукомное повреждение;</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или наличие изменений в ПЗ, подозрительных на глаукомное повреждение, при отсутствии клинических признаков других видов оптических нейропатий или ретинопатий.</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2.1 Жалобы и анамнез</w:t>
      </w:r>
    </w:p>
    <w:p w:rsidR="00251421" w:rsidRPr="00251421" w:rsidRDefault="00251421" w:rsidP="00251421">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w:t>
      </w:r>
      <w:r w:rsidRPr="00251421">
        <w:rPr>
          <w:rFonts w:ascii="Times New Roman" w:eastAsia="Times New Roman" w:hAnsi="Times New Roman" w:cs="Times New Roman"/>
          <w:color w:val="222222"/>
          <w:sz w:val="27"/>
          <w:szCs w:val="27"/>
          <w:lang w:eastAsia="ru-RU"/>
        </w:rPr>
        <w:t> тщательный сбор анамнеза и жалоб при патологии глаза у всех пациентов с подозрением на глаукому с целью выявления факторов, которые могут повлиять на верификацию диагноза и выбор тактики [1-3].</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Комментарии: </w:t>
      </w:r>
      <w:r w:rsidRPr="00251421">
        <w:rPr>
          <w:rFonts w:ascii="Times New Roman" w:eastAsia="Times New Roman" w:hAnsi="Times New Roman" w:cs="Times New Roman"/>
          <w:i/>
          <w:iCs/>
          <w:color w:val="333333"/>
          <w:sz w:val="27"/>
          <w:szCs w:val="27"/>
          <w:lang w:eastAsia="ru-RU"/>
        </w:rPr>
        <w:t>при сборе жалоб и анамнеза следует обратить внимание на наличие факторов риска возникновения ПОУГ (см. раздел 1.2) [1-7].</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2.2 Физикальное обследование</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Специфических признаков ПГ, которые можно было бы выявить при физикальном осмотре, не существует. Необходимо соблюдать общие пропедевтические принципы обследования пациентов.</w:t>
      </w:r>
    </w:p>
    <w:p w:rsidR="00251421" w:rsidRPr="00251421" w:rsidRDefault="00251421" w:rsidP="00251421">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lastRenderedPageBreak/>
        <w:t>Рекомендуется</w:t>
      </w:r>
      <w:r w:rsidRPr="00251421">
        <w:rPr>
          <w:rFonts w:ascii="Times New Roman" w:eastAsia="Times New Roman" w:hAnsi="Times New Roman" w:cs="Times New Roman"/>
          <w:color w:val="222222"/>
          <w:sz w:val="27"/>
          <w:szCs w:val="27"/>
          <w:lang w:eastAsia="ru-RU"/>
        </w:rPr>
        <w:t> направлять пациентов с сопутствующими системными заболеваниями к профильным специалистам на консультацию с целью верификации диагноза и установления факторов риска [1-7].</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Диагностических критериев ПГ на основании данных клинического лабораторного обследования не существует.</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251421" w:rsidRPr="00251421" w:rsidRDefault="00251421" w:rsidP="00251421">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 </w:t>
      </w:r>
      <w:r w:rsidRPr="00251421">
        <w:rPr>
          <w:rFonts w:ascii="Times New Roman" w:eastAsia="Times New Roman" w:hAnsi="Times New Roman" w:cs="Times New Roman"/>
          <w:color w:val="222222"/>
          <w:sz w:val="27"/>
          <w:szCs w:val="27"/>
          <w:lang w:eastAsia="ru-RU"/>
        </w:rPr>
        <w:t>визометрия с максимальной коррекцией аметропии всем пациентам с ПГ для оценки функционального состояния зрительного нерва и сетчатки</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[1-7, 122, 127].           </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 </w:t>
      </w:r>
    </w:p>
    <w:p w:rsidR="00251421" w:rsidRPr="00251421" w:rsidRDefault="00251421" w:rsidP="00251421">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 </w:t>
      </w:r>
      <w:r w:rsidRPr="00251421">
        <w:rPr>
          <w:rFonts w:ascii="Times New Roman" w:eastAsia="Times New Roman" w:hAnsi="Times New Roman" w:cs="Times New Roman"/>
          <w:color w:val="222222"/>
          <w:sz w:val="27"/>
          <w:szCs w:val="27"/>
          <w:lang w:eastAsia="ru-RU"/>
        </w:rPr>
        <w:t>рефрактометрия всем пациентам с ПГ с целью определения возможных аномалий рефракции, в том числе с целью их коррекции при проведении периметрии [1-7, 122, 55-60].</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Комментарии:</w:t>
      </w:r>
      <w:r w:rsidRPr="00251421">
        <w:rPr>
          <w:rFonts w:ascii="Times New Roman" w:eastAsia="Times New Roman" w:hAnsi="Times New Roman" w:cs="Times New Roman"/>
          <w:color w:val="222222"/>
          <w:sz w:val="27"/>
          <w:szCs w:val="27"/>
          <w:lang w:eastAsia="ru-RU"/>
        </w:rPr>
        <w:t> </w:t>
      </w:r>
      <w:r w:rsidRPr="00251421">
        <w:rPr>
          <w:rFonts w:ascii="Times New Roman" w:eastAsia="Times New Roman" w:hAnsi="Times New Roman" w:cs="Times New Roman"/>
          <w:i/>
          <w:iCs/>
          <w:color w:val="333333"/>
          <w:sz w:val="27"/>
          <w:szCs w:val="27"/>
          <w:lang w:eastAsia="ru-RU"/>
        </w:rPr>
        <w:t>исследование проводят с помощью авторефрактометров или скиаскопически, определяют наименьшую отрицательную или максимальную положительную линзу, с которой достигается максимальная острота зрения. Нейтрализация любой аномалии рефракции имеет решающее значение для точной периметрии</w:t>
      </w:r>
      <w:r w:rsidRPr="00251421">
        <w:rPr>
          <w:rFonts w:ascii="Times New Roman" w:eastAsia="Times New Roman" w:hAnsi="Times New Roman" w:cs="Times New Roman"/>
          <w:color w:val="222222"/>
          <w:sz w:val="27"/>
          <w:szCs w:val="27"/>
          <w:lang w:eastAsia="ru-RU"/>
        </w:rPr>
        <w:t>.</w:t>
      </w:r>
      <w:r w:rsidRPr="00251421">
        <w:rPr>
          <w:rFonts w:ascii="Times New Roman" w:eastAsia="Times New Roman" w:hAnsi="Times New Roman" w:cs="Times New Roman"/>
          <w:b/>
          <w:bCs/>
          <w:color w:val="222222"/>
          <w:sz w:val="27"/>
          <w:szCs w:val="27"/>
          <w:lang w:eastAsia="ru-RU"/>
        </w:rPr>
        <w:t> </w:t>
      </w:r>
    </w:p>
    <w:p w:rsidR="00251421" w:rsidRPr="00251421" w:rsidRDefault="00251421" w:rsidP="00251421">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w:t>
      </w:r>
      <w:r w:rsidRPr="00251421">
        <w:rPr>
          <w:rFonts w:ascii="Times New Roman" w:eastAsia="Times New Roman" w:hAnsi="Times New Roman" w:cs="Times New Roman"/>
          <w:i/>
          <w:iCs/>
          <w:color w:val="333333"/>
          <w:sz w:val="27"/>
          <w:szCs w:val="27"/>
          <w:lang w:eastAsia="ru-RU"/>
        </w:rPr>
        <w:t> </w:t>
      </w:r>
      <w:r w:rsidRPr="00251421">
        <w:rPr>
          <w:rFonts w:ascii="Times New Roman" w:eastAsia="Times New Roman" w:hAnsi="Times New Roman" w:cs="Times New Roman"/>
          <w:color w:val="222222"/>
          <w:sz w:val="27"/>
          <w:szCs w:val="27"/>
          <w:lang w:eastAsia="ru-RU"/>
        </w:rPr>
        <w:t>офтальмотонометрия</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всем пациентам с ПГ для диагностики, динамического наблюдения и контроля эффективности возможного лечения [1-7, 38, 121,122].</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Комментарий: </w:t>
      </w:r>
      <w:r w:rsidRPr="00251421">
        <w:rPr>
          <w:rFonts w:ascii="Times New Roman" w:eastAsia="Times New Roman" w:hAnsi="Times New Roman" w:cs="Times New Roman"/>
          <w:i/>
          <w:iCs/>
          <w:color w:val="333333"/>
          <w:sz w:val="27"/>
          <w:szCs w:val="27"/>
          <w:lang w:eastAsia="ru-RU"/>
        </w:rPr>
        <w:t>Базовым методом измерения уровня ВГД, принятым в Российской Федерации, является офтальмотонометрия по Маклакову (Pt) с использованием груза 10 гр. Для определения уровня истинного ВГД (Po) используется метод тонографии. Общепринятой практикой во всем мире является измерение уровня ВГД методом аппланационной тонометрии (по Гольдману) (Po), результаты которого отличаются от тонометрических значений. Для сопоставления двух видов тонометрий возможно использование переводной линейки Нестерова-Егорова для тонометра Маклакова грузом 10 гр. В Российской̆ Федерации также зарегистрированы индукционный тонометр, динамический контурный тонометр и анализатор биомеханических свойств глаза, выполняющий измерение за счет двунаправленной аппланации роговицы  (прибор, позволяющий, в том числе интерпретировать значения тонометрии по Гольдману) и транспальпебральный тонометр (указанный метод измерения обладает рядом преимуществ, в частности, значительно снижает риск контаминационного заражения ввиду отсутствия прямого контакта с глазным яблоком, а также может применяться, в том числе и в послеоперационном периоде). Бесконтактную тонометрию (пневмотонометрию) нужно рассматривать как скрининговый̆ метод определения уровня ВГД. При динамическом наблюдении рекомендуется использовать один базовый̆ метод тонометрии для корректного сравнения полученных результатов [119-122].</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При анализе данных тонометрии учитывают абсолютные цифры уровня ВГД, суточные колебания, разницу офтальмотонуса между парными глазами и характеристики ортостатических колебаний [127-130].</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Статистическая норма показателей истинного уровня ВГД (P</w:t>
      </w:r>
      <w:r w:rsidRPr="00251421">
        <w:rPr>
          <w:rFonts w:ascii="Times New Roman" w:eastAsia="Times New Roman" w:hAnsi="Times New Roman" w:cs="Times New Roman"/>
          <w:i/>
          <w:iCs/>
          <w:color w:val="333333"/>
          <w:sz w:val="20"/>
          <w:szCs w:val="20"/>
          <w:vertAlign w:val="subscript"/>
          <w:lang w:eastAsia="ru-RU"/>
        </w:rPr>
        <w:t>0</w:t>
      </w:r>
      <w:r w:rsidRPr="00251421">
        <w:rPr>
          <w:rFonts w:ascii="Times New Roman" w:eastAsia="Times New Roman" w:hAnsi="Times New Roman" w:cs="Times New Roman"/>
          <w:i/>
          <w:iCs/>
          <w:color w:val="333333"/>
          <w:sz w:val="27"/>
          <w:szCs w:val="27"/>
          <w:lang w:eastAsia="ru-RU"/>
        </w:rPr>
        <w:t>) у здорового человека составляет от 10 до 21 мм рт. ст., показателей тонометрического уровня ВГД (Pt) - от 15 до 25 мм рт. ст. Средняя величина уровня ВГД (Pt) здоровых составляет 19,9±0,03 мм рт. ст., а весь диапазон статистической нормы можно разделить на три зоны: зону высокой нормы (от 23 до 25 мм рт. ст., 6,5%), зону средней нормы (19-22 мм рт. ст., 72,2%) и зону низкой нормы (&lt;18 мм рт. ст., 20,3%) [131-134].</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 xml:space="preserve">Суточные колебания уровня ВГД, а также его асимметрия между парными глазами у здоровых лиц, как правило, находятся в пределах 2-3 мм рт. ст., и лишь в исключительно редких случаях достигают 4-6 мм рт. ст. Чем выше исходный </w:t>
      </w:r>
      <w:r w:rsidRPr="00251421">
        <w:rPr>
          <w:rFonts w:ascii="Times New Roman" w:eastAsia="Times New Roman" w:hAnsi="Times New Roman" w:cs="Times New Roman"/>
          <w:i/>
          <w:iCs/>
          <w:color w:val="333333"/>
          <w:sz w:val="27"/>
          <w:szCs w:val="27"/>
          <w:lang w:eastAsia="ru-RU"/>
        </w:rPr>
        <w:lastRenderedPageBreak/>
        <w:t>средний уровень ВГД, тем выше могут быть суточные колебания офтальмотонуса [135,136].</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Ортостатические колебания в норме редко превышают 4 мм рт. ст., а при ПГ составляют от 5 до 13 мм рт. ст. [137-139].</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Рекомендовано выполнять несколько последовательных измерений уровня ВГД. Их можно проводить дискретно, с перерывом в течение часов, дней или недели. Возможно использование специальных хронобиологических схем [140-143].</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Мониторинг уровня ВГД необходим также при подборе местной гипотензивной терапии с учетом начала времени действия препарата, его максимального эффекта и действия периода вымывания, в случае назначения лечения [30, 144-147].</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Измерение уровня ВГД необходимо проводить до выполнения гониоскопии и расширения зрачка [1-4]. </w:t>
      </w:r>
    </w:p>
    <w:p w:rsidR="00251421" w:rsidRPr="00251421" w:rsidRDefault="00251421" w:rsidP="00251421">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w:t>
      </w:r>
      <w:r w:rsidRPr="00251421">
        <w:rPr>
          <w:rFonts w:ascii="Times New Roman" w:eastAsia="Times New Roman" w:hAnsi="Times New Roman" w:cs="Times New Roman"/>
          <w:color w:val="222222"/>
          <w:sz w:val="27"/>
          <w:szCs w:val="27"/>
          <w:lang w:eastAsia="ru-RU"/>
        </w:rPr>
        <w:t> биомикроскопия глаза всем пациентам для оценки состояния сред и структур глаза [1-4].</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Комментарий: </w:t>
      </w:r>
      <w:r w:rsidRPr="00251421">
        <w:rPr>
          <w:rFonts w:ascii="Times New Roman" w:eastAsia="Times New Roman" w:hAnsi="Times New Roman" w:cs="Times New Roman"/>
          <w:i/>
          <w:iCs/>
          <w:color w:val="333333"/>
          <w:sz w:val="27"/>
          <w:szCs w:val="27"/>
          <w:lang w:eastAsia="ru-RU"/>
        </w:rPr>
        <w:t>Измерение глубины периферической части передней камеры по методу ван Херика является частью биомикроскопии и помогает ориентировочно определить степень закрытия/открытия УПК. В качестве дополнительных критериев при выполнении биомикроскопии следует учитывать: неравномерное сужение артериол и расширение венул, ампулообразное расширение сосудов, образование микроаневризм, повышение проницаемости капилляров, возникновение мелких геморрагий, появление зернистого тока крови при исследовании конъюнктивы; выявление асимметрии в изменениях переднего отрезка глаз, определение степени пигментации на эндотелии (например, веретено Крукенберга, характерное для пигментной глаукомы), отложения псевдоэксфолиаций по зрачковому краю радужной оболочки и на передней капсуле хрусталика, наличие гетерохромии радужки, атрофии стромы и ее пигментной каймы [148,149].</w:t>
      </w:r>
      <w:r w:rsidRPr="00251421">
        <w:rPr>
          <w:rFonts w:ascii="Times New Roman" w:eastAsia="Times New Roman" w:hAnsi="Times New Roman" w:cs="Times New Roman"/>
          <w:b/>
          <w:bCs/>
          <w:color w:val="222222"/>
          <w:sz w:val="27"/>
          <w:szCs w:val="27"/>
          <w:lang w:eastAsia="ru-RU"/>
        </w:rPr>
        <w:t> </w:t>
      </w:r>
    </w:p>
    <w:p w:rsidR="00251421" w:rsidRPr="00251421" w:rsidRDefault="00251421" w:rsidP="00251421">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w:t>
      </w:r>
      <w:r w:rsidRPr="00251421">
        <w:rPr>
          <w:rFonts w:ascii="Times New Roman" w:eastAsia="Times New Roman" w:hAnsi="Times New Roman" w:cs="Times New Roman"/>
          <w:color w:val="222222"/>
          <w:sz w:val="27"/>
          <w:szCs w:val="27"/>
          <w:lang w:eastAsia="ru-RU"/>
        </w:rPr>
        <w:t> гониоскопия всем пациентам с ПГ с целью выявления степени открытия УПК и его патологических изменений [1-4].</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Комментарий: </w:t>
      </w:r>
      <w:r w:rsidRPr="00251421">
        <w:rPr>
          <w:rFonts w:ascii="Times New Roman" w:eastAsia="Times New Roman" w:hAnsi="Times New Roman" w:cs="Times New Roman"/>
          <w:i/>
          <w:iCs/>
          <w:color w:val="333333"/>
          <w:sz w:val="27"/>
          <w:szCs w:val="27"/>
          <w:lang w:eastAsia="ru-RU"/>
        </w:rPr>
        <w:t xml:space="preserve">Гониоскопия позволяет провести оценку УПК; выявить признаки гониодисгенеза и пороков развития иридокорнеального угла; решить вопрос о возможности проведения лазерной операции на структурах УПК глаза </w:t>
      </w:r>
      <w:r w:rsidRPr="00251421">
        <w:rPr>
          <w:rFonts w:ascii="Times New Roman" w:eastAsia="Times New Roman" w:hAnsi="Times New Roman" w:cs="Times New Roman"/>
          <w:i/>
          <w:iCs/>
          <w:color w:val="333333"/>
          <w:sz w:val="27"/>
          <w:szCs w:val="27"/>
          <w:lang w:eastAsia="ru-RU"/>
        </w:rPr>
        <w:lastRenderedPageBreak/>
        <w:t>и выполнить эти операции; обнаружить межокулярную асимметрию гониоскопической картины; определить места ретенции.</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Гониоскопия - пространственная характеристика УПК, основанная на распознавании и описании его опознавательных зон и характеристик, включающих: биометрические параметры (высоту, профиль и ширину угла – пространство между эндотелием роговицы и корнем радужки); уровень прикрепления радужки; характер и степень пигментации зоны трабекулы и шлеммова канала; наличие синехий, псевдоэксфолиативного материала и иных депозитов.</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С целью систематизации результатов гониоскопического исследования целесообразно использовать классификации van Beuningen, G. Spaeth или R. Shaffer [150, 151].</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В дополнение к гониоскопии можно использовать ОКТ переднего сегмента с целью динамики изменений УПК (что не заменяет гониоскопию) [152].</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Исследование не показано</w:t>
      </w:r>
      <w:r w:rsidRPr="00251421">
        <w:rPr>
          <w:rFonts w:ascii="Times New Roman" w:eastAsia="Times New Roman" w:hAnsi="Times New Roman" w:cs="Times New Roman"/>
          <w:b/>
          <w:bCs/>
          <w:i/>
          <w:iCs/>
          <w:color w:val="333333"/>
          <w:sz w:val="27"/>
          <w:szCs w:val="27"/>
          <w:lang w:eastAsia="ru-RU"/>
        </w:rPr>
        <w:t> </w:t>
      </w:r>
      <w:r w:rsidRPr="00251421">
        <w:rPr>
          <w:rFonts w:ascii="Times New Roman" w:eastAsia="Times New Roman" w:hAnsi="Times New Roman" w:cs="Times New Roman"/>
          <w:i/>
          <w:iCs/>
          <w:color w:val="333333"/>
          <w:sz w:val="27"/>
          <w:szCs w:val="27"/>
          <w:lang w:eastAsia="ru-RU"/>
        </w:rPr>
        <w:t>пациентам с воспалительными процессами глазной поверхности, при травматическом повреждении глазного яблока, и не может быть выполнена корректно у пациентов с выраженными помутнениями роговицы, гифемой. </w:t>
      </w:r>
    </w:p>
    <w:p w:rsidR="00251421" w:rsidRPr="00251421" w:rsidRDefault="00251421" w:rsidP="00251421">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 </w:t>
      </w:r>
      <w:r w:rsidRPr="00251421">
        <w:rPr>
          <w:rFonts w:ascii="Times New Roman" w:eastAsia="Times New Roman" w:hAnsi="Times New Roman" w:cs="Times New Roman"/>
          <w:color w:val="222222"/>
          <w:sz w:val="27"/>
          <w:szCs w:val="27"/>
          <w:lang w:eastAsia="ru-RU"/>
        </w:rPr>
        <w:t>биомикроскопия глазного дна или офтальмоскопия в условиях медикаментозного мидриаза всем пациентам с ПГ для оценки изменений ДЗН и сетчатки [1-4,122].</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Комментарий: </w:t>
      </w:r>
      <w:r w:rsidRPr="00251421">
        <w:rPr>
          <w:rFonts w:ascii="Times New Roman" w:eastAsia="Times New Roman" w:hAnsi="Times New Roman" w:cs="Times New Roman"/>
          <w:i/>
          <w:iCs/>
          <w:color w:val="333333"/>
          <w:sz w:val="27"/>
          <w:szCs w:val="27"/>
          <w:lang w:eastAsia="ru-RU"/>
        </w:rPr>
        <w:t>Офтальмоскопию проводят с помощью различных моделей офтальмоскопов, при проведении биомикроскопии глазного дна в условиях медикаментозного мидриаза используют линзы офтальмологические диагностические бесконтактные (для получения стереоскопического изображения). При офтальмоскопии необходимо проводить количественную и качественную характеристику параметров.</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i/>
          <w:iCs/>
          <w:color w:val="333333"/>
          <w:sz w:val="27"/>
          <w:szCs w:val="27"/>
          <w:lang w:eastAsia="ru-RU"/>
        </w:rPr>
        <w:t>Качественные характеристики:</w:t>
      </w:r>
    </w:p>
    <w:p w:rsidR="00251421" w:rsidRPr="00251421" w:rsidRDefault="00251421" w:rsidP="00251421">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 xml:space="preserve">НРП. Для определения характеристик НРП рекомендуется использовать правило ISNT (Inferior – нижний, Superior – верхний, Nasalis – назальный, Temporalis – темпоральный). В глазах с начальными или умеренно выраженными глаукомными повреждениями потеря ткани НРП наблюдается преимущественно в нижне- и верхневисочных секторах ДЗН. При оценке НРП правило ISNT можно использовать только для стандартных размеров ДЗН; при больших и малых размерах, а также при миопии с косым </w:t>
      </w:r>
      <w:r w:rsidRPr="00251421">
        <w:rPr>
          <w:rFonts w:ascii="Times New Roman" w:eastAsia="Times New Roman" w:hAnsi="Times New Roman" w:cs="Times New Roman"/>
          <w:i/>
          <w:iCs/>
          <w:color w:val="333333"/>
          <w:sz w:val="27"/>
          <w:szCs w:val="27"/>
          <w:lang w:eastAsia="ru-RU"/>
        </w:rPr>
        <w:lastRenderedPageBreak/>
        <w:t>вхождением оценка НРП затруднена и требует исследования в динамике для выявления прогрессирования заболевания. Чувствительность и специфичность метода не превышает 80% [153-155].</w:t>
      </w:r>
    </w:p>
    <w:p w:rsidR="00251421" w:rsidRPr="00251421" w:rsidRDefault="00251421" w:rsidP="00251421">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СНВС. Локальное или диффузное истончение (дефекты), которые лучше визуализируются в бескрасном свете</w:t>
      </w:r>
    </w:p>
    <w:p w:rsidR="00251421" w:rsidRPr="00251421" w:rsidRDefault="00251421" w:rsidP="00251421">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кровоизлияние в зоне ДЗН - наличие</w:t>
      </w:r>
    </w:p>
    <w:p w:rsidR="00251421" w:rsidRPr="00251421" w:rsidRDefault="00251421" w:rsidP="00251421">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перипапиллярная атрофия - наличие и площадь</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i/>
          <w:iCs/>
          <w:color w:val="333333"/>
          <w:sz w:val="27"/>
          <w:szCs w:val="27"/>
          <w:lang w:eastAsia="ru-RU"/>
        </w:rPr>
        <w:t>Количественные характеристики:</w:t>
      </w:r>
    </w:p>
    <w:p w:rsidR="00251421" w:rsidRPr="00251421" w:rsidRDefault="00251421" w:rsidP="00251421">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ДЗН (размер и форма, малый, средний, большой)</w:t>
      </w:r>
    </w:p>
    <w:p w:rsidR="00251421" w:rsidRPr="00251421" w:rsidRDefault="00251421" w:rsidP="00251421">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экскавации (размер и форма)</w:t>
      </w:r>
    </w:p>
    <w:p w:rsidR="00251421" w:rsidRPr="00251421" w:rsidRDefault="00251421" w:rsidP="00251421">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отношение максимального размера экскавации к диаметру диска зрительного нерва (Э/Д)</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При исследовании глазного дна также следует обращать внимание на: размер и форму ДЗН; размер, форму и степень побледнения (розовый или деколорирован) НРП; размер экскавации относительно размера ДЗН, конфигурацию (характер височного края: пологий, крутой, подрытый) и глубину экскавации (мелкая, средняя, глубокая); показатель Э/Д; степень выраженности перипапиллярной хориоретинальной атрофии; расположение сосудистого пучка и связанные с этим симптомы «прокола» («штыка»)  и запустевание т.н. опоясывающего сосуда ДЗН; кровоизлияния на ДЗН; диаметр артериол сетчатки и состояние СНВС [156-159].</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Характерные изменения ДЗН и СНВС представлены в разделе 1.6. </w:t>
      </w:r>
    </w:p>
    <w:p w:rsidR="00251421" w:rsidRPr="00251421" w:rsidRDefault="00251421" w:rsidP="00251421">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w:t>
      </w:r>
      <w:r w:rsidRPr="00251421">
        <w:rPr>
          <w:rFonts w:ascii="Times New Roman" w:eastAsia="Times New Roman" w:hAnsi="Times New Roman" w:cs="Times New Roman"/>
          <w:color w:val="222222"/>
          <w:sz w:val="27"/>
          <w:szCs w:val="27"/>
          <w:lang w:eastAsia="ru-RU"/>
        </w:rPr>
        <w:t> периметрия статическая и/или компьютерная периметрия всем пациентам с ПГ с целью определения функциональных изменений и их мониторинга </w:t>
      </w:r>
      <w:r w:rsidRPr="00251421">
        <w:rPr>
          <w:rFonts w:ascii="Times New Roman" w:eastAsia="Times New Roman" w:hAnsi="Times New Roman" w:cs="Times New Roman"/>
          <w:i/>
          <w:iCs/>
          <w:color w:val="333333"/>
          <w:sz w:val="27"/>
          <w:szCs w:val="27"/>
          <w:lang w:eastAsia="ru-RU"/>
        </w:rPr>
        <w:t>периметрия</w:t>
      </w:r>
      <w:r w:rsidRPr="00251421">
        <w:rPr>
          <w:rFonts w:ascii="Times New Roman" w:eastAsia="Times New Roman" w:hAnsi="Times New Roman" w:cs="Times New Roman"/>
          <w:color w:val="222222"/>
          <w:sz w:val="27"/>
          <w:szCs w:val="27"/>
          <w:lang w:eastAsia="ru-RU"/>
        </w:rPr>
        <w:t>[125,160-162].</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1)</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Комментарий: </w:t>
      </w:r>
      <w:r w:rsidRPr="00251421">
        <w:rPr>
          <w:rFonts w:ascii="Times New Roman" w:eastAsia="Times New Roman" w:hAnsi="Times New Roman" w:cs="Times New Roman"/>
          <w:i/>
          <w:iCs/>
          <w:color w:val="333333"/>
          <w:sz w:val="27"/>
          <w:szCs w:val="27"/>
          <w:lang w:eastAsia="ru-RU"/>
        </w:rPr>
        <w:t>Пороговая периметрия центрального поля зрения (10</w:t>
      </w:r>
      <w:r w:rsidRPr="00251421">
        <w:rPr>
          <w:rFonts w:ascii="Times New Roman" w:eastAsia="Times New Roman" w:hAnsi="Times New Roman" w:cs="Times New Roman"/>
          <w:i/>
          <w:iCs/>
          <w:color w:val="333333"/>
          <w:sz w:val="20"/>
          <w:szCs w:val="20"/>
          <w:vertAlign w:val="superscript"/>
          <w:lang w:eastAsia="ru-RU"/>
        </w:rPr>
        <w:t>0</w:t>
      </w:r>
      <w:r w:rsidRPr="00251421">
        <w:rPr>
          <w:rFonts w:ascii="Times New Roman" w:eastAsia="Times New Roman" w:hAnsi="Times New Roman" w:cs="Times New Roman"/>
          <w:i/>
          <w:iCs/>
          <w:color w:val="333333"/>
          <w:sz w:val="27"/>
          <w:szCs w:val="27"/>
          <w:lang w:eastAsia="ru-RU"/>
        </w:rPr>
        <w:t>, 24</w:t>
      </w:r>
      <w:r w:rsidRPr="00251421">
        <w:rPr>
          <w:rFonts w:ascii="Times New Roman" w:eastAsia="Times New Roman" w:hAnsi="Times New Roman" w:cs="Times New Roman"/>
          <w:i/>
          <w:iCs/>
          <w:color w:val="333333"/>
          <w:sz w:val="20"/>
          <w:szCs w:val="20"/>
          <w:vertAlign w:val="superscript"/>
          <w:lang w:eastAsia="ru-RU"/>
        </w:rPr>
        <w:t>0</w:t>
      </w:r>
      <w:r w:rsidRPr="00251421">
        <w:rPr>
          <w:rFonts w:ascii="Times New Roman" w:eastAsia="Times New Roman" w:hAnsi="Times New Roman" w:cs="Times New Roman"/>
          <w:i/>
          <w:iCs/>
          <w:color w:val="333333"/>
          <w:sz w:val="27"/>
          <w:szCs w:val="27"/>
          <w:lang w:eastAsia="ru-RU"/>
        </w:rPr>
        <w:t> и 30</w:t>
      </w:r>
      <w:r w:rsidRPr="00251421">
        <w:rPr>
          <w:rFonts w:ascii="Times New Roman" w:eastAsia="Times New Roman" w:hAnsi="Times New Roman" w:cs="Times New Roman"/>
          <w:i/>
          <w:iCs/>
          <w:color w:val="333333"/>
          <w:sz w:val="20"/>
          <w:szCs w:val="20"/>
          <w:vertAlign w:val="superscript"/>
          <w:lang w:eastAsia="ru-RU"/>
        </w:rPr>
        <w:t>0</w:t>
      </w:r>
      <w:r w:rsidRPr="00251421">
        <w:rPr>
          <w:rFonts w:ascii="Times New Roman" w:eastAsia="Times New Roman" w:hAnsi="Times New Roman" w:cs="Times New Roman"/>
          <w:i/>
          <w:iCs/>
          <w:color w:val="333333"/>
          <w:sz w:val="27"/>
          <w:szCs w:val="27"/>
          <w:lang w:eastAsia="ru-RU"/>
        </w:rPr>
        <w:t xml:space="preserve">) «белое-на-белом» является предпочтительным методом раннего выявления дефектов поля зрения [160-162]. Для оценки результатов статической и компьютерной периметрии используют различные индексы, такие как средний дефект или среднее отклонение (MD), очаговые дефекты (PSD, LV), а также разные диагностические тесты, подтверждающие результаты компьютерного анализа прогрессирования при исследовании в динамике. Компьютерная периметрия трудно воспроизводима у пациентов с низкой остротой зрения и сниженным интеллектом. Целесообразно учитывать степень выраженности </w:t>
      </w:r>
      <w:r w:rsidRPr="00251421">
        <w:rPr>
          <w:rFonts w:ascii="Times New Roman" w:eastAsia="Times New Roman" w:hAnsi="Times New Roman" w:cs="Times New Roman"/>
          <w:i/>
          <w:iCs/>
          <w:color w:val="333333"/>
          <w:sz w:val="27"/>
          <w:szCs w:val="27"/>
          <w:lang w:eastAsia="ru-RU"/>
        </w:rPr>
        <w:lastRenderedPageBreak/>
        <w:t>асимметрии приведенных выше параметров для постановки диагноза. Частота проведения периметрии при ПГ представлена в разделе 5.</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При динамическом наблюдении рекомендуется использовать один базовый метод периметрии для корректного сравнения полученных результатов.</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2.5 Иные диагностические исследования</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При отсутствии убедительных данных для постановки диагноза или определения прогрессирования заболевания, возможно выполнение ряда дополнительных (уточняющих) методов исследований, проведение которых возможно в условиях офтальмологического кабинета (консультативно-диагностического отделения), офтальмологического отделения или Центра медицинского офтальмологического [1-7, 122].</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Структурные и функциональные методики (тесты) непрерывно совершенствуются, становясь все более чувствительными к самым ранним изменениям. Разрыв между наблюдаемыми функциональными потерями и предшествующими им структурными изменениями с точки зрения сопоставления этих двух видов стратегии наблюдения неуклонно уменьшается. Структурные изменения превалируют в начале болезни, в частности при ПГ или при начальной стадии ПОУГ.</w:t>
      </w:r>
      <w:r w:rsidRPr="00251421">
        <w:rPr>
          <w:rFonts w:ascii="Times New Roman" w:eastAsia="Times New Roman" w:hAnsi="Times New Roman" w:cs="Times New Roman"/>
          <w:b/>
          <w:bCs/>
          <w:color w:val="222222"/>
          <w:sz w:val="27"/>
          <w:szCs w:val="27"/>
          <w:lang w:eastAsia="ru-RU"/>
        </w:rPr>
        <w:t> </w:t>
      </w:r>
    </w:p>
    <w:p w:rsidR="00251421" w:rsidRPr="00251421" w:rsidRDefault="00251421" w:rsidP="00251421">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 </w:t>
      </w:r>
      <w:r w:rsidRPr="00251421">
        <w:rPr>
          <w:rFonts w:ascii="Times New Roman" w:eastAsia="Times New Roman" w:hAnsi="Times New Roman" w:cs="Times New Roman"/>
          <w:color w:val="222222"/>
          <w:sz w:val="27"/>
          <w:szCs w:val="27"/>
          <w:lang w:eastAsia="ru-RU"/>
        </w:rPr>
        <w:t>ультразвуковая</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кератопахиметрия</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всем пациентам с ПГ с целью уточнения результатов тонометрических исследований, а также для выявления одного из факторов риска [1-4, 121, 122].</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Комментарий: </w:t>
      </w:r>
      <w:r w:rsidRPr="00251421">
        <w:rPr>
          <w:rFonts w:ascii="Times New Roman" w:eastAsia="Times New Roman" w:hAnsi="Times New Roman" w:cs="Times New Roman"/>
          <w:i/>
          <w:iCs/>
          <w:color w:val="333333"/>
          <w:sz w:val="27"/>
          <w:szCs w:val="27"/>
          <w:lang w:eastAsia="ru-RU"/>
        </w:rPr>
        <w:t>Распределение показателя ЦТР в норме во взрослой популяции составляет 473-597 мкм (среднее - 540±30 мкм).  Значительные отклонения от средних значений ЦТР (±50 мкм) могут оказывать влияние на результаты тонометрии. На сегодняшний день не достигнуто согласие относительно применения алгоритмов коррекции показателей тонометрии по данным ЦТР. Целесообразно проводить деление роговиц на тонкие (481-520 мкм), средние (521-560 мкм) и толстые (&gt;561 мкм), и учитывать связанный с этим риск [121, 163-167].</w:t>
      </w:r>
      <w:r w:rsidRPr="00251421">
        <w:rPr>
          <w:rFonts w:ascii="Times New Roman" w:eastAsia="Times New Roman" w:hAnsi="Times New Roman" w:cs="Times New Roman"/>
          <w:b/>
          <w:bCs/>
          <w:color w:val="222222"/>
          <w:sz w:val="27"/>
          <w:szCs w:val="27"/>
          <w:lang w:eastAsia="ru-RU"/>
        </w:rPr>
        <w:t> </w:t>
      </w:r>
    </w:p>
    <w:p w:rsidR="00251421" w:rsidRPr="00251421" w:rsidRDefault="00251421" w:rsidP="00251421">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 </w:t>
      </w:r>
      <w:r w:rsidRPr="00251421">
        <w:rPr>
          <w:rFonts w:ascii="Times New Roman" w:eastAsia="Times New Roman" w:hAnsi="Times New Roman" w:cs="Times New Roman"/>
          <w:color w:val="222222"/>
          <w:sz w:val="27"/>
          <w:szCs w:val="27"/>
          <w:lang w:eastAsia="ru-RU"/>
        </w:rPr>
        <w:t xml:space="preserve">оптическое исследование головки зрительного нерва и слоя нервных волокон с помощью компьютерного анализатора (оптическая </w:t>
      </w:r>
      <w:r w:rsidRPr="00251421">
        <w:rPr>
          <w:rFonts w:ascii="Times New Roman" w:eastAsia="Times New Roman" w:hAnsi="Times New Roman" w:cs="Times New Roman"/>
          <w:color w:val="222222"/>
          <w:sz w:val="27"/>
          <w:szCs w:val="27"/>
          <w:lang w:eastAsia="ru-RU"/>
        </w:rPr>
        <w:lastRenderedPageBreak/>
        <w:t>когерентная томография, ОКТ) пациентам при подозрении на глаукому на этапе диагностики и в ходе регулярного мониторинга с целью выявления количественных изменений ДЗН и сетчатки [122,168].</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1)</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Комментарии: </w:t>
      </w:r>
      <w:r w:rsidRPr="00251421">
        <w:rPr>
          <w:rFonts w:ascii="Times New Roman" w:eastAsia="Times New Roman" w:hAnsi="Times New Roman" w:cs="Times New Roman"/>
          <w:i/>
          <w:iCs/>
          <w:color w:val="333333"/>
          <w:sz w:val="27"/>
          <w:szCs w:val="27"/>
          <w:lang w:eastAsia="ru-RU"/>
        </w:rPr>
        <w:t>Данные, полученные при помощи ОКТ, не следует трактовать как окончательный диагноз. Это статистические данные, результаты сравнения показателей пациента с нормативной базой данных прибора. Полученные результаты необходимо сопоставлять с клинической картиной во избежание ложных выводов особенно в случае нестандартных вариантов ДЗН, показатели которых отсутствуют в базе. Ключевое значение при проведении ОКТ имеет первое исследование, важно его высокое качество, так как оценка прогрессирования в дальнейшем проводится при сравнении с исходным изображением. Частота проведения ОКТ при ПГ представлена в разделе 5.</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Метод может также может быть использован для динамического наблюдения в комплексе с данными периметрического исследования [168].</w:t>
      </w:r>
    </w:p>
    <w:p w:rsidR="00251421" w:rsidRPr="00251421" w:rsidRDefault="00251421" w:rsidP="00251421">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w:t>
      </w:r>
      <w:r w:rsidRPr="00251421">
        <w:rPr>
          <w:rFonts w:ascii="Times New Roman" w:eastAsia="Times New Roman" w:hAnsi="Times New Roman" w:cs="Times New Roman"/>
          <w:color w:val="222222"/>
          <w:sz w:val="27"/>
          <w:szCs w:val="27"/>
          <w:lang w:eastAsia="ru-RU"/>
        </w:rPr>
        <w:t> электроретинография пациентам в случае необходимости дифференциальной диагностики и углубленного анализа функциональных нарушений с целью оценки электрической активности сетчатки [1-7,169].</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Комментарии</w:t>
      </w:r>
      <w:r w:rsidRPr="00251421">
        <w:rPr>
          <w:rFonts w:ascii="Times New Roman" w:eastAsia="Times New Roman" w:hAnsi="Times New Roman" w:cs="Times New Roman"/>
          <w:b/>
          <w:bCs/>
          <w:i/>
          <w:iCs/>
          <w:color w:val="333333"/>
          <w:sz w:val="27"/>
          <w:szCs w:val="27"/>
          <w:lang w:eastAsia="ru-RU"/>
        </w:rPr>
        <w:t>:</w:t>
      </w:r>
      <w:r w:rsidRPr="00251421">
        <w:rPr>
          <w:rFonts w:ascii="Times New Roman" w:eastAsia="Times New Roman" w:hAnsi="Times New Roman" w:cs="Times New Roman"/>
          <w:i/>
          <w:iCs/>
          <w:color w:val="333333"/>
          <w:sz w:val="27"/>
          <w:szCs w:val="27"/>
          <w:lang w:eastAsia="ru-RU"/>
        </w:rPr>
        <w:t> решение о назначении дополнительных методов исследования принимает врач по результатам базового обследования. Наибольшей специфичностью и чувствительностью при глаукоме обладает ПЭРГ, которая отражает активность самих ганглиозных клеток и может выступать в качестве предиктора структурных изменений сетчатки. Для оценки функционального состояния макулярной зоны сетчатки принимают во внимание компонент ПЭРГ Р50, для оценки функционального состояния зрительного нерва ‒ компонент ПЭРГ N95.</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Для верификации диагноза и дифференциальной диагностики ПГ возможно применение других дополнительных методов обследования: тонография, нагрузочно-разгрузочные пробы для исследования регуляции уровня внутриглазного давления </w:t>
      </w:r>
      <w:r w:rsidRPr="00251421">
        <w:rPr>
          <w:rFonts w:ascii="Times New Roman" w:eastAsia="Times New Roman" w:hAnsi="Times New Roman" w:cs="Times New Roman"/>
          <w:color w:val="222222"/>
          <w:sz w:val="27"/>
          <w:szCs w:val="27"/>
          <w:lang w:eastAsia="ru-RU"/>
        </w:rPr>
        <w:t>[1, 73, 170-171].</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51421" w:rsidRPr="00251421" w:rsidRDefault="00251421" w:rsidP="00251421">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w:t>
      </w:r>
      <w:r w:rsidRPr="00251421">
        <w:rPr>
          <w:rFonts w:ascii="Times New Roman" w:eastAsia="Times New Roman" w:hAnsi="Times New Roman" w:cs="Times New Roman"/>
          <w:color w:val="222222"/>
          <w:sz w:val="27"/>
          <w:szCs w:val="27"/>
          <w:lang w:eastAsia="ru-RU"/>
        </w:rPr>
        <w:t> снижение уровня ВГД пациентам с ПГ, сопровождающимся ОГ и/или при наличии других факторов риска, с целью предотвращения развития ПОУГ [1-7, 30,31, 38, 172-176].</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Комментарий: </w:t>
      </w:r>
      <w:r w:rsidRPr="00251421">
        <w:rPr>
          <w:rFonts w:ascii="Times New Roman" w:eastAsia="Times New Roman" w:hAnsi="Times New Roman" w:cs="Times New Roman"/>
          <w:i/>
          <w:iCs/>
          <w:color w:val="333333"/>
          <w:sz w:val="27"/>
          <w:szCs w:val="27"/>
          <w:lang w:eastAsia="ru-RU"/>
        </w:rPr>
        <w:t>Цель лечения ПГ на фоне ОГ заключается в поддержании уровня ВГД в диапазоне, при котором не будет отмечаться потери зрительных функций, а само лечение не будет сопряжено с побочными эффектами, влияющими на качество жизни пациента в течение его жизни. Лечение не назначается при отсутствии известных факторов риска развития и прогрессирования глаукомы [177].</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Большинству пациентов с ОГ, не требуется лечение, т.к. более чем у 90% пациентов, не получавших лечение, не происходит переход ОГ в глаукому в течение 5 лет наблюдения. Риски и преимущества лечения должны быть сопоставлены с риском глаукомного повреждения ДЗН. Показания для назначения лечения являются относительными, решаются индивидуально и базируются на учете и анализе факторов риска [178-182]. Лечение назначается при обнаружении прогрессирования изменений ДЗН, СНВС, ПЗ или развитии ПОУГ [31].</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Преимущества и риски применения каждого из методов лечения должны быть обсуждены с пациентом. Следует стремиться к использованию пациентом минимального количества ЛС с возможностью патогенетически обоснованного выбора препаратов, основываясь, в первую очередь, на данных их клинической эффективности [1-7, 183].</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 xml:space="preserve">Продолжительное применение ЛС приводит к снижению их гипотензивного эффекта, что требует своевременной коррекции проводимой терапии, </w:t>
      </w:r>
      <w:r w:rsidRPr="00251421">
        <w:rPr>
          <w:rFonts w:ascii="Times New Roman" w:eastAsia="Times New Roman" w:hAnsi="Times New Roman" w:cs="Times New Roman"/>
          <w:i/>
          <w:iCs/>
          <w:color w:val="333333"/>
          <w:sz w:val="27"/>
          <w:szCs w:val="27"/>
          <w:lang w:eastAsia="ru-RU"/>
        </w:rPr>
        <w:lastRenderedPageBreak/>
        <w:t>например, при выявлении признаков субкомпенсации офтальмотонуса [173, 183-186].</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До назначения лечения следует определить предполагаемый уровень «целевого» давления с учетом исходных значений офтальмотонуса, наличия дополнительных факторов риска. «Целевое» давление не может быть определено с какой-либо достоверностью у конкретного пациента, не существует утвержденного алгоритма для его установления, однако это не отрицает его применения в клинической практике [1-7, 121, 122]. Используется стратегия определения «целевого» давления, основанная на процентном снижении офтальмотонуса от исходного [1-7]. Основываясь на результатах Исследования по лечению офтальмогипертензии (Ocular Hypertension Treatment Study, OHTS) необходимо стремиться к снижению уровня ВГД не менее чем на 20% от исходного уровня [30, 31].  </w:t>
      </w:r>
      <w:r w:rsidRPr="00251421">
        <w:rPr>
          <w:rFonts w:ascii="Times New Roman" w:eastAsia="Times New Roman" w:hAnsi="Times New Roman" w:cs="Times New Roman"/>
          <w:b/>
          <w:bCs/>
          <w:i/>
          <w:iCs/>
          <w:color w:val="333333"/>
          <w:sz w:val="27"/>
          <w:szCs w:val="27"/>
          <w:lang w:eastAsia="ru-RU"/>
        </w:rPr>
        <w:t> </w:t>
      </w:r>
      <w:r w:rsidRPr="00251421">
        <w:rPr>
          <w:rFonts w:ascii="Times New Roman" w:eastAsia="Times New Roman" w:hAnsi="Times New Roman" w:cs="Times New Roman"/>
          <w:b/>
          <w:bCs/>
          <w:color w:val="222222"/>
          <w:sz w:val="27"/>
          <w:szCs w:val="27"/>
          <w:lang w:eastAsia="ru-RU"/>
        </w:rPr>
        <w:t> </w:t>
      </w:r>
    </w:p>
    <w:p w:rsidR="00251421" w:rsidRPr="00251421" w:rsidRDefault="00251421" w:rsidP="00251421">
      <w:pPr>
        <w:spacing w:after="0" w:line="240" w:lineRule="auto"/>
        <w:outlineLvl w:val="1"/>
        <w:rPr>
          <w:rFonts w:ascii="Times New Roman" w:eastAsia="Times New Roman" w:hAnsi="Times New Roman" w:cs="Times New Roman"/>
          <w:b/>
          <w:bCs/>
          <w:color w:val="222222"/>
          <w:sz w:val="33"/>
          <w:szCs w:val="33"/>
          <w:lang w:eastAsia="ru-RU"/>
        </w:rPr>
      </w:pPr>
      <w:r w:rsidRPr="00251421">
        <w:rPr>
          <w:rFonts w:ascii="Times New Roman" w:eastAsia="Times New Roman" w:hAnsi="Times New Roman" w:cs="Times New Roman"/>
          <w:b/>
          <w:bCs/>
          <w:color w:val="222222"/>
          <w:sz w:val="33"/>
          <w:szCs w:val="33"/>
          <w:lang w:eastAsia="ru-RU"/>
        </w:rPr>
        <w:t>3.1 Медикаментозное лечение</w:t>
      </w:r>
    </w:p>
    <w:p w:rsidR="00251421" w:rsidRPr="00251421" w:rsidRDefault="00251421" w:rsidP="00251421">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w:t>
      </w:r>
      <w:r w:rsidRPr="00251421">
        <w:rPr>
          <w:rFonts w:ascii="Times New Roman" w:eastAsia="Times New Roman" w:hAnsi="Times New Roman" w:cs="Times New Roman"/>
          <w:color w:val="222222"/>
          <w:sz w:val="27"/>
          <w:szCs w:val="27"/>
          <w:lang w:eastAsia="ru-RU"/>
        </w:rPr>
        <w:t> назначить местную гипотензивную терапию пациентам при наличии ОГ и ПГ на основании данных мониторинга состояния ДЗН, слоя СНВС и поля зрения [1-7, 183].</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–5)</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Комментарии.</w:t>
      </w:r>
      <w:r w:rsidRPr="00251421">
        <w:rPr>
          <w:rFonts w:ascii="Times New Roman" w:eastAsia="Times New Roman" w:hAnsi="Times New Roman" w:cs="Times New Roman"/>
          <w:color w:val="222222"/>
          <w:sz w:val="27"/>
          <w:szCs w:val="27"/>
          <w:lang w:eastAsia="ru-RU"/>
        </w:rPr>
        <w:t> </w:t>
      </w:r>
      <w:r w:rsidRPr="00251421">
        <w:rPr>
          <w:rFonts w:ascii="Times New Roman" w:eastAsia="Times New Roman" w:hAnsi="Times New Roman" w:cs="Times New Roman"/>
          <w:i/>
          <w:iCs/>
          <w:color w:val="333333"/>
          <w:sz w:val="27"/>
          <w:szCs w:val="27"/>
          <w:lang w:eastAsia="ru-RU"/>
        </w:rPr>
        <w:t>Лечение назначается при прогрессировании изменений ДЗН, СНВС, ПЗ, а также при наличии у пациента дополнительных факторов риска </w:t>
      </w:r>
      <w:r w:rsidRPr="00251421">
        <w:rPr>
          <w:rFonts w:ascii="Times New Roman" w:eastAsia="Times New Roman" w:hAnsi="Times New Roman" w:cs="Times New Roman"/>
          <w:color w:val="222222"/>
          <w:sz w:val="27"/>
          <w:szCs w:val="27"/>
          <w:lang w:eastAsia="ru-RU"/>
        </w:rPr>
        <w:t>[31].</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Хотя лазерное и хирургическое лечение могут эффективно уменьшить ВГД, местное медикаментозное лечение с использованием глазных капель остается во всем мире предпочтительным стартовым вариантом терапии из-за его благоприятного профиля риска и пользы</w:t>
      </w:r>
      <w:r w:rsidRPr="00251421">
        <w:rPr>
          <w:rFonts w:ascii="Times New Roman" w:eastAsia="Times New Roman" w:hAnsi="Times New Roman" w:cs="Times New Roman"/>
          <w:color w:val="222222"/>
          <w:sz w:val="27"/>
          <w:szCs w:val="27"/>
          <w:lang w:eastAsia="ru-RU"/>
        </w:rPr>
        <w:t>. </w:t>
      </w:r>
      <w:r w:rsidRPr="00251421">
        <w:rPr>
          <w:rFonts w:ascii="Times New Roman" w:eastAsia="Times New Roman" w:hAnsi="Times New Roman" w:cs="Times New Roman"/>
          <w:i/>
          <w:iCs/>
          <w:color w:val="333333"/>
          <w:sz w:val="27"/>
          <w:szCs w:val="27"/>
          <w:lang w:eastAsia="ru-RU"/>
        </w:rPr>
        <w:t>При выборе препарата необходимо учитывать его эффективность, возможные побочные эффекты, схему дозирования, необходимый процент снижения ВГД от исходного уровня, потенциальную стоимость, доступность [1-7, 183]</w:t>
      </w:r>
      <w:r w:rsidRPr="00251421">
        <w:rPr>
          <w:rFonts w:ascii="Times New Roman" w:eastAsia="Times New Roman" w:hAnsi="Times New Roman" w:cs="Times New Roman"/>
          <w:color w:val="222222"/>
          <w:sz w:val="27"/>
          <w:szCs w:val="27"/>
          <w:lang w:eastAsia="ru-RU"/>
        </w:rPr>
        <w:t>.</w:t>
      </w:r>
    </w:p>
    <w:p w:rsidR="00251421" w:rsidRPr="00251421" w:rsidRDefault="00251421" w:rsidP="00251421">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w:t>
      </w:r>
      <w:r w:rsidRPr="00251421">
        <w:rPr>
          <w:rFonts w:ascii="Times New Roman" w:eastAsia="Times New Roman" w:hAnsi="Times New Roman" w:cs="Times New Roman"/>
          <w:color w:val="222222"/>
          <w:sz w:val="27"/>
          <w:szCs w:val="27"/>
          <w:lang w:eastAsia="ru-RU"/>
        </w:rPr>
        <w:t> назначить монотерапию пациентам с ОГ и ПГ при наличии дополнительных факторов риска в качестве стартовой терапии для снижения уровня ВГД [1-7, 187, 188].</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1)</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Комментарий: </w:t>
      </w:r>
      <w:r w:rsidRPr="00251421">
        <w:rPr>
          <w:rFonts w:ascii="Times New Roman" w:eastAsia="Times New Roman" w:hAnsi="Times New Roman" w:cs="Times New Roman"/>
          <w:i/>
          <w:iCs/>
          <w:color w:val="333333"/>
          <w:sz w:val="27"/>
          <w:szCs w:val="27"/>
          <w:lang w:eastAsia="ru-RU"/>
        </w:rPr>
        <w:t>в качестве препаратов первого выбора используются аналоги простагландинов, бета-адреноблокаторы, ингибиторы карбоангидразы, симпатомиметики для лечения глаукомы.</w:t>
      </w:r>
      <w:r w:rsidRPr="00251421">
        <w:rPr>
          <w:rFonts w:ascii="Times New Roman" w:eastAsia="Times New Roman" w:hAnsi="Times New Roman" w:cs="Times New Roman"/>
          <w:color w:val="222222"/>
          <w:sz w:val="27"/>
          <w:szCs w:val="27"/>
          <w:lang w:eastAsia="ru-RU"/>
        </w:rPr>
        <w:t> </w:t>
      </w:r>
      <w:r w:rsidRPr="00251421">
        <w:rPr>
          <w:rFonts w:ascii="Times New Roman" w:eastAsia="Times New Roman" w:hAnsi="Times New Roman" w:cs="Times New Roman"/>
          <w:i/>
          <w:iCs/>
          <w:color w:val="333333"/>
          <w:sz w:val="27"/>
          <w:szCs w:val="27"/>
          <w:lang w:eastAsia="ru-RU"/>
        </w:rPr>
        <w:t xml:space="preserve">Максимальной гипотензивной </w:t>
      </w:r>
      <w:r w:rsidRPr="00251421">
        <w:rPr>
          <w:rFonts w:ascii="Times New Roman" w:eastAsia="Times New Roman" w:hAnsi="Times New Roman" w:cs="Times New Roman"/>
          <w:i/>
          <w:iCs/>
          <w:color w:val="333333"/>
          <w:sz w:val="27"/>
          <w:szCs w:val="27"/>
          <w:lang w:eastAsia="ru-RU"/>
        </w:rPr>
        <w:lastRenderedPageBreak/>
        <w:t>активностью обладают аналоги простагландинов. Препараты других фармакологических групп (ингибиторы карбоангидразы, симпатомиметики для лечения глаукомы) в качестве препаратов стартовой терапии применяют реже из-за их меньшей гипотензивной эффективности [187-191].</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Применение ЛС, относящихся к группе «Противоглаукомные препараты и миотические средства», сопряжено с наличием противопоказаний и побочных эффектов, которые следует принимать во внимание. Основные фармакологические группы препаратов, используемых при ОГ и ПГ и механизм их действия представлены в таблице 1. </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Таблица 1 -</w:t>
      </w:r>
      <w:r w:rsidRPr="00251421">
        <w:rPr>
          <w:rFonts w:ascii="Times New Roman" w:eastAsia="Times New Roman" w:hAnsi="Times New Roman" w:cs="Times New Roman"/>
          <w:b/>
          <w:bCs/>
          <w:i/>
          <w:iCs/>
          <w:color w:val="333333"/>
          <w:sz w:val="27"/>
          <w:szCs w:val="27"/>
          <w:lang w:eastAsia="ru-RU"/>
        </w:rPr>
        <w:t> </w:t>
      </w:r>
      <w:r w:rsidRPr="00251421">
        <w:rPr>
          <w:rFonts w:ascii="Times New Roman" w:eastAsia="Times New Roman" w:hAnsi="Times New Roman" w:cs="Times New Roman"/>
          <w:color w:val="222222"/>
          <w:sz w:val="27"/>
          <w:szCs w:val="27"/>
          <w:lang w:eastAsia="ru-RU"/>
        </w:rPr>
        <w:t>Основные фармакологические группы ЛС, относящихся к группе «Противоглаукомные препараты и миотические средства» и механизм их действия</w:t>
      </w:r>
    </w:p>
    <w:tbl>
      <w:tblPr>
        <w:tblW w:w="11850" w:type="dxa"/>
        <w:tblCellMar>
          <w:left w:w="0" w:type="dxa"/>
          <w:right w:w="0" w:type="dxa"/>
        </w:tblCellMar>
        <w:tblLook w:val="04A0" w:firstRow="1" w:lastRow="0" w:firstColumn="1" w:lastColumn="0" w:noHBand="0" w:noVBand="1"/>
      </w:tblPr>
      <w:tblGrid>
        <w:gridCol w:w="3481"/>
        <w:gridCol w:w="2341"/>
        <w:gridCol w:w="2240"/>
        <w:gridCol w:w="1903"/>
        <w:gridCol w:w="3887"/>
        <w:gridCol w:w="4274"/>
      </w:tblGrid>
      <w:tr w:rsidR="00251421" w:rsidRPr="00251421" w:rsidTr="0025142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i/>
                <w:iCs/>
                <w:color w:val="333333"/>
                <w:sz w:val="27"/>
                <w:szCs w:val="27"/>
                <w:lang w:eastAsia="ru-RU"/>
              </w:rPr>
              <w:t>Фармакологическая группа (в соответствии с АТХ-классификацией)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i/>
                <w:iCs/>
                <w:color w:val="333333"/>
                <w:sz w:val="27"/>
                <w:szCs w:val="27"/>
                <w:lang w:eastAsia="ru-RU"/>
              </w:rPr>
              <w:t>МНН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i/>
                <w:iCs/>
                <w:color w:val="333333"/>
                <w:sz w:val="27"/>
                <w:szCs w:val="27"/>
                <w:lang w:eastAsia="ru-RU"/>
              </w:rPr>
              <w:t>Форма выпуска,</w:t>
            </w:r>
          </w:p>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i/>
                <w:iCs/>
                <w:color w:val="333333"/>
                <w:sz w:val="27"/>
                <w:szCs w:val="27"/>
                <w:lang w:eastAsia="ru-RU"/>
              </w:rPr>
              <w:t>упаковка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i/>
                <w:iCs/>
                <w:color w:val="333333"/>
                <w:sz w:val="27"/>
                <w:szCs w:val="27"/>
                <w:lang w:eastAsia="ru-RU"/>
              </w:rPr>
              <w:t>Снижение уровня ВГД,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i/>
                <w:iCs/>
                <w:color w:val="333333"/>
                <w:sz w:val="27"/>
                <w:szCs w:val="27"/>
                <w:lang w:eastAsia="ru-RU"/>
              </w:rPr>
              <w:t>Противопоказания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i/>
                <w:iCs/>
                <w:color w:val="333333"/>
                <w:sz w:val="27"/>
                <w:szCs w:val="27"/>
                <w:lang w:eastAsia="ru-RU"/>
              </w:rPr>
              <w:t>Побочные эффекты</w:t>
            </w:r>
          </w:p>
        </w:tc>
      </w:tr>
      <w:tr w:rsidR="00251421" w:rsidRPr="00251421" w:rsidTr="00251421">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Улучшающие отток внутриглазной жидкости</w:t>
            </w:r>
          </w:p>
        </w:tc>
      </w:tr>
      <w:tr w:rsidR="00251421" w:rsidRPr="00251421" w:rsidTr="0025142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Аналоги простагландинов</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Латанопрост 0,005%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Капли глазные по 2,5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25-35</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Повышенная чувствительность к компонентам препарата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Со стороны органа зрения: гиперемия конъюнктивы, жжение, покалывание, ощущение инородного тела, зуд, увеличение пигментации кожи вокруг глаз, изменение ресниц, дистихиаз, фотофобия. Увеличение пигментации радужной оболочки (зелено-коричневой, голубой/серо-коричневой или желто-коричневой радужки), псевдопемфигоид конъюнктивы, киста радужной оболочки, эрозия роговицы, отек роговицы, редко ирит, увеит, отек макулы</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lastRenderedPageBreak/>
              <w:t>Очень редко атрофия периорбитальной жировой ткани,</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Системные: одышка, боль в груди/ стенокардия, боль в мышцах, обострение бронхиальной астмы; со стороны кожи: сыпь, кожный зуд, со стороны опорно-двигательной системы: миалгия, артралгия.</w:t>
            </w:r>
          </w:p>
        </w:tc>
      </w:tr>
      <w:tr w:rsidR="00251421" w:rsidRPr="00251421" w:rsidTr="0025142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Тафлупрост** 0,0015%</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Монодозы по 0,3 мл в тюбиках-капельницах, 30 шт., либо флакон 2,5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25-35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r>
      <w:tr w:rsidR="00251421" w:rsidRPr="00251421" w:rsidTr="0025142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Травопрост</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0,004%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Капли глазные по 2,5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25-35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r>
      <w:tr w:rsidR="00251421" w:rsidRPr="00251421" w:rsidTr="0025142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Биматопрост</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xml:space="preserve">Капли глазные по </w:t>
            </w:r>
            <w:r w:rsidRPr="00251421">
              <w:rPr>
                <w:rFonts w:ascii="Verdana" w:eastAsia="Times New Roman" w:hAnsi="Verdana" w:cs="Times New Roman"/>
                <w:i/>
                <w:iCs/>
                <w:color w:val="333333"/>
                <w:sz w:val="27"/>
                <w:szCs w:val="27"/>
                <w:lang w:eastAsia="ru-RU"/>
              </w:rPr>
              <w:lastRenderedPageBreak/>
              <w:t>2,5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lastRenderedPageBreak/>
              <w:t>25-35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r>
      <w:tr w:rsidR="00251421" w:rsidRPr="00251421" w:rsidTr="00251421">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Снижающие продукцию внутриглазной жидкости</w:t>
            </w:r>
          </w:p>
        </w:tc>
      </w:tr>
      <w:tr w:rsidR="00251421" w:rsidRPr="00251421" w:rsidTr="0025142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Бета-адреноблока-</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Тимолол**</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0,25%,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Капли глазные по 5-10 мл во флаконах-капельницах;</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20-25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Повышенная чувствительность к компонентам препарата, Системные: бронхиальная астма, хроническая обструктивная болезнь легких, синусовая брадикардия (&lt;60 ударов/минута), острая и хроническая сердечная недостаточность, A/V блокада II-III степени, синоатриальная блокада, синдром слабости синусного узла.</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Местные:</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дистрофические заболевания роговицы, тяжелые аллергические воспаления слизистой оболочки носа.</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lastRenderedPageBreak/>
              <w:t>Также противопоказанием является  кормление грудью, ранний детский возраст. новорожденные 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lastRenderedPageBreak/>
              <w:t>Местные: жжение и зуд в глазах, слезотечение, гиперемия конъюнктивы, поверхностный кератит, сухость глаз, гипестезия роговицы, аллергический блефароконъюнктивит</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xml:space="preserve">Системные: брадикардия, аритмия, сердечная недостаточность, коллапс, A/Vблокада, снижение АД, преходящие нарушения мозгового кровообращения, одышка, бронхоспазм, легочная недостаточность, головная боль, головокружение, слабость,   периферические отеки,  гипогликемия, может маскироваться при инсулин зависимом сахарном диабете, ночная </w:t>
            </w:r>
            <w:r w:rsidRPr="00251421">
              <w:rPr>
                <w:rFonts w:ascii="Verdana" w:eastAsia="Times New Roman" w:hAnsi="Verdana" w:cs="Times New Roman"/>
                <w:i/>
                <w:iCs/>
                <w:color w:val="333333"/>
                <w:sz w:val="27"/>
                <w:szCs w:val="27"/>
                <w:lang w:eastAsia="ru-RU"/>
              </w:rPr>
              <w:lastRenderedPageBreak/>
              <w:t>системная артериальная гипотензия, депрессия, половая дисфункция</w:t>
            </w:r>
          </w:p>
        </w:tc>
      </w:tr>
      <w:tr w:rsidR="00251421" w:rsidRPr="00251421" w:rsidTr="0025142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Бетаксолол</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0,25%,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Капли глазные по 5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Повышенная чувствительность к компонентам  препарата, Системные: тяжелая обструктивная дыхательная недостаточность, синусовая брадикардия (&lt;60 ударов/минута), острая  и хроническая сердечная недостаточность, A/V блокада II-III степени, синоатриальная блокада, синдром слабости синусного узла.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Местные: жжение, покалывание, более выраженное чем при использовании неселективных препаратов</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Системные: респираторные и кардиальные побочные эффекты менее выражены, чем при использовании неселективных препаратов, депрессия, эректильная дисфункция.</w:t>
            </w:r>
          </w:p>
        </w:tc>
      </w:tr>
      <w:tr w:rsidR="00251421" w:rsidRPr="00251421" w:rsidTr="0025142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Ингибиторы карбоангидразы</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Бринзоламид</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Капли глазные по 5 мл во флаконах-капельницах</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повышенная чувствительность к действующему веществу или любому из вспомогательных веществ;</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известная чувствительность к сульфонамидам;</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тяжелая почечная недостаточность;</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гиперхлоремический ацидоз</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xml:space="preserve">Со стороны органа зрения: 5-10% - затуманивание зрения; 1-5% - блефарит, кератит, сухость глаз, гиперемия, ощущение инородного тела в глазу, выделения из глаз, дискомфорт, боль, зуд глаз; &lt;1% - конъюнктивит, кератоконъюнктивит, кератопатия, начальные симптомы блефарита (слипание век или корочки </w:t>
            </w:r>
            <w:r w:rsidRPr="00251421">
              <w:rPr>
                <w:rFonts w:ascii="Verdana" w:eastAsia="Times New Roman" w:hAnsi="Verdana" w:cs="Times New Roman"/>
                <w:i/>
                <w:iCs/>
                <w:color w:val="333333"/>
                <w:sz w:val="27"/>
                <w:szCs w:val="27"/>
                <w:lang w:eastAsia="ru-RU"/>
              </w:rPr>
              <w:lastRenderedPageBreak/>
              <w:t>на краях век), слезотечение, диплопия, астенопия.</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Со стороны пищеварительной системы: 5-10% - горький, кислый или необычный вкус во рту; &lt;1% - сухость во рту, диспепсия, тошнота, диарея.</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Со стороны дыхательной системы: 1-5% - ринит; &lt;1% - одышка, фарингит.</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Со стороны сердечно-сосудистой системы: &lt;1% - боль в груди, гипертензия.</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Со стороны мочевыделительной системы: &lt;1% - боль в почках.</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Аллергические реакции: &lt;1% - крапивница.</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Прочие: 1-5% - головная боль, дерматит; &lt;1% - алопеция, головокружение.</w:t>
            </w:r>
          </w:p>
        </w:tc>
      </w:tr>
      <w:tr w:rsidR="00251421" w:rsidRPr="00251421" w:rsidTr="0025142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r>
      <w:tr w:rsidR="00251421" w:rsidRPr="00251421" w:rsidTr="0025142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Дорзоламид**</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Капли глазные по 5-10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Хроническая почечная недостаточность (КК менее 30 мл/мин);</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гиперхлоремический ацидоз;</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lastRenderedPageBreak/>
              <w:t>детский и подростковый возраст до 18 лет;</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беременность;</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период лактации (грудного вскармливания);</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одновременный пероральный прием ингибиторов карбоангидразы;</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повышенная чувствительность к какому-либо компоненту препарата.</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С осторожностью назначают препарат при сахарном диабете, печеночной недостаточности, заболеваниях роговицы, применении у пациентов после антиглаукоматозных операций (риск гипотонии глаза, отслойки сетчатки).</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Дорзоламид 2% - противопоказан к назначению при беременности, в периоде лактации и у новорожденных в возрасте менее 1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lastRenderedPageBreak/>
              <w:t>Системные:</w:t>
            </w:r>
            <w:r w:rsidRPr="00251421">
              <w:rPr>
                <w:rFonts w:ascii="Verdana" w:eastAsia="Times New Roman" w:hAnsi="Verdana" w:cs="Times New Roman"/>
                <w:sz w:val="27"/>
                <w:szCs w:val="27"/>
                <w:lang w:eastAsia="ru-RU"/>
              </w:rPr>
              <w:t> </w:t>
            </w:r>
            <w:r w:rsidRPr="00251421">
              <w:rPr>
                <w:rFonts w:ascii="Verdana" w:eastAsia="Times New Roman" w:hAnsi="Verdana" w:cs="Times New Roman"/>
                <w:i/>
                <w:iCs/>
                <w:color w:val="333333"/>
                <w:sz w:val="27"/>
                <w:szCs w:val="27"/>
                <w:lang w:eastAsia="ru-RU"/>
              </w:rPr>
              <w:t>горечь во рту, тошнота, головная боль, астения, нефроуролитиаз, злокачественная экссудативная эритема (синдром Стивенса-</w:t>
            </w:r>
            <w:r w:rsidRPr="00251421">
              <w:rPr>
                <w:rFonts w:ascii="Verdana" w:eastAsia="Times New Roman" w:hAnsi="Verdana" w:cs="Times New Roman"/>
                <w:i/>
                <w:iCs/>
                <w:color w:val="333333"/>
                <w:sz w:val="27"/>
                <w:szCs w:val="27"/>
                <w:lang w:eastAsia="ru-RU"/>
              </w:rPr>
              <w:lastRenderedPageBreak/>
              <w:t>Джонсона), токсический эпидермальный некролиз (синдром Лайелла), агранулоцитоз, апластическая анемия, кожные высыпания.</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Местные: жжение, парестезии, зуд в глазах, слезотечение, нечеткость зрительного восприятия, раздражение и отек век, конъюнктивит, поверхностный точечный кератит, блефарит, фотофобия; редко - иридоциклит, увеличение толщины роговицы, аллергические реакции, гипотония глаза, отслойка сетчатки у пациентов после антиглаукоматозных операций</w:t>
            </w:r>
          </w:p>
        </w:tc>
      </w:tr>
      <w:tr w:rsidR="00251421" w:rsidRPr="00251421" w:rsidTr="00251421">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lastRenderedPageBreak/>
              <w:t>Улучшающие отток и снижающие продукцию внутриглазной жидкости</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lastRenderedPageBreak/>
              <w:t>Симпатомиметики для лечения глаукомы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Бримонидин</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0,1%; 0,15%; 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Капли глазные по 5-10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18-25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Повышенная чувствительность к компонентам препарата, сопутствующее лечение ингибиторами моноаминоксидазы типа А для приема внутрь</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Детский возраст до 2 х лет</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Очень низкая масса тела у взрослых до 20 кг.</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Период кормления грудью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Местные: аллергический блефароконъюнктивит, гиперемия конъюнктивы, зуд, жжение, отек конъюнктивы, фотосесибилизация, кровоизлияние в конъюнктиву, слезотечение, слизистое отделяемое из глаз, сухость и раздражение глаз, кератит, кератопатия, выпадение полей зрения, кровоизлияния в стекловидное тело, плавающие помутнения в стекловидное тело, снижение остроты зрения, эрозия роговицы, ячмень, контактный дерматит.</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 Системные: головная боль, общая слабость, сонливость, головокружение, бессонница, колебания АД, бронхит, кашель, одышка, сухость слизистой оболочки носа, апноэ, сыпь, диспепсия, сухость слизистой оболочки полости рта, гриппоподобный синдром, гиперхолестеринемия, общие аллергические реакции, астения, утомляемость, извращение вкуса.</w:t>
            </w:r>
          </w:p>
        </w:tc>
      </w:tr>
    </w:tbl>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 относится к ЛС из «Перечня жизненно необходимых и важнейших лекарственных препаратов для медицинского применения» </w:t>
      </w:r>
    </w:p>
    <w:p w:rsidR="00251421" w:rsidRPr="00251421" w:rsidRDefault="00251421" w:rsidP="00251421">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Не рекомендуется </w:t>
      </w:r>
      <w:r w:rsidRPr="00251421">
        <w:rPr>
          <w:rFonts w:ascii="Times New Roman" w:eastAsia="Times New Roman" w:hAnsi="Times New Roman" w:cs="Times New Roman"/>
          <w:color w:val="222222"/>
          <w:sz w:val="27"/>
          <w:szCs w:val="27"/>
          <w:lang w:eastAsia="ru-RU"/>
        </w:rPr>
        <w:t>применение местных неселективных бета-адреноблокаторов у пациентов с системными противопоказаниями (сердечно-сосудистые и бронхо-легочные заболевания, в частности аритмии, ишемическая болезнь сердца, артериальная гипертензия, хроническая обструктивная болезнь легких, бронхиальная астма), и/или получающих бета-адреноблокаторы перорально для исключения возможного суммирования неблагоприятных эффектов, развития системных побочных осложнений и снижения гипотензивного эффекта терапии [183,192].</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1).</w:t>
      </w:r>
      <w:r w:rsidRPr="00251421">
        <w:rPr>
          <w:rFonts w:ascii="Times New Roman" w:eastAsia="Times New Roman" w:hAnsi="Times New Roman" w:cs="Times New Roman"/>
          <w:color w:val="222222"/>
          <w:sz w:val="27"/>
          <w:szCs w:val="27"/>
          <w:lang w:eastAsia="ru-RU"/>
        </w:rPr>
        <w:t>                    </w:t>
      </w:r>
    </w:p>
    <w:p w:rsidR="00251421" w:rsidRPr="00251421" w:rsidRDefault="00251421" w:rsidP="00251421">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Рекомендуются </w:t>
      </w:r>
      <w:r w:rsidRPr="00251421">
        <w:rPr>
          <w:rFonts w:ascii="Times New Roman" w:eastAsia="Times New Roman" w:hAnsi="Times New Roman" w:cs="Times New Roman"/>
          <w:color w:val="222222"/>
          <w:sz w:val="27"/>
          <w:szCs w:val="27"/>
          <w:lang w:eastAsia="ru-RU"/>
        </w:rPr>
        <w:t>препараты из группы</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«Противоглаукомные препараты и миотические средства», не содержащие консервантов,</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пациентам с подозрением на глаукому в сочетании с заболеваниями тканей глазной поверхности, дисфункцией мейбомиевых желез и хроническими аллергическими реакциями в качестве препаратов стартовой терапии с целью снижения уровня ВГД [193-197].</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251421" w:rsidRPr="00251421" w:rsidRDefault="00251421" w:rsidP="00251421">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 </w:t>
      </w:r>
      <w:r w:rsidRPr="00251421">
        <w:rPr>
          <w:rFonts w:ascii="Times New Roman" w:eastAsia="Times New Roman" w:hAnsi="Times New Roman" w:cs="Times New Roman"/>
          <w:color w:val="222222"/>
          <w:sz w:val="27"/>
          <w:szCs w:val="27"/>
          <w:lang w:eastAsia="ru-RU"/>
        </w:rPr>
        <w:t>перевод пациента на препарат монотерапии из другой фармакологической группы в случаях:</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 неудовлетворительной переносимости ЛС стартовой терапии;</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 при хорошей его переносимости, но при отсутствии достижения «целевого» уровня офтальмотонуса [1-7].</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Комментарий: </w:t>
      </w:r>
      <w:r w:rsidRPr="00251421">
        <w:rPr>
          <w:rFonts w:ascii="Times New Roman" w:eastAsia="Times New Roman" w:hAnsi="Times New Roman" w:cs="Times New Roman"/>
          <w:i/>
          <w:iCs/>
          <w:color w:val="333333"/>
          <w:sz w:val="27"/>
          <w:szCs w:val="27"/>
          <w:lang w:eastAsia="ru-RU"/>
        </w:rPr>
        <w:t>при использовании в качестве стартовой терапии аналогов простагландинов возможна замена ЛС в рамках данной группы, а перевод на препарат другой фармакологической группы нецелесообразен [1-7, 189, 190, 192, 198].</w:t>
      </w:r>
    </w:p>
    <w:p w:rsidR="00251421" w:rsidRPr="00251421" w:rsidRDefault="00251421" w:rsidP="00251421">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 </w:t>
      </w:r>
      <w:r w:rsidRPr="00251421">
        <w:rPr>
          <w:rFonts w:ascii="Times New Roman" w:eastAsia="Times New Roman" w:hAnsi="Times New Roman" w:cs="Times New Roman"/>
          <w:color w:val="222222"/>
          <w:sz w:val="27"/>
          <w:szCs w:val="27"/>
          <w:lang w:eastAsia="ru-RU"/>
        </w:rPr>
        <w:t>добавить второе ЛС или назначить комбинированный препарат пациентам с ОГ и ПГ при неэффективности монотерапии для достижения «целевого» уровня ВГД [199-201].</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lastRenderedPageBreak/>
        <w:t>Уровень убедительности рекомендаций A (уровень достоверности доказательств – 1)</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Комментарий: </w:t>
      </w:r>
      <w:r w:rsidRPr="00251421">
        <w:rPr>
          <w:rFonts w:ascii="Times New Roman" w:eastAsia="Times New Roman" w:hAnsi="Times New Roman" w:cs="Times New Roman"/>
          <w:i/>
          <w:iCs/>
          <w:color w:val="333333"/>
          <w:sz w:val="27"/>
          <w:szCs w:val="27"/>
          <w:lang w:eastAsia="ru-RU"/>
        </w:rPr>
        <w:t>целесообразно комбинировать препараты с различным механизмом действия: улучшающие отток и снижающие секрецию ВГЖ. Для повышения гипотензивной эффективности и приверженности пациентов к проведению медикаментозного лечения глаукомы применяют препараты в виде фиксированных комбинированных форм, содержащие вещества, которые, имея различный механизм гипотензивного действия, при комбинации обладают аддитивным эффектом (таблица 2)</w:t>
      </w:r>
      <w:r w:rsidRPr="00251421">
        <w:rPr>
          <w:rFonts w:ascii="Times New Roman" w:eastAsia="Times New Roman" w:hAnsi="Times New Roman" w:cs="Times New Roman"/>
          <w:color w:val="222222"/>
          <w:sz w:val="27"/>
          <w:szCs w:val="27"/>
          <w:lang w:eastAsia="ru-RU"/>
        </w:rPr>
        <w:t>. </w:t>
      </w:r>
      <w:r w:rsidRPr="00251421">
        <w:rPr>
          <w:rFonts w:ascii="Times New Roman" w:eastAsia="Times New Roman" w:hAnsi="Times New Roman" w:cs="Times New Roman"/>
          <w:i/>
          <w:iCs/>
          <w:color w:val="333333"/>
          <w:sz w:val="27"/>
          <w:szCs w:val="27"/>
          <w:lang w:eastAsia="ru-RU"/>
        </w:rPr>
        <w:t>Необходимо избегать назначения ЛС, относящихся к одной̆ и той же фармакологической̆ группе (например, нельзя комбинировать два разных бета-адреноблокатора или два аналога простагландинов) [1-7,192].</w:t>
      </w:r>
      <w:r w:rsidRPr="00251421">
        <w:rPr>
          <w:rFonts w:ascii="Times New Roman" w:eastAsia="Times New Roman" w:hAnsi="Times New Roman" w:cs="Times New Roman"/>
          <w:b/>
          <w:bCs/>
          <w:color w:val="222222"/>
          <w:sz w:val="27"/>
          <w:szCs w:val="27"/>
          <w:lang w:eastAsia="ru-RU"/>
        </w:rPr>
        <w:t> </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Таблица 2 - </w:t>
      </w:r>
      <w:r w:rsidRPr="00251421">
        <w:rPr>
          <w:rFonts w:ascii="Times New Roman" w:eastAsia="Times New Roman" w:hAnsi="Times New Roman" w:cs="Times New Roman"/>
          <w:color w:val="222222"/>
          <w:sz w:val="27"/>
          <w:szCs w:val="27"/>
          <w:lang w:eastAsia="ru-RU"/>
        </w:rPr>
        <w:t>Фиксированные комбинации ЛС из группы «Противоглаукомных препаратов и миотических средств»</w:t>
      </w:r>
    </w:p>
    <w:tbl>
      <w:tblPr>
        <w:tblW w:w="11850" w:type="dxa"/>
        <w:tblCellMar>
          <w:left w:w="0" w:type="dxa"/>
          <w:right w:w="0" w:type="dxa"/>
        </w:tblCellMar>
        <w:tblLook w:val="04A0" w:firstRow="1" w:lastRow="0" w:firstColumn="1" w:lastColumn="0" w:noHBand="0" w:noVBand="1"/>
      </w:tblPr>
      <w:tblGrid>
        <w:gridCol w:w="6041"/>
        <w:gridCol w:w="2316"/>
        <w:gridCol w:w="3493"/>
      </w:tblGrid>
      <w:tr w:rsidR="00251421" w:rsidRPr="00251421" w:rsidTr="0025142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Варианты фиксированных комбинаций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МНН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Форма выпуска,</w:t>
            </w:r>
          </w:p>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 упаковка</w:t>
            </w:r>
          </w:p>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 </w:t>
            </w:r>
          </w:p>
        </w:tc>
      </w:tr>
      <w:tr w:rsidR="00251421" w:rsidRPr="00251421" w:rsidTr="0025142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b/>
                <w:bCs/>
                <w:sz w:val="27"/>
                <w:szCs w:val="27"/>
                <w:lang w:eastAsia="ru-RU"/>
              </w:rPr>
              <w:t>Аналоги простагландинов и бета-адреноблокаторы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Латанопрост + Тимолол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Капли глазные по 2,5 мл</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во флаконах-капельницах</w:t>
            </w:r>
          </w:p>
        </w:tc>
      </w:tr>
      <w:tr w:rsidR="00251421" w:rsidRPr="00251421" w:rsidTr="0025142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Тимолол + Травопрост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Капли глазные по 2,5 мл  и 5 мл во флаконах-капельницах, по 0,3 мл мл в тюбиках-капельницах</w:t>
            </w:r>
          </w:p>
        </w:tc>
      </w:tr>
      <w:tr w:rsidR="00251421" w:rsidRPr="00251421" w:rsidTr="0025142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Тафлупрост +Тимолол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Капли глазные по 0,3 мл в тюбиках-капельницах, 30 шт.</w:t>
            </w:r>
          </w:p>
        </w:tc>
      </w:tr>
      <w:tr w:rsidR="00251421" w:rsidRPr="00251421" w:rsidTr="0025142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Биматопрост +Тимолол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Капли глазные по 2,5, 3, 5 и 10 мл</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во флаконах, по 0,4 мл в контейнерах</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b/>
                <w:bCs/>
                <w:sz w:val="27"/>
                <w:szCs w:val="27"/>
                <w:lang w:eastAsia="ru-RU"/>
              </w:rPr>
              <w:lastRenderedPageBreak/>
              <w:t>Местные ингибиторы карбоангидразы  (S01EC Ингибиторы карбоангидразы)  и аналоги простагландинов                      </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b/>
                <w:bCs/>
                <w:sz w:val="27"/>
                <w:szCs w:val="27"/>
                <w:lang w:eastAsia="ru-RU"/>
              </w:rPr>
              <w:t> </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Дорзоламид + Латанопрост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Капли глазные по 2,5 мл</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во флаконах</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b/>
                <w:bCs/>
                <w:sz w:val="27"/>
                <w:szCs w:val="27"/>
                <w:lang w:eastAsia="ru-RU"/>
              </w:rPr>
              <w:t>Симпатомиметики для лечения глаукомы и бета-адреноблокаторы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Бримонидин +Тимолол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Капли глазные по 5 мл</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во флаконах-капельницах</w:t>
            </w:r>
          </w:p>
        </w:tc>
      </w:tr>
      <w:tr w:rsidR="00251421" w:rsidRPr="00251421" w:rsidTr="0025142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b/>
                <w:bCs/>
                <w:sz w:val="27"/>
                <w:szCs w:val="27"/>
                <w:lang w:eastAsia="ru-RU"/>
              </w:rPr>
              <w:t>Ингибиторы карбоангидразы и бета-адреноблокаторы</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Бринзоламид +Тимолол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Капли глазные по 5 мл во флаконах-капельницах</w:t>
            </w:r>
          </w:p>
        </w:tc>
      </w:tr>
      <w:tr w:rsidR="00251421" w:rsidRPr="00251421" w:rsidTr="0025142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1421" w:rsidRPr="00251421" w:rsidRDefault="00251421" w:rsidP="0025142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Дорзоламид + Тимолол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Капли глазные по 5, 7 или 10 мл во флаконах-капельницах; Капли глазные по 0,4 мл в тюбиках-капельницах, 10, 20, 30, 60 или 90 шт.</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b/>
                <w:bCs/>
                <w:sz w:val="27"/>
                <w:szCs w:val="27"/>
                <w:lang w:eastAsia="ru-RU"/>
              </w:rPr>
              <w:t>Симпатомиметики для лечения глаукомы и ингибиторы карбоангидразы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Бримонидин + Бринзоламид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i/>
                <w:iCs/>
                <w:color w:val="333333"/>
                <w:sz w:val="27"/>
                <w:szCs w:val="27"/>
                <w:lang w:eastAsia="ru-RU"/>
              </w:rPr>
              <w:t>Капли глазные по 5 мл во флаконах-капельницах</w:t>
            </w:r>
            <w:r w:rsidRPr="00251421">
              <w:rPr>
                <w:rFonts w:ascii="Verdana" w:eastAsia="Times New Roman" w:hAnsi="Verdana" w:cs="Times New Roman"/>
                <w:b/>
                <w:bCs/>
                <w:sz w:val="27"/>
                <w:szCs w:val="27"/>
                <w:lang w:eastAsia="ru-RU"/>
              </w:rPr>
              <w:t> </w:t>
            </w:r>
          </w:p>
        </w:tc>
      </w:tr>
    </w:tbl>
    <w:p w:rsidR="00251421" w:rsidRPr="00251421" w:rsidRDefault="00251421" w:rsidP="00251421">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 </w:t>
      </w:r>
      <w:r w:rsidRPr="00251421">
        <w:rPr>
          <w:rFonts w:ascii="Times New Roman" w:eastAsia="Times New Roman" w:hAnsi="Times New Roman" w:cs="Times New Roman"/>
          <w:color w:val="222222"/>
          <w:sz w:val="27"/>
          <w:szCs w:val="27"/>
          <w:lang w:eastAsia="ru-RU"/>
        </w:rPr>
        <w:t>усилить фиксированную комбинацию дополнительным препаратом и рассмотреть возможность выполнения лазерного вмешательства пациентам с ОГ и ПГ в случае, если понижение уровня ВГД не достигнуто [1-7, 183].</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Комментарий: </w:t>
      </w:r>
      <w:r w:rsidRPr="00251421">
        <w:rPr>
          <w:rFonts w:ascii="Times New Roman" w:eastAsia="Times New Roman" w:hAnsi="Times New Roman" w:cs="Times New Roman"/>
          <w:i/>
          <w:iCs/>
          <w:color w:val="333333"/>
          <w:sz w:val="27"/>
          <w:szCs w:val="27"/>
          <w:lang w:eastAsia="ru-RU"/>
        </w:rPr>
        <w:t>возможна замена компонентов антиглаукомных комбинаций в случае отсутствия достижения «целевого» уровня ВГД. Применение более 3 (трех) лекарственных средств одновременно не рекомендовано.</w:t>
      </w:r>
      <w:r w:rsidRPr="00251421">
        <w:rPr>
          <w:rFonts w:ascii="Times New Roman" w:eastAsia="Times New Roman" w:hAnsi="Times New Roman" w:cs="Times New Roman"/>
          <w:color w:val="222222"/>
          <w:sz w:val="27"/>
          <w:szCs w:val="27"/>
          <w:lang w:eastAsia="ru-RU"/>
        </w:rPr>
        <w:t> </w:t>
      </w:r>
      <w:r w:rsidRPr="00251421">
        <w:rPr>
          <w:rFonts w:ascii="Times New Roman" w:eastAsia="Times New Roman" w:hAnsi="Times New Roman" w:cs="Times New Roman"/>
          <w:i/>
          <w:iCs/>
          <w:color w:val="333333"/>
          <w:sz w:val="27"/>
          <w:szCs w:val="27"/>
          <w:lang w:eastAsia="ru-RU"/>
        </w:rPr>
        <w:t xml:space="preserve">Увеличение </w:t>
      </w:r>
      <w:r w:rsidRPr="00251421">
        <w:rPr>
          <w:rFonts w:ascii="Times New Roman" w:eastAsia="Times New Roman" w:hAnsi="Times New Roman" w:cs="Times New Roman"/>
          <w:i/>
          <w:iCs/>
          <w:color w:val="333333"/>
          <w:sz w:val="27"/>
          <w:szCs w:val="27"/>
          <w:lang w:eastAsia="ru-RU"/>
        </w:rPr>
        <w:lastRenderedPageBreak/>
        <w:t>кратности инстилляций препаратов в виде глазных капель приводит к снижению приверженности к выполнению назначений, уменьшению эффективности и увеличению числа побочных эффектов [202].</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Прекращение лечения у пациентов с OГ или ПГ возможно при стабилизации ситуации на фоне длительной терапии при наличии приемлемого уровня ВГД и низкого риска развития нарушений зрения в течение предполагаемой продолжительности жизни пациента. При прекращении лечения целесообразен контроль уровня ВГД, состояния поля зрения и зрительного нерва с дальнейшей переоценкой, если это клинически показано [203].</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В качестве лазерных вмешательств, используемых при лечении офтальмогипертензии используют лазерную трабекулопластику; лазерную иридэктомию у лиц с закрытым и/или узким УПК (20 и менее градусов (см. раздел 3.2 Лазерное лечение) </w:t>
      </w:r>
    </w:p>
    <w:p w:rsidR="00251421" w:rsidRPr="00251421" w:rsidRDefault="00251421" w:rsidP="00251421">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i/>
          <w:iCs/>
          <w:color w:val="333333"/>
          <w:sz w:val="27"/>
          <w:szCs w:val="27"/>
          <w:lang w:eastAsia="ru-RU"/>
        </w:rPr>
        <w:t>Рекомендуется </w:t>
      </w:r>
      <w:r w:rsidRPr="00251421">
        <w:rPr>
          <w:rFonts w:ascii="Times New Roman" w:eastAsia="Times New Roman" w:hAnsi="Times New Roman" w:cs="Times New Roman"/>
          <w:i/>
          <w:iCs/>
          <w:color w:val="333333"/>
          <w:sz w:val="27"/>
          <w:szCs w:val="27"/>
          <w:lang w:eastAsia="ru-RU"/>
        </w:rPr>
        <w:t>коррекция</w:t>
      </w:r>
      <w:r w:rsidRPr="00251421">
        <w:rPr>
          <w:rFonts w:ascii="Times New Roman" w:eastAsia="Times New Roman" w:hAnsi="Times New Roman" w:cs="Times New Roman"/>
          <w:b/>
          <w:bCs/>
          <w:i/>
          <w:iCs/>
          <w:color w:val="333333"/>
          <w:sz w:val="27"/>
          <w:szCs w:val="27"/>
          <w:lang w:eastAsia="ru-RU"/>
        </w:rPr>
        <w:t> </w:t>
      </w:r>
      <w:r w:rsidRPr="00251421">
        <w:rPr>
          <w:rFonts w:ascii="Times New Roman" w:eastAsia="Times New Roman" w:hAnsi="Times New Roman" w:cs="Times New Roman"/>
          <w:i/>
          <w:iCs/>
          <w:color w:val="333333"/>
          <w:sz w:val="27"/>
          <w:szCs w:val="27"/>
          <w:lang w:eastAsia="ru-RU"/>
        </w:rPr>
        <w:t>местной гипотензивной терапии беременным /кормящим пациенткам с ПГ и ОГ для достижения давления «цели» с учетом оценки риска тератогенного воздействия препаратов на плод, течение беременности и на новорожденного в период лактации</w:t>
      </w:r>
      <w:r w:rsidRPr="00251421">
        <w:rPr>
          <w:rFonts w:ascii="Times New Roman" w:eastAsia="Times New Roman" w:hAnsi="Times New Roman" w:cs="Times New Roman"/>
          <w:color w:val="222222"/>
          <w:sz w:val="27"/>
          <w:szCs w:val="27"/>
          <w:lang w:eastAsia="ru-RU"/>
        </w:rPr>
        <w:t> [2, 183, 204, 205].</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Комментарий: </w:t>
      </w:r>
      <w:r w:rsidRPr="00251421">
        <w:rPr>
          <w:rFonts w:ascii="Times New Roman" w:eastAsia="Times New Roman" w:hAnsi="Times New Roman" w:cs="Times New Roman"/>
          <w:i/>
          <w:iCs/>
          <w:color w:val="333333"/>
          <w:sz w:val="27"/>
          <w:szCs w:val="27"/>
          <w:lang w:eastAsia="ru-RU"/>
        </w:rPr>
        <w:t xml:space="preserve">ни одно из ЛС из группы «Противоглаукомных препаратов и миотических средств» не классифицировано как безопасное или полностью противопоказанное при беременности. Препараты для местного лечения ПГ и ОГ назначаются лишь в том случае, если потенциальная польза лечения оправдывает потенциальный риск для плода. Основные принципы назначения ЛС: использовать минимальное количество препаратов, достаточное для достижения давления цели, обсудить лечение с врачом-акушером-гинекологом и врачом-педиатром, уменьшить системное всасывание препарата (при легком нажатии пациентом на область медиального угла глазной щели). Наиболее чувствительным периодом является первый триместр беременности из-за возможного тератогенного воздействия на плод систематически применяемых ЛС. Учитывая возможное снижение ВГД в период беременности у некоторых пациенток, может рассматриваться временное прекращение местного гипотензивного лечения в условиях тщательного наблюдения. В период беременности возможно назначение бета-адреноблокаторов, симпатомиметиков для лечения глаукомы и/или местных ингибиторов карбоангидразы (S01EC Ингибиторы карбоангидразы). Аналоги простагландинов следует использовать с осторожностью по причине влияния </w:t>
      </w:r>
      <w:r w:rsidRPr="00251421">
        <w:rPr>
          <w:rFonts w:ascii="Times New Roman" w:eastAsia="Times New Roman" w:hAnsi="Times New Roman" w:cs="Times New Roman"/>
          <w:i/>
          <w:iCs/>
          <w:color w:val="333333"/>
          <w:sz w:val="27"/>
          <w:szCs w:val="27"/>
          <w:lang w:eastAsia="ru-RU"/>
        </w:rPr>
        <w:lastRenderedPageBreak/>
        <w:t>на тонус матки. Поэтому при появлении признаков гипертонуса матки необходимо прекратить их применение. На 9-м месяце беременности бета-адреноблокаторы и симпатомиметики для лечения глаукомы следует отменить во избежание осложнений у новорожденного [2, 204, 205]. Использование местных ингибиторов карбоангидразы (S01EC Ингибиторы карбоангидразы) может быть продолжено. В период лактации предпочтительнее назначать ингибиторы карбоангидразы в каплях и аналоги простагландинов [2, 204, 205]. Лазерная трабекулопластика может быть стартовым или дополнительным вмешательством у беременных и кормящих женщин [183, 204, 205].</w:t>
      </w:r>
    </w:p>
    <w:p w:rsidR="00251421" w:rsidRPr="00251421" w:rsidRDefault="00251421" w:rsidP="00251421">
      <w:pPr>
        <w:spacing w:after="0" w:line="240" w:lineRule="auto"/>
        <w:outlineLvl w:val="1"/>
        <w:rPr>
          <w:rFonts w:ascii="Times New Roman" w:eastAsia="Times New Roman" w:hAnsi="Times New Roman" w:cs="Times New Roman"/>
          <w:b/>
          <w:bCs/>
          <w:color w:val="222222"/>
          <w:sz w:val="33"/>
          <w:szCs w:val="33"/>
          <w:lang w:eastAsia="ru-RU"/>
        </w:rPr>
      </w:pPr>
      <w:r w:rsidRPr="00251421">
        <w:rPr>
          <w:rFonts w:ascii="Times New Roman" w:eastAsia="Times New Roman" w:hAnsi="Times New Roman" w:cs="Times New Roman"/>
          <w:b/>
          <w:bCs/>
          <w:color w:val="222222"/>
          <w:sz w:val="33"/>
          <w:szCs w:val="33"/>
          <w:lang w:eastAsia="ru-RU"/>
        </w:rPr>
        <w:t>3.2 Лазерное лечение</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i/>
          <w:iCs/>
          <w:color w:val="333333"/>
          <w:sz w:val="27"/>
          <w:szCs w:val="27"/>
          <w:lang w:eastAsia="ru-RU"/>
        </w:rPr>
        <w:t>Лазерные вмешательства, используемые при лечении офтальмогипертензии направлены на восстановление оттока ВГЖ:</w:t>
      </w:r>
    </w:p>
    <w:p w:rsidR="00251421" w:rsidRPr="00251421" w:rsidRDefault="00251421" w:rsidP="00251421">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лазерная трабекулопластика (ЛТП);</w:t>
      </w:r>
    </w:p>
    <w:p w:rsidR="00251421" w:rsidRPr="00251421" w:rsidRDefault="00251421" w:rsidP="00251421">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лазерная иридэктомия у лиц с закрытым и/или узким УПК (20 и менее градусов).</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i/>
          <w:iCs/>
          <w:color w:val="333333"/>
          <w:sz w:val="27"/>
          <w:szCs w:val="27"/>
          <w:lang w:eastAsia="ru-RU"/>
        </w:rPr>
        <w:t>Преимуществами лазерных вмешательств являются:</w:t>
      </w:r>
    </w:p>
    <w:p w:rsidR="00251421" w:rsidRPr="00251421" w:rsidRDefault="00251421" w:rsidP="00251421">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малая травматичность процедур;</w:t>
      </w:r>
    </w:p>
    <w:p w:rsidR="00251421" w:rsidRPr="00251421" w:rsidRDefault="00251421" w:rsidP="00251421">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отсутствие серьезных интра- и послеоперационных осложнений;</w:t>
      </w:r>
    </w:p>
    <w:p w:rsidR="00251421" w:rsidRPr="00251421" w:rsidRDefault="00251421" w:rsidP="00251421">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возможность выполнения вмешательства в амбулаторных условиях;</w:t>
      </w:r>
    </w:p>
    <w:p w:rsidR="00251421" w:rsidRPr="00251421" w:rsidRDefault="00251421" w:rsidP="00251421">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возможность проведения повторных лазерных вмешательств при снижении гипотензивного эффекта в отдаленном послеоперационном периоде.</w:t>
      </w:r>
      <w:r w:rsidRPr="00251421">
        <w:rPr>
          <w:rFonts w:ascii="Times New Roman" w:eastAsia="Times New Roman" w:hAnsi="Times New Roman" w:cs="Times New Roman"/>
          <w:b/>
          <w:bCs/>
          <w:color w:val="222222"/>
          <w:sz w:val="27"/>
          <w:szCs w:val="27"/>
          <w:lang w:eastAsia="ru-RU"/>
        </w:rPr>
        <w:t> </w:t>
      </w:r>
    </w:p>
    <w:p w:rsidR="00251421" w:rsidRPr="00251421" w:rsidRDefault="00251421" w:rsidP="00251421">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 </w:t>
      </w:r>
      <w:r w:rsidRPr="00251421">
        <w:rPr>
          <w:rFonts w:ascii="Times New Roman" w:eastAsia="Times New Roman" w:hAnsi="Times New Roman" w:cs="Times New Roman"/>
          <w:color w:val="222222"/>
          <w:sz w:val="27"/>
          <w:szCs w:val="27"/>
          <w:lang w:eastAsia="ru-RU"/>
        </w:rPr>
        <w:t>проведение лазерной трабекулопластики (ЛТП) пациентам с ПГ и ОГ как альтернативная стратегия медикаментозной терапии; при неэффективности гипотензивной медикаментозной терапии; при необходимости оптимизации гипотензивного режима (с целью уменьшения числа используемых противоглаукомных препаратов и миотических средств); при наличии системных и местных нежелательных явлений, вызванных противоглаукомными препаратами и миотическими средствами, и противопоказаний к их применению; при потенциальном несоблюдении медикаментозного режима [206-209].</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Комментарии: </w:t>
      </w:r>
      <w:r w:rsidRPr="00251421">
        <w:rPr>
          <w:rFonts w:ascii="Times New Roman" w:eastAsia="Times New Roman" w:hAnsi="Times New Roman" w:cs="Times New Roman"/>
          <w:i/>
          <w:iCs/>
          <w:color w:val="333333"/>
          <w:sz w:val="27"/>
          <w:szCs w:val="27"/>
          <w:lang w:eastAsia="ru-RU"/>
        </w:rPr>
        <w:t>Ожидаемое среднее снижение уровня ВГД может составить 20-25% (6-9 мм рт. ст.). Гипотензивный эффект ЛТП оценивается через 1-2 месяца после процедуры. Характерна низкая эффективность повторных процедур ЛТП.</w:t>
      </w:r>
      <w:r w:rsidRPr="00251421">
        <w:rPr>
          <w:rFonts w:ascii="Times New Roman" w:eastAsia="Times New Roman" w:hAnsi="Times New Roman" w:cs="Times New Roman"/>
          <w:color w:val="222222"/>
          <w:sz w:val="27"/>
          <w:szCs w:val="27"/>
          <w:lang w:eastAsia="ru-RU"/>
        </w:rPr>
        <w:t> </w:t>
      </w:r>
      <w:r w:rsidRPr="00251421">
        <w:rPr>
          <w:rFonts w:ascii="Times New Roman" w:eastAsia="Times New Roman" w:hAnsi="Times New Roman" w:cs="Times New Roman"/>
          <w:i/>
          <w:iCs/>
          <w:color w:val="333333"/>
          <w:sz w:val="27"/>
          <w:szCs w:val="27"/>
          <w:lang w:eastAsia="ru-RU"/>
        </w:rPr>
        <w:t xml:space="preserve">Эффективность снижения уровня ВГД сопоставима для разных видов лазерной трабекулопластики (аргоновой/диодной и селективной), но </w:t>
      </w:r>
      <w:r w:rsidRPr="00251421">
        <w:rPr>
          <w:rFonts w:ascii="Times New Roman" w:eastAsia="Times New Roman" w:hAnsi="Times New Roman" w:cs="Times New Roman"/>
          <w:i/>
          <w:iCs/>
          <w:color w:val="333333"/>
          <w:sz w:val="27"/>
          <w:szCs w:val="27"/>
          <w:lang w:eastAsia="ru-RU"/>
        </w:rPr>
        <w:lastRenderedPageBreak/>
        <w:t>инвазивность селективной ЛТП и частота осложнений при этом типе операции отмечается значительно ниже </w:t>
      </w:r>
      <w:r w:rsidRPr="00251421">
        <w:rPr>
          <w:rFonts w:ascii="Times New Roman" w:eastAsia="Times New Roman" w:hAnsi="Times New Roman" w:cs="Times New Roman"/>
          <w:color w:val="222222"/>
          <w:sz w:val="27"/>
          <w:szCs w:val="27"/>
          <w:lang w:eastAsia="ru-RU"/>
        </w:rPr>
        <w:t>[208]. </w:t>
      </w:r>
      <w:r w:rsidRPr="00251421">
        <w:rPr>
          <w:rFonts w:ascii="Times New Roman" w:eastAsia="Times New Roman" w:hAnsi="Times New Roman" w:cs="Times New Roman"/>
          <w:i/>
          <w:iCs/>
          <w:color w:val="333333"/>
          <w:sz w:val="27"/>
          <w:szCs w:val="27"/>
          <w:lang w:eastAsia="ru-RU"/>
        </w:rPr>
        <w:t>Повторная ЛТП возможна через 1 год, если эффект от первой процедуры был продолжительным и достаточным для снижения ВГД [206, 210-212]. Выполнение инвазивность селективной ЛТП целесообразно при выраженной степени пигментации трабекулы (II-IV), отмечена сопоставимая с первичной операцией эффективность повторных процедур [210-212].       </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Необходим контроль ВГД через 30 минут и 2 часа после выполнения ЛТП пациентам с ОГ для определения степени выраженности реактивной гипертензии, величина которой может составлять более 10 мм рт.ст. [209]. Назначение местной противовоспалительной терапии в течение 4-7 дней после ЛТП уменьшает вероятность послеоперационных осложнений (реактивной гипертензии, посткоагуляционного увеита, периферических гониосинехий) [2].</w:t>
      </w:r>
    </w:p>
    <w:p w:rsidR="00251421" w:rsidRPr="00251421" w:rsidRDefault="00251421" w:rsidP="00251421">
      <w:pPr>
        <w:spacing w:after="0" w:line="240" w:lineRule="auto"/>
        <w:outlineLvl w:val="1"/>
        <w:rPr>
          <w:rFonts w:ascii="Times New Roman" w:eastAsia="Times New Roman" w:hAnsi="Times New Roman" w:cs="Times New Roman"/>
          <w:b/>
          <w:bCs/>
          <w:color w:val="222222"/>
          <w:sz w:val="33"/>
          <w:szCs w:val="33"/>
          <w:lang w:eastAsia="ru-RU"/>
        </w:rPr>
      </w:pPr>
      <w:r w:rsidRPr="00251421">
        <w:rPr>
          <w:rFonts w:ascii="Times New Roman" w:eastAsia="Times New Roman" w:hAnsi="Times New Roman" w:cs="Times New Roman"/>
          <w:b/>
          <w:bCs/>
          <w:color w:val="222222"/>
          <w:sz w:val="33"/>
          <w:szCs w:val="33"/>
          <w:lang w:eastAsia="ru-RU"/>
        </w:rPr>
        <w:t>3.3 Хирургическое лечение</w:t>
      </w:r>
    </w:p>
    <w:p w:rsidR="00251421" w:rsidRPr="00251421" w:rsidRDefault="00251421" w:rsidP="00251421">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Не рекомендуется</w:t>
      </w:r>
      <w:r w:rsidRPr="00251421">
        <w:rPr>
          <w:rFonts w:ascii="Times New Roman" w:eastAsia="Times New Roman" w:hAnsi="Times New Roman" w:cs="Times New Roman"/>
          <w:color w:val="222222"/>
          <w:sz w:val="27"/>
          <w:szCs w:val="27"/>
          <w:lang w:eastAsia="ru-RU"/>
        </w:rPr>
        <w:t> хирургическое лечение</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пациентам с ПГ [2, 122].</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 </w:t>
      </w:r>
    </w:p>
    <w:p w:rsidR="00251421" w:rsidRPr="00251421" w:rsidRDefault="00251421" w:rsidP="00251421">
      <w:pPr>
        <w:spacing w:after="0" w:line="240" w:lineRule="auto"/>
        <w:outlineLvl w:val="1"/>
        <w:rPr>
          <w:rFonts w:ascii="Times New Roman" w:eastAsia="Times New Roman" w:hAnsi="Times New Roman" w:cs="Times New Roman"/>
          <w:b/>
          <w:bCs/>
          <w:color w:val="222222"/>
          <w:sz w:val="33"/>
          <w:szCs w:val="33"/>
          <w:lang w:eastAsia="ru-RU"/>
        </w:rPr>
      </w:pPr>
      <w:r w:rsidRPr="00251421">
        <w:rPr>
          <w:rFonts w:ascii="Times New Roman" w:eastAsia="Times New Roman" w:hAnsi="Times New Roman" w:cs="Times New Roman"/>
          <w:b/>
          <w:bCs/>
          <w:color w:val="222222"/>
          <w:sz w:val="33"/>
          <w:szCs w:val="33"/>
          <w:lang w:eastAsia="ru-RU"/>
        </w:rPr>
        <w:t>3.4 Диетотерапия, обезболивание и другие методы лечения</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Специальной диеты при ПГ не существует. Методы обезболивания (инстилляции) применяются на этапе лазерного лечения ПГ, и не используются в качестве самостоятельной терапии.</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До настоящего времени не проведено надежных клинических исследований, подтверждающих эффективность диетотерапии и применения биологически активных добавок к пище при ПГ [214, 215]. Альтернативные стратегии лечения ПГ (нейропротекция) являются предметом исследований и обсуждений [216-220].</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251421">
        <w:rPr>
          <w:rFonts w:ascii="Times New Roman" w:eastAsia="Times New Roman" w:hAnsi="Times New Roman" w:cs="Times New Roman"/>
          <w:b/>
          <w:bCs/>
          <w:color w:val="000000"/>
          <w:kern w:val="36"/>
          <w:sz w:val="48"/>
          <w:szCs w:val="48"/>
          <w:lang w:eastAsia="ru-RU"/>
        </w:rPr>
        <w:lastRenderedPageBreak/>
        <w:t>основанных на использовании природных лечебных факторов</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Медицинская реабилитация и санаторно-курортное лечение пациентов с ПГ не разработаны.</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Специфической профилактики ПГ не существует. </w:t>
      </w:r>
      <w:r w:rsidRPr="00251421">
        <w:rPr>
          <w:rFonts w:ascii="Times New Roman" w:eastAsia="Times New Roman" w:hAnsi="Times New Roman" w:cs="Times New Roman"/>
          <w:color w:val="222222"/>
          <w:sz w:val="27"/>
          <w:szCs w:val="27"/>
          <w:lang w:eastAsia="ru-RU"/>
        </w:rPr>
        <w:t>Результаты исследований, касающиеся медицинской эффективности и экономической эффективности проведения скрининга, профилактики и диспансерного наблюдения противоречивы, и не могут носить рекомендательного характера [1,4].</w:t>
      </w:r>
      <w:r w:rsidRPr="00251421">
        <w:rPr>
          <w:rFonts w:ascii="Times New Roman" w:eastAsia="Times New Roman" w:hAnsi="Times New Roman" w:cs="Times New Roman"/>
          <w:b/>
          <w:bCs/>
          <w:color w:val="222222"/>
          <w:sz w:val="27"/>
          <w:szCs w:val="27"/>
          <w:lang w:eastAsia="ru-RU"/>
        </w:rPr>
        <w:t> </w:t>
      </w:r>
    </w:p>
    <w:p w:rsidR="00251421" w:rsidRPr="00251421" w:rsidRDefault="00251421" w:rsidP="00251421">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w:t>
      </w:r>
      <w:r w:rsidRPr="00251421">
        <w:rPr>
          <w:rFonts w:ascii="Times New Roman" w:eastAsia="Times New Roman" w:hAnsi="Times New Roman" w:cs="Times New Roman"/>
          <w:color w:val="222222"/>
          <w:sz w:val="27"/>
          <w:szCs w:val="27"/>
          <w:lang w:eastAsia="ru-RU"/>
        </w:rPr>
        <w:t> измерение уровня ВГД при первом прохождении профилактического медицинского осмотра, далее в возрасте 40 лет и старше 1 раз в год с целью раннего выявления ОГ и ПОУГ [221].</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Комментарии:</w:t>
      </w:r>
      <w:r w:rsidRPr="00251421">
        <w:rPr>
          <w:rFonts w:ascii="Times New Roman" w:eastAsia="Times New Roman" w:hAnsi="Times New Roman" w:cs="Times New Roman"/>
          <w:color w:val="222222"/>
          <w:sz w:val="27"/>
          <w:szCs w:val="27"/>
          <w:lang w:eastAsia="ru-RU"/>
        </w:rPr>
        <w:t> </w:t>
      </w:r>
      <w:r w:rsidRPr="00251421">
        <w:rPr>
          <w:rFonts w:ascii="Times New Roman" w:eastAsia="Times New Roman" w:hAnsi="Times New Roman" w:cs="Times New Roman"/>
          <w:i/>
          <w:iCs/>
          <w:color w:val="333333"/>
          <w:sz w:val="27"/>
          <w:szCs w:val="27"/>
          <w:lang w:eastAsia="ru-RU"/>
        </w:rPr>
        <w:t>Первый этап диспансеризации (скрининг) проводится с целью выявления признаков ОГ и ПОУГ, факторов риска, особенно при отягощенном семейном анамнезе; определения медицинских показаний к выполнению дополнительных обследований и осмотров врачом-офтальмологом для уточнения диагноза глаукомы [1,221].</w:t>
      </w:r>
      <w:r w:rsidRPr="00251421">
        <w:rPr>
          <w:rFonts w:ascii="Times New Roman" w:eastAsia="Times New Roman" w:hAnsi="Times New Roman" w:cs="Times New Roman"/>
          <w:b/>
          <w:bCs/>
          <w:color w:val="222222"/>
          <w:sz w:val="27"/>
          <w:szCs w:val="27"/>
          <w:lang w:eastAsia="ru-RU"/>
        </w:rPr>
        <w:t> </w:t>
      </w:r>
    </w:p>
    <w:p w:rsidR="00251421" w:rsidRPr="00251421" w:rsidRDefault="00251421" w:rsidP="00251421">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 </w:t>
      </w:r>
      <w:r w:rsidRPr="00251421">
        <w:rPr>
          <w:rFonts w:ascii="Times New Roman" w:eastAsia="Times New Roman" w:hAnsi="Times New Roman" w:cs="Times New Roman"/>
          <w:color w:val="222222"/>
          <w:sz w:val="27"/>
          <w:szCs w:val="27"/>
          <w:lang w:eastAsia="ru-RU"/>
        </w:rPr>
        <w:t>осмотр (консультация) врачом-офтальмологом граждан в возрасте 40 лет</w:t>
      </w:r>
      <w:r w:rsidRPr="00251421">
        <w:rPr>
          <w:rFonts w:ascii="Times New Roman" w:eastAsia="Times New Roman" w:hAnsi="Times New Roman" w:cs="Times New Roman"/>
          <w:b/>
          <w:bCs/>
          <w:color w:val="222222"/>
          <w:sz w:val="27"/>
          <w:szCs w:val="27"/>
          <w:lang w:eastAsia="ru-RU"/>
        </w:rPr>
        <w:t> </w:t>
      </w:r>
      <w:r w:rsidRPr="00251421">
        <w:rPr>
          <w:rFonts w:ascii="Times New Roman" w:eastAsia="Times New Roman" w:hAnsi="Times New Roman" w:cs="Times New Roman"/>
          <w:color w:val="222222"/>
          <w:sz w:val="27"/>
          <w:szCs w:val="27"/>
          <w:lang w:eastAsia="ru-RU"/>
        </w:rPr>
        <w:t>и старше, имеющих повышенное ВГД, и граждан в возрасте 65 лет и старше, имеющих снижение остроты зрения, не поддающееся очковой коррекции, с целью раннего выявления ПГ и ПОУГ [221].</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251421" w:rsidRPr="00251421" w:rsidRDefault="00251421" w:rsidP="00251421">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Рекомендуется</w:t>
      </w:r>
      <w:r w:rsidRPr="00251421">
        <w:rPr>
          <w:rFonts w:ascii="Times New Roman" w:eastAsia="Times New Roman" w:hAnsi="Times New Roman" w:cs="Times New Roman"/>
          <w:color w:val="222222"/>
          <w:sz w:val="27"/>
          <w:szCs w:val="27"/>
          <w:lang w:eastAsia="ru-RU"/>
        </w:rPr>
        <w:t xml:space="preserve"> диспансерный прием (осмотр, консультация) врача-офтальмолога (В04.029.001) пациентам с ПГ с целью контроля уровня ВГД, </w:t>
      </w:r>
      <w:r w:rsidRPr="00251421">
        <w:rPr>
          <w:rFonts w:ascii="Times New Roman" w:eastAsia="Times New Roman" w:hAnsi="Times New Roman" w:cs="Times New Roman"/>
          <w:color w:val="222222"/>
          <w:sz w:val="27"/>
          <w:szCs w:val="27"/>
          <w:lang w:eastAsia="ru-RU"/>
        </w:rPr>
        <w:lastRenderedPageBreak/>
        <w:t>динамики структурных и функциональных показателей, изменений в факторах риска возникновения ПОУГ, контроля выполнения намеченного плана лечения и выявления его неблагоприятных последствий [7, 222].</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i/>
          <w:iCs/>
          <w:color w:val="333333"/>
          <w:sz w:val="27"/>
          <w:szCs w:val="27"/>
          <w:lang w:eastAsia="ru-RU"/>
        </w:rPr>
        <w:t>Комментарий:</w:t>
      </w:r>
      <w:r w:rsidRPr="00251421">
        <w:rPr>
          <w:rFonts w:ascii="Times New Roman" w:eastAsia="Times New Roman" w:hAnsi="Times New Roman" w:cs="Times New Roman"/>
          <w:i/>
          <w:iCs/>
          <w:color w:val="333333"/>
          <w:sz w:val="27"/>
          <w:szCs w:val="27"/>
          <w:lang w:eastAsia="ru-RU"/>
        </w:rPr>
        <w:t> Решение о периодичности наблюдения и назначении дополнительных методов исследования принимает врач по результатам базового обследования. На сегодняшний день не достигнуто согласие относительно интервалов и финальных сроков наблюдения. Периодичность осмотров врачом-офтальмологом и объем исследований и манипуляций определяется индивидуально, но не реже 1 раза в год.  Длительность наблюдения за пациентами с ПГ определяется индивидуально, но если через 3-5 лет не будет обнаружено никаких изменений морфофункциональных параметров глаза пациента, то дополнительное наблюдение следует прекратить и рекомендовать ежегодные осмотры врачом-офтальмологом в соответствии с Приказом Минздрава России от 27.04.2021 N 404н (ред. от 28.09.2023) «Об утверждении Порядка проведения профилактического медицинского осмотра и диспансеризации определенных групп взрослого населения» (Зарегистрировано в Минюсте России 30.06.2021 N 64042) .</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При выявлении признаков глаукомной оптической нейропатии по данным ОКТ и периметрии, во время диспансерного наблюдения за пациентами с подозрением на глаукому, устанавливается диагноз ПОУГ, и дальнейшее наблюдение и ведение пациентов проводится по клиническим рекомендациям «Глаукома первичная открытоугольная», H40.1.</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У пациентов с ПГ и ОГ, получающих медикаментозную терапию, определяют эффективность и любые побочные эффекты лечения; выявляют изменения и новые назначения других специалистов по системным показаниям, которые могут повлиять на динамику патологического процесса и эффективность лечения; контролируют правильность соблюдения пациентом режима гипотензивной терапии.</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Каждый визит пациента сопровождается оценкой субъективного самочувствия больного, зрительных функций (трудности при вождении, темновая адаптация, проблемы с контрастной чувствительностью, чтением мелкого шрифта и оценкой расстояния до предметов), качества жизни и приверженности пациента к назначенному лечению. Переоценка факторов риска проводится при каждом посещении пациента.</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lastRenderedPageBreak/>
        <w:t>Регулярный контроль за выполнением врачебных назначений позволяет повысить эффективность проводимых мероприятий.</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Первичная специализированная медико-санитарная помощь при ПГ оказывается врачом-офтальмологом в поликлиническом отделении медицинской организации. Лечение (лазерные вмешательства, медикаментозное консервативное или физиотерапевтическое лечение) проводится в амбулаторных условиях, условиях дневного стационара или круглосуточного стационара.</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Показанием для госпитализации пациентов с ПГ в медицинскую организацию является</w:t>
      </w:r>
      <w:r w:rsidRPr="00251421">
        <w:rPr>
          <w:rFonts w:ascii="Times New Roman" w:eastAsia="Times New Roman" w:hAnsi="Times New Roman" w:cs="Times New Roman"/>
          <w:color w:val="222222"/>
          <w:sz w:val="27"/>
          <w:szCs w:val="27"/>
          <w:lang w:eastAsia="ru-RU"/>
        </w:rPr>
        <w:t>:</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Плановая:</w:t>
      </w:r>
    </w:p>
    <w:p w:rsidR="00251421" w:rsidRPr="00251421" w:rsidRDefault="00251421" w:rsidP="00251421">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проведение углубленного обследования, медикаментозного и/или лазерного лечения (при невозможности их проведения в амбулаторных условиях и условиях дневного стационара).</w:t>
      </w:r>
      <w:r w:rsidRPr="00251421">
        <w:rPr>
          <w:rFonts w:ascii="Times New Roman" w:eastAsia="Times New Roman" w:hAnsi="Times New Roman" w:cs="Times New Roman"/>
          <w:i/>
          <w:iCs/>
          <w:color w:val="333333"/>
          <w:sz w:val="27"/>
          <w:szCs w:val="27"/>
          <w:lang w:eastAsia="ru-RU"/>
        </w:rPr>
        <w:t> </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Показания к выписке пациента из медицинской организации </w:t>
      </w:r>
      <w:r w:rsidRPr="00251421">
        <w:rPr>
          <w:rFonts w:ascii="Times New Roman" w:eastAsia="Times New Roman" w:hAnsi="Times New Roman" w:cs="Times New Roman"/>
          <w:color w:val="222222"/>
          <w:sz w:val="27"/>
          <w:szCs w:val="27"/>
          <w:lang w:eastAsia="ru-RU"/>
        </w:rPr>
        <w:t>[1]:</w:t>
      </w:r>
    </w:p>
    <w:p w:rsidR="00251421" w:rsidRPr="00251421" w:rsidRDefault="00251421" w:rsidP="00251421">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завершение одного из этапов оказания специализированной медицинской помощи, в условиях круглосуточного или дневного стационара при отсутствии осложнений лечения, требующих медикаментозной коррекции и/или медицинских вмешательств в стационарных условиях;</w:t>
      </w:r>
    </w:p>
    <w:p w:rsidR="00251421" w:rsidRPr="00251421" w:rsidRDefault="00251421" w:rsidP="00251421">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отказ пациента или его законного представителя от специализированной медицинской помощи в условиях круглосуточного или дневного стационара, установленной консилиумом медицинской организации, при отсутствии осложнений основного заболевания и/или лечения, требующих медикаментозной коррекции и/или медицинских вмешательств в стационарных условиях;</w:t>
      </w:r>
    </w:p>
    <w:p w:rsidR="00251421" w:rsidRPr="00251421" w:rsidRDefault="00251421" w:rsidP="00251421">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i/>
          <w:iCs/>
          <w:color w:val="333333"/>
          <w:sz w:val="27"/>
          <w:szCs w:val="27"/>
          <w:lang w:eastAsia="ru-RU"/>
        </w:rPr>
        <w:t xml:space="preserve">необходимость перевода пациента в другую медицинскую организацию по соответствующему профилю оказания медицинской помощи. Заключение о целесообразности перевода пациента в профильную медицинскую организацию составляется после предварительной консультации по предоставленным медицинским документам и/или предварительного </w:t>
      </w:r>
      <w:r w:rsidRPr="00251421">
        <w:rPr>
          <w:rFonts w:ascii="Times New Roman" w:eastAsia="Times New Roman" w:hAnsi="Times New Roman" w:cs="Times New Roman"/>
          <w:i/>
          <w:iCs/>
          <w:color w:val="333333"/>
          <w:sz w:val="27"/>
          <w:szCs w:val="27"/>
          <w:lang w:eastAsia="ru-RU"/>
        </w:rPr>
        <w:lastRenderedPageBreak/>
        <w:t>осмотра пациента врачами специалистами медицинской организации, в которую планируется перевод.</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Риск развития и прогрессирования заболевания выше у пациентов с ПГ, не соблюдающих режим инстилляций гипотензивных капель в случае наличия ОГ.</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По данным эпидемиологических исследований, для людей̆ пожилого возраста характерно сосуществование двух и более хронических заболеваний, требующих коррекции лечебно-диагностического процесса, проводимого в отношении каждой патологии.</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i/>
          <w:iCs/>
          <w:color w:val="333333"/>
          <w:sz w:val="27"/>
          <w:szCs w:val="27"/>
          <w:lang w:eastAsia="ru-RU"/>
        </w:rPr>
        <w:t>Местные факторы, влияющие на исход заболевания</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При сочетании катаракты и ОГ возможно изменение тактики ведения. Установлено, что факоэмульсификация катаракты у пациентов с офтальмогипертензией снижает уровень ВГД на 4,1 мм рт. ст. при этом гипотензивный эффект сохраняется на протяжении не менее 36 месяцев [223, 224]. </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Кераторефракционные операции </w:t>
      </w:r>
      <w:r w:rsidRPr="00251421">
        <w:rPr>
          <w:rFonts w:ascii="Times New Roman" w:eastAsia="Times New Roman" w:hAnsi="Times New Roman" w:cs="Times New Roman"/>
          <w:color w:val="222222"/>
          <w:sz w:val="27"/>
          <w:szCs w:val="27"/>
          <w:lang w:eastAsia="ru-RU"/>
        </w:rPr>
        <w:t>изменяют толщину, кривизну и биомеханические свойства роговицы, приводя к недостоверной оценке уровня ВГД [166, 225-226].</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Миопия высокой степени</w:t>
      </w:r>
      <w:r w:rsidRPr="00251421">
        <w:rPr>
          <w:rFonts w:ascii="Times New Roman" w:eastAsia="Times New Roman" w:hAnsi="Times New Roman" w:cs="Times New Roman"/>
          <w:color w:val="222222"/>
          <w:sz w:val="27"/>
          <w:szCs w:val="27"/>
          <w:lang w:eastAsia="ru-RU"/>
        </w:rPr>
        <w:t> часто затрудняет раннее выявление ПОУГ, поскольку глаукомные изменения ДЗН могут маскироваться особенностями диска зрительного нерва при миопии (миопическим конусом, косым входом (наклонным) ДЗН), а дефекты поля зрения и истончение слоя нервных волокон сетчатки неотличимы от тех, которые встречаются у пациентов с глаукомой. В связи с этим, целесообразно выполнять повторные диагностические исследования состояния ДЗН и СНВС. Также стоит помнить, что измененные биомеханические свойства роговицы миопического глаза приводят к недостоверной оценке уровня ВГД традиционными способами [227-230].</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i/>
          <w:iCs/>
          <w:color w:val="333333"/>
          <w:sz w:val="27"/>
          <w:szCs w:val="27"/>
          <w:lang w:eastAsia="ru-RU"/>
        </w:rPr>
        <w:t>Системные факторы, влияющие на исход заболевания</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ПГ и глаукома часто сочетаются с рядом системных заболеваний, таких как гипертоническая болезнь, ишемическая болезнь сердца, сахарный диабет, болезни щитовидной железы, астма, дегенеративные заболевания центральной нервной системы. Коморбидность (сочетание двух и более болезней у одного пациента) приводит к снижению качества жизни, самооценки здоровья, подвижности и функциональных возможностей, а также увеличению количества госпитализаций, использования ресурсов здравоохранения, смертности и затрат на лечение. Наличие множественных хронических состояний повышает сложность терапии как для медицинских работников, так и для пациентов и негативно влияет на результаты лечения. При этом риск побочных эффектов и вреда, который может быть вызван множеством факторов, включая взаимодействие между лекарственными средствами, возрастает с увеличением количества ЛС необходимых для лечения каждой из патологий [231, 232].</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Комментарий: </w:t>
      </w:r>
      <w:r w:rsidRPr="00251421">
        <w:rPr>
          <w:rFonts w:ascii="Times New Roman" w:eastAsia="Times New Roman" w:hAnsi="Times New Roman" w:cs="Times New Roman"/>
          <w:i/>
          <w:iCs/>
          <w:color w:val="333333"/>
          <w:sz w:val="27"/>
          <w:szCs w:val="27"/>
          <w:lang w:eastAsia="ru-RU"/>
        </w:rPr>
        <w:t>ЛС, применяемые при различных нозологиях, могут влиять на возникновение и прогрессирование глаукомы. Так, кортикостероиды повышают уровень ВГД при любых путях введения у 25-33% пациентов, причем у 5% возможно увеличение уровня ВГД </w:t>
      </w:r>
      <w:r w:rsidRPr="00251421">
        <w:rPr>
          <w:rFonts w:ascii="Times New Roman" w:eastAsia="Times New Roman" w:hAnsi="Times New Roman" w:cs="Times New Roman"/>
          <w:color w:val="222222"/>
          <w:sz w:val="27"/>
          <w:szCs w:val="27"/>
          <w:lang w:eastAsia="ru-RU"/>
        </w:rPr>
        <w:t>≥</w:t>
      </w:r>
      <w:r w:rsidRPr="00251421">
        <w:rPr>
          <w:rFonts w:ascii="Times New Roman" w:eastAsia="Times New Roman" w:hAnsi="Times New Roman" w:cs="Times New Roman"/>
          <w:i/>
          <w:iCs/>
          <w:color w:val="333333"/>
          <w:sz w:val="27"/>
          <w:szCs w:val="27"/>
          <w:lang w:eastAsia="ru-RU"/>
        </w:rPr>
        <w:t>32 мм рт. ст., что несомненно увеличивает риски возникновения/ прогрессирования глаукомы. В то время как принимаемые перорально метформин**, бета-адреноблокаторы и ингибиторы ГМГ-КоА-редуктазы (статины) снижают их [233, 234]. Одновременный прием бета-адреноблокаторов для местного и системного использования (часто назначаемых в качестве монотерапии у пациентов с глаукомой и сопутствующей сердечно-сосудистой патологией соответственно) приводит к значимому уменьшению гипотензивного эффекта местных бета-адреноблокаторов в сравнении с пациентами, не получающими бета-адреноблокаторы перорально. Кроме того, у данного контингента пациентов отмечаются значимо большие показатели систолического артериального давления и более высокие сосудистые риски [192].</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 xml:space="preserve">Критерии качества применяются в целях оценки своевременности оказания медицинской̆ помощи, правильности выбора методов профилактики, </w:t>
      </w:r>
      <w:r w:rsidRPr="00251421">
        <w:rPr>
          <w:rFonts w:ascii="Times New Roman" w:eastAsia="Times New Roman" w:hAnsi="Times New Roman" w:cs="Times New Roman"/>
          <w:color w:val="222222"/>
          <w:sz w:val="27"/>
          <w:szCs w:val="27"/>
          <w:lang w:eastAsia="ru-RU"/>
        </w:rPr>
        <w:lastRenderedPageBreak/>
        <w:t>диагностики, лечения и реабилитации, степени достижения запланированного результата. Критерии качества применяются по группам заболеваний (состояний) и по условиям оказания медицинской̆ помощи.</w:t>
      </w:r>
      <w:r w:rsidRPr="00251421">
        <w:rPr>
          <w:rFonts w:ascii="Times New Roman" w:eastAsia="Times New Roman" w:hAnsi="Times New Roman" w:cs="Times New Roman"/>
          <w:b/>
          <w:bCs/>
          <w:color w:val="222222"/>
          <w:sz w:val="27"/>
          <w:szCs w:val="27"/>
          <w:lang w:eastAsia="ru-RU"/>
        </w:rPr>
        <w:t> </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Таблица 3.1 - </w:t>
      </w:r>
      <w:r w:rsidRPr="00251421">
        <w:rPr>
          <w:rFonts w:ascii="Times New Roman" w:eastAsia="Times New Roman" w:hAnsi="Times New Roman" w:cs="Times New Roman"/>
          <w:color w:val="222222"/>
          <w:sz w:val="27"/>
          <w:szCs w:val="27"/>
          <w:lang w:eastAsia="ru-RU"/>
        </w:rPr>
        <w:t>Критерии оценки качества первичной медико-санитарной помощи взрослым при подозрении на глаукому (коды по МКБ - 10: H40.0) и уровни достоверности доказательств и убедительности рекомендаций</w:t>
      </w:r>
    </w:p>
    <w:tbl>
      <w:tblPr>
        <w:tblW w:w="11850" w:type="dxa"/>
        <w:tblCellMar>
          <w:left w:w="0" w:type="dxa"/>
          <w:right w:w="0" w:type="dxa"/>
        </w:tblCellMar>
        <w:tblLook w:val="04A0" w:firstRow="1" w:lastRow="0" w:firstColumn="1" w:lastColumn="0" w:noHBand="0" w:noVBand="1"/>
      </w:tblPr>
      <w:tblGrid>
        <w:gridCol w:w="650"/>
        <w:gridCol w:w="3515"/>
        <w:gridCol w:w="2264"/>
        <w:gridCol w:w="2625"/>
        <w:gridCol w:w="2796"/>
      </w:tblGrid>
      <w:tr w:rsidR="00251421" w:rsidRPr="00251421" w:rsidTr="0025142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Критерии</w:t>
            </w:r>
          </w:p>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Оценка выполнения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Уровень</w:t>
            </w:r>
          </w:p>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убедительности</w:t>
            </w:r>
          </w:p>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рекомендаций</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Прием (осмотр, консультация) врача-офтальмолога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А</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С</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Выполнена 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С</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С</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Выполнена периметрия статическая и/или компьютерная периметрия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А</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Выполнена биомикроскопия глазного дна или 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С</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Выполнена гониоскопия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С</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 xml:space="preserve">Выполнено назначение ЛС из группы «Противоглаукомных </w:t>
            </w:r>
            <w:r w:rsidRPr="00251421">
              <w:rPr>
                <w:rFonts w:ascii="Verdana" w:eastAsia="Times New Roman" w:hAnsi="Verdana" w:cs="Times New Roman"/>
                <w:sz w:val="27"/>
                <w:szCs w:val="27"/>
                <w:lang w:eastAsia="ru-RU"/>
              </w:rPr>
              <w:lastRenderedPageBreak/>
              <w:t>препаратов и миотических средств» при ОГ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lastRenderedPageBreak/>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В </w:t>
            </w:r>
          </w:p>
        </w:tc>
      </w:tr>
    </w:tbl>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Таблица 3.2 - </w:t>
      </w:r>
      <w:r w:rsidRPr="00251421">
        <w:rPr>
          <w:rFonts w:ascii="Times New Roman" w:eastAsia="Times New Roman" w:hAnsi="Times New Roman" w:cs="Times New Roman"/>
          <w:color w:val="222222"/>
          <w:sz w:val="27"/>
          <w:szCs w:val="27"/>
          <w:lang w:eastAsia="ru-RU"/>
        </w:rPr>
        <w:t>Критерии оценки качества специализированной медицинской помощи взрослым при подозрении на глаукому (коды по МКБ - 10: H40.0) и уровни достоверности доказательств и убедительности рекомендаций</w:t>
      </w:r>
    </w:p>
    <w:tbl>
      <w:tblPr>
        <w:tblW w:w="11850" w:type="dxa"/>
        <w:tblCellMar>
          <w:left w:w="0" w:type="dxa"/>
          <w:right w:w="0" w:type="dxa"/>
        </w:tblCellMar>
        <w:tblLook w:val="04A0" w:firstRow="1" w:lastRow="0" w:firstColumn="1" w:lastColumn="0" w:noHBand="0" w:noVBand="1"/>
      </w:tblPr>
      <w:tblGrid>
        <w:gridCol w:w="650"/>
        <w:gridCol w:w="3515"/>
        <w:gridCol w:w="2264"/>
        <w:gridCol w:w="2625"/>
        <w:gridCol w:w="2796"/>
      </w:tblGrid>
      <w:tr w:rsidR="00251421" w:rsidRPr="00251421" w:rsidTr="0025142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Критерии</w:t>
            </w:r>
          </w:p>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Оценка выполнения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Уровень</w:t>
            </w:r>
          </w:p>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убедительности</w:t>
            </w:r>
          </w:p>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рекомендаций</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Выполнена 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С</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С</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Выполнена периметрия статическая и/или компьютерная периметрия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А</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Выполнена биомикроскопия глазного дна или 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С</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С</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Выполнена гониоскопия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С</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Выполнено назначение ЛС из группы «Противоглаукомных препаратов и миотических средств» при ОГ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В</w:t>
            </w:r>
          </w:p>
        </w:tc>
      </w:tr>
    </w:tbl>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Список литературы</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Национальное руководство по глаукоме для практикующих врачей. Изд. 4-е, испр. и доп. / Под ред. Е.А. Егорова, В.П. Еричева. М.: ГЭОТАР-Медиа, 2019: 384.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151. European Glaucoma Society Terminology and Guidelines for Glaucoma (5th Edition). Savona: PubliComm, 2020: 172.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Basic and Clinical Science Course. Section 10. Glaucoma / Ed. C.A. Girkin. San Francisco: AAO, 2018: 262.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Gedde S.J., Lind J.T., Wright M.M., et al. American Academy of Ophthalmology Preferred Practice Pattern Glaucoma Panel. Primary Open-Angle Glaucoma Suspect Preferred Practice Pattern®. Ophthalmology. 2021; 128(1): P151-P192.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Prum B.E., Lim M.C., Mansberger S.L. et al. Primary open-angle glaucoma suspect preferred practice pattern® guidelines. Ophthalmology. 2016; 123(1): 112-151.</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Chang R.T., Singh K. Glaucoma Suspect: Diagnosis and Management. Asia Pac J Ophthalmol (Phila). 2016; 5(1): 32-37.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Glaucoma: Diagnosis and Management of Chronic Open-Angle Glaucoma and Ocular Hypertension. Methods, evidence and guidance / Ed. J. Sparrow.  London: NICE, 2009: 280.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Leske M.C., Connell A.M., Schachat A.P., Hyman L. The Barbados Eye Study: prevalence of open-angle glaucoma. Arch Ophthalmol. 1994; 112(6): 821-829.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Mitchell P., Smith W., Attebo K., Healey P.R. Prevalence of open-angle glaucoma in Australia: The Blue Mountains Eye Study. Ophthalmology. 1996; 103(10): 1661-1669.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Vajaranant T.S., Wu S., Torres M., Varma R. The changing face of primary open-angle glaucoma in the United States: demographic and geographic changes from 2011 to 2050. Am J Ophthalmol. 2012; 154(2): 303-314.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Klein B.E., Klein R. Projected prevalences of age-related eye diseases. Invest Ophthalmol Vis Sci. 2013; 54(1): 14-17.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Rossetti L., Digiuni M., Giovanni M., et al. Blindness and Glaucoma: A Multicenter Data Review from 7 Academic Eye Clinics. PLoS ONE. 2015; 10(8): e0136632.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Fujino Y., Asaoka R., Murata H. et al. Evaluation of Glaucoma Progression in Large-Scale Clinical Data: The Japanese Archive of Multicentral Databases in Glaucoma (JAMDIG). Invest Ophthalmol Vis Sci. 2016; 57(4): 2012-2020.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Liu B., McNally S., Kilpatrick J.I. et al. Aging and ocular tissue stiffness in glaucoma. Surv Ophthalmol. 2018; 63(1): 56-74.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Sommer A., Tielsch J.M., Katz J. et al. Racial differences in the cause-specific prevalence of blindness in East Baltimore. N Engl J Med. 1991; 325(20): 1412-1417.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Stein J.D., Kim D.S., Niziol L.M. et al. Differences in rates of glaucoma among Asian Americans and other racial groups, and among various Asian ethnic groups. Ophthalmology. 2011; 118(6): 1031-1037.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Rudnicka A.R., Mt-Isa S., Owen C.G., et al. Variations in primary open-angle glaucoma prevalence by age, gender, and race: a Bayesian meta-analysis. Invest Ophthalmol Vis Sci. 2006; 47(10): 4254-4261.</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Leske M.C., Wu S.Y., Honkanen R., et al. for the Barbados Eye Studies Group. Nine-year incidence of open-angle glaucoma in the Barbados Eye Studies. Ophthalmology 2007; 114(6): 1058-1064.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Mukesh B.N., McCarty C.A., Rait J.L., Taylor H.R. Five-year incidence of open-angle glaucoma: the visual impairment project. Ophthalmology. 2002; 109(6): 1047-1051.</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Vajaranant T.S., Pasquale L.R. Estrogen deficiency accelerates aging of the optic nerve. Menopause. 2012; 19(8): 942-947.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Quigley H.A., Broman A.T. The number of people with glaucoma worldwide in 2010 and 2020. Br J Ophthalmol. 2006; 90(3): 262-267.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Tham Y.C., Li X., Wong T.Y. et al. Global prevalence of glaucoma and projections of glaucoma burden through 2040: a systematic review and meta-analysis. Ophthalmology. 2014; 121(11):  2081-2090.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Wolfs R.C., Klaver C.C., Ramrattan R.S. et al. Genetic risk of primary open-angle glaucoma. Population-based familial aggregation study. Arch Ophthalmol. 1998; 116(12): 1640-1645.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Leske M.C., Nemesure B., He Q., et al. Patterns of open-angle glaucoma in the Barbados Family Study. Ophthalmology. 2001; 108(6): 1015-1022.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Abu-Amero K., Kondkar A.A., Chalam K.V. An Updated Review on the Genetics of Primary Open Angle Glaucoma. Int. J. Mol. Sci. 2015; 16(12): 28886-28911.</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Asefa N.G., Snieder H. Heritability of glaucoma and glaucoma-related endophenotypes: systematic review and meta-analysis protocol. BMJ Open. 2018; 8(2): e019049.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Kong X., Chen Y., Chen X., Sun X. Influence of family history as a risk factor on primary angle closure and primary open angle glaucoma in a Chinese population.  Ophthalmic Epidemiol. 2011; 18(5): 226-232.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Gordon M.O., Kass M.A. The Ocular Hypertension Treatment Study. Design and Baseline Description of the Participants. Arch Ophthalmol. 1999; 117(5): 573-583.</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Johnson C.A., Celtner J.L., Cello K.E. et al. Baseline visual field characteristics in the ocular hypertension treatment studyHistorical image. Ophthalmology. 2002; 109(3): 432-437.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Kass M.A., Heuer D.K., Higginbotham E.J. et al.  The Ocular Hypertension Treatment Study: a randomized trial determines that topical ocular hypertensive medication delays or prevents the onset of primary open-angle glaucoma. Arch. Ophthalmol. 2002; 120(6): 701-713.</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Gordon M.O., Beiser J.A., Brandt J.D. et al. The Ocular Hypertension Treatment Study: baseline factors that predict the onset of primary open-angle glaucoma. Arch Ophthalmol 2002; 120(6): 714-720.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Водовозов А.М. Толерантное и интолерантное внутриглазное давление при глаукоме. Волгоград: БИ, 1991: 160.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Le A., Mukesh B.N., McCarty C.A., Taylor H.R. Risk factors associated with the incidence of open-angle glaucoma: the visual impairment project. Invest Ophthalmol Vis Sci. 2003; 44(9): 3783-3789.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Weinreb R.N., Friedman D.S., Fechtner R.D. et al. Risk assessment in the management of patients with ocular hypertension. Am J Ophthalmol. 2004; 138(3): 458-467.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Czudowska M.A., Ramdas W.D., Wolfs R.C., et al. Incidence of glaucomatous visual field loss: a ten-year follow-up from the Rotterdam Study. Ophthalmology. 2010; 117(9): 1705-1712.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Chauhan B.C., Mikelberg F.S. Artes P.H., et al. Canadian Glaucoma Study. Impact of Risk Factors and Intraocular Pressure Reduction on the Rates of Visual Field Change. Arch Ophthalmol. 2010; 128(10): 1249-1255.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Drance S., Anderson D.R., Schulzer M. for the Collaborative Normal-Tension Glaucoma Study Group. Risk factors for progression of visual field abnormalities in normal-tension glaucoma. Am J Ophthalmol 2001; 131(6): 699-708.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Gordon M.O., Kass M.A. What We Have Learned From the Ocular Hypertension Treatment Study. Am J Ophthalmol. 2018;189:xxiv-xxvii.</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 xml:space="preserve">Musch D.C., Gillespie B.W., Lichter P.R., et al. аnd the CIGTS Study Investigators. Visual field progression in the Collaborative Initial Glaucoma Treatment Study the </w:t>
      </w:r>
      <w:r w:rsidRPr="00251421">
        <w:rPr>
          <w:rFonts w:ascii="Times New Roman" w:eastAsia="Times New Roman" w:hAnsi="Times New Roman" w:cs="Times New Roman"/>
          <w:color w:val="222222"/>
          <w:sz w:val="27"/>
          <w:szCs w:val="27"/>
          <w:lang w:eastAsia="ru-RU"/>
        </w:rPr>
        <w:lastRenderedPageBreak/>
        <w:t>impact of treatment and other baseline factors. Ophthalmology 2009; 116(2): 200-207.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Leske M.C., Heijl A., Hyman L., et al. for the EMGT Group. Predictors of long-term progression in the early manifest glaucoma trial. Ophthalmology 2007; 114(11): 1965-1972.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Scheetz T.E., Faga B., Ortega L., et al. Glaucoma Risk Alleles in the Ocular Hypertension Treatment Study (OHTS). Ophthalmology. 2016; 123(12): 2527-2536.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Баранов В.И., БрежневА.Ю. Псевдоэксфолиативный синдром в Центральной России: клинико-эпидемиологическое исследование. Российский офтальмологический журнал. 2012; 5(1): 22-24.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Ritch R. Exfoliation syndrome: the most common identifiable cause of open-angle glaucoma. J Glaucoma 1994; 3(2): 176-178.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Puska P.M. Unilateral exfoliation syndrome: conversion to bilateral exfoliation and to glaucoma: a prospective 10-year follow-up study. J Glaucoma. 2002; 11(6): 517-524.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Jeng S.M., Karger R.A., Hodge D.O. et al. The risk of glaucoma in pseudoexfoliation syndrome. J Glaucoma. 2007; 16(1): 117-121.</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Heijl A., Bengtsson B., Hyman L. et al. Natural history of open angle glaucoma. Ophthalmology. 2009; 116(12): 2271-2276.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Siddiqui Y., Ten Hulzen R.D., Cameron J.D., et al. What is the risk of developing pigmentary glaucoma from pigment dispersion syndrome? Am J Ophthalmol. 2003; 135(6): 794-799.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Niyadurupola N., Broadway D.C. Pigment dispersion syndrome and pigmentary glaucoma - a major review. Clin. Exp. Ophthalmol. 2008; 36(9): 868-882.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Щуко А.Г., Юрьева Т.Н., Чекмарева Л.Т., Малышев В.В. Глаукома и патология радужки. М.: ООО “Компания БОРГЕС”, 2009: 166.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Lascaratos G., Shah A., Garway-Heath D.F. The Genetics of Pigment Dispersion Syndrome and Pigmentary Glaucoma. Surv Ophthalmol. 2013; 58(2): 164-175.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Herndon L.W., Lee D.A., Netland P.A. Rethinking pachymetry and intraocular pressure. Rev Ophthalmol. 2002; 2(1): 88-90.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Brandt J.D., Beiser J.A., Gordon M.O., Kass M.A. Central corneal thickness and measured IOP response to topical ocular hypotensive medication in the Ocular Hypertension Treatment Study. Am J Ophthalmol. 2004: 138(5): 717-722.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Medeiros F.A., Weinreb R.N. Is corneal thickness an independent risk factor for glaucoma? Ophthalmology. 2012; 119(3): 435-436.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Leske M.C., Wu S.Y., Hennis A., et al. Risk factors for incident open-angle glaucoma: the Barbados Eye Studies. Ophthalmology. 2008; 115(1): 85-93.</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Mitchell P., Hourihan F., Sandbach J., Wang J.J. The relationship between glaucoma and myopia: the Blue Mountains Eye Study. Ophthalmology. 1999; 106(10): 2010-2015.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Grodum K., Heijl A., Bengtsson B. Refractive error and glaucoma. Acta Ophthalmol Scand. 2001; 79(6): 560-566.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Wong T.Y., Klein B.E., Klein R., et al. Refractive errors, intraocular pressure, and glaucoma in a white population. Ophthalmology. 2003; 110(1): 211-217.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Xu L., Wang Y., Wang S., Jonas J.B. High myopia and glaucoma susceptibility the Beijing Eye Study. Ophthalmology. 2007; 114(2): 216-220.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Perera S.A., Wong T.Y., Tay W.T., et al. Refractive error, axial dimensions, and primary open-angle glaucoma: the Singapore Malay Eye Study. Arch Ophthalmol. 2010; 128(7): 900-905.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Qiu M., Wang S.Y., Singh K., Lin S.C. Association between myopia and glaucoma in the United States population. Invest Ophthalmol Vis Sci 2013; 54: 830-835.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Tielsch J.M., Katz J., Sommer A., et al. Hypertension, perfusion pressure, and primary open-angle glaucoma. A population-based assessment. Arch Ophthalmol. 1995; 113(2): 216-221.</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Bonomi L., Marchini G., Marraffa M. et al. Vascular risk factors for primary open angle glaucoma: the Egna-Neumarkt Study.  Ophthalmology. 2000; 107(7): 1287-1293.</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Hulsman C.A., Vingerling J.R., Hofman A., et al. Blood pressure, arterial stiffness, and open-angle glaucoma: the Rotterdam study. Arch Ophthalmol. 2007; 125(6): 805-812.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Topouzis F., Wilson M.R., Harris A., et al. Association of open-angle glaucoma with perfusion pressure status in the Thessaloniki Eye Study. Am J Ophthalmol. 2013; 155(5): 843-51.</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Zhao D., Cho J., Kim M.H., Guallar E. The association of blood pressure and primary open-angle glaucoma: a meta-analysis. Am J Ophthalmol. 2014; 158(3): 615-627.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Salles G.F., Reboldi G., Fagard R.H., et al. Prognostic Effect of the Nocturnal Blood Pressure Fall in Hypertensive Patients: The Ambulatory Blood Pressure Collaboration in Patients with Hypertension (ABC-H) Meta-Analysis. Hypertension. 2016; 67(4): 693-700.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Bengtsson B., Leske M.C., Yang Z., Heijl A. Disc hemorrhages and treatment in the early manifest glaucoma trial. Ophthalmology. 2008; 115(11): 2044-2048.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Nouri-Mahdavi K., Hoffman D., Coleman A.L. et al. Predictive Factors for Glaucomatous Visual Field Progression in the Advanced Glaucoma Intervention Study. Ophthalmology. 2004; 111(9): 1627-1635.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Weinreb R.N. Khaw P.T. Primary open-angle glaucoma. Lancet. 2004; 363(9422): 1711-1720.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Orzalesi N., Rossetti L., Omboni S. Vascular risk factors in glaucoma: the results of a national survey. Graefe’s Arch Clin Exp Ophthalmol. 2007; 245(6): 795-802.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Chauhan B.C., Mikelberg F.S., Balaszi A.G., et al. Canadian Glaucoma Study. Risk Factors for the Progression of Open-angle Glaucoma. Arch Ophthalmol. 2008; 126(8): 1030-1036.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Topouzis F., Coleman A.L., Harris A., et al. Factors associated with undiagnosed open-angle glaucoma: the Thessaloniki Eye Study. Am J Ophthalmol. 2008; 145(2): 327-335.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Нестеров А.П. Глаукома. М.: Медицинское информационное агентство, 2008: 360.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Волков В.В., Сухинина Л.Б., Устинова Е.И. Глаукома, преглаукома, офтальмогипертензия. Л.: Медицина, 1985: 216.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Ерошевский Т.И., Бранчевская С.Я., Асланов В.С. Комплексная оценка параметров глазного дна в норме и при глаукоме. Вестник офтальмологии. 1979; 4: 3-5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Ерошевский Т.И., Лукова Н.Б., Куданкина Т.Д., Пятаеа И.Г. О дифференциальной диагностике эссенциальной глазной гипертензии и начальной открытоугольной глаукомы. Вестник офтальмологии. 1983; 4: 3-5.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Crick R.P.  Epidemiology and Screening of Open-Angle Glaucoma. Curr Opin Ophthalmol. 1994; 5(2): 3-9.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Алексеев В.Н., Егоров Е.А., Мартынова Е.Б. О распределении уровней внутриглазного давления в нормальной популяции. РМЖ Клиническая офтальмология. 2001; 2(2): 38-40.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Егоров Е.А., Куроедов А.В. Отдельные клинико-эпидемиологические характеристики глаукомы в странах СНГ и Грузии. Результаты многоцентрового открытого ретроспективного исследования (часть 1). Клиническая офтальмология. 2011; 3: 97-100.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Егоров Е.А., Куроедов А.В. Отдельные клинико-эпидемиологические характеристики глаукомы в странах СНГ и Грузии. Результаты многоцентрового открытого ретроспективного исследования (часть 2).  Клиническая офтальмология. 2012; 1: 19-22.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Нероев В.В., Киселева О.А., Бессмертный А.М. Основные результаты мультицентрового исследования эпидемиологических особенностей первичной открытоугольной глаукомы в Российской Федерации. Российский офтальмологический журнал. 2013; 6(3): 4-7.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Авдеев Р.В., Александров А.С., Басинский А.С. и соавт. Клинико-эпидемиологическое исследование факторов риска развития и прогрессирования глаукомы. Российский офтальмологический журнал. 2013; 6(3): 9-16.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Foster P.J., Buhrmann R., Quigley H.A., Johnson G.J. The definition and classification of glaucoma in prevalence surveys. Br J Ophthalmol. 2002; 86(2): 238-242.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Varma R., Ying-Lai M., Francis B.A., et al. Los Angeles Latino Eye Study Group. Prevalence of open-angle glaucoma and ocular hypertension in Latinos: the Los Angeles Latino Eye Study. Ophthalmology. 2004; 111(8): 1439-1448.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Armaly M.F. The Des Moines population study of glaucoma. IOVS. 1966; 1(5): 618-628.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Удинцов Е.И. Успехи отечественной офтальмологии и профилактика глазных заболеваний. М.: Издательство “Наука”, 1966: 240.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Kini M.M., Leibowitz H.M., Colton T., et al. Prevalence of Senile Cataract, Diabetic Retinopathy, Senile Macular Degeneration, and Open-Angle Glaucoma In The Framingham Eye Study. Am J Ophthalmol. 1978; 85(1): 28-34. https://doi.org/10.1016/s0002-9394(14)76661-9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Chisholm I.A., Drance S.M., To T. The glaucoma suspect: differentiation of the future glaucoma eye from the non-glaucomatous suspect eye. Graefes Clin Exp Ophthalmol. 1989; 227: 110-113.</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Нестеров А.П., Черкасова И.Н., Басинский С.Н. Офтальмогипертензия: результаты десятилетнего динамического наблюдения. Вестник офтальмологии. 1990; 1: 3-5.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Tielsch J.M., Katz J., Singh K., et al. A population-based evaluation of glaucoma screening: the Baltimore Eye Survey. Am J Epidemiol. 1991; 134: 1102-1110.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Leske M.C., Connell A.M., Wu S.Y., et al. Risk factors for open-angle glaucoma: The Barbados eye Study. Arch Ophthalmol. 1995; 113: 918-924.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Страхов В.В., Алексеев В.В. Динамическая ригидометрия. Вестник офтальмологии. 1995; 1: 18-20.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Leske M.C., Connell A.M., Wu S.Y., et al. Distribution of intraocular pressure. The Barbados Eye Study. Arch Ophthalmol. 1997; 115(8): 1051-1507.</w:t>
      </w:r>
    </w:p>
    <w:p w:rsidR="00251421" w:rsidRPr="00251421" w:rsidRDefault="00251421" w:rsidP="00251421">
      <w:pPr>
        <w:numPr>
          <w:ilvl w:val="0"/>
          <w:numId w:val="39"/>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Miglior S., Zeyen T., Pfeiffer N. et al. Results of the European Glaucoma Prevention Study. Ophthalmology.</w:t>
      </w:r>
      <w:r w:rsidRPr="00251421">
        <w:rPr>
          <w:rFonts w:ascii="Times New Roman" w:eastAsia="Times New Roman" w:hAnsi="Times New Roman" w:cs="Times New Roman"/>
          <w:i/>
          <w:iCs/>
          <w:color w:val="333333"/>
          <w:sz w:val="27"/>
          <w:szCs w:val="27"/>
          <w:lang w:eastAsia="ru-RU"/>
        </w:rPr>
        <w:t> </w:t>
      </w:r>
      <w:r w:rsidRPr="00251421">
        <w:rPr>
          <w:rFonts w:ascii="Times New Roman" w:eastAsia="Times New Roman" w:hAnsi="Times New Roman" w:cs="Times New Roman"/>
          <w:color w:val="222222"/>
          <w:sz w:val="27"/>
          <w:szCs w:val="27"/>
          <w:lang w:eastAsia="ru-RU"/>
        </w:rPr>
        <w:t>2005;112(9):366-375.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Behrouzi Z., Rabei H.M., Azizi F., et al. Prevalence of Open-angle Glaucoma, Glaucoma Suspect, and Ocular Hypertension in Thyroid-related Immune Orbitopathy. Glaucoma 2007; 16: 358-362.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Егоров Е.А., Басинский С.Н. Клинические лекции по офтальмологии. М.: Издательская группа «ГЭОТАР-Медиа», 2007: 320.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Khandekar R., Jaffer, M.A., Al-Raisi A., et al. Oman Eye Study 2005: Prevalence and Determinants of Glaucoma. J East Mediterr Health. 2008; 14(6): 1349-1359.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Chihara E. Assessment of true intraocular pressure: the gap between theory and practical data. Surv Ophthalmol. 2008; 53(3): 203-218.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Kornmann H.L., Giaconi J.A. Treatment Initiation in Glaucoma Suspects. US Ophthalmic Rev. 2014; 7(1): 45-49.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Tuli D., Sihota R., Das R.C., et al. Glaucoma Suspect. Delhi J Ophthalmol. 2014; 24(3): 199-206.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Saboo U.S., Amparo F., Shikari H., Dana R. Prevalence of Ocular Hypertension and Glaucoma in Patients with Chronic Ocular Graft-versus-host Disease. Graefes Arch Clin Exp Ophthalmol. 2016; 254(5): 923-928.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Авдеев Р.В., Александров А.С., Бакунина Н.А. и др. Подозрение и начальная стадия глаукомы: дифференциально-диагностические критерии». Российский офтальмологический журнал. 2017; 4: 5-15.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Al-Aswad L.A., Joiner D.B., Wang X. et al.  Screening for glaucoma in populations at high risk: The eye screening New York project. Cogent Medicine. 2017: 4: 1367059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Modjtahedi B.S., Chu K., Luong T.Q., et al. Two-year outcomes of a pilot glaucoma suspect telemedicine monitoring program. Clin Ophthalmol. 2018;12: 2095-2102.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Еричев В.П., Панюшкина Л.А. Современный взгляд на офтальмогипертензию. Вестник офтальмологии. 2019; 5: 305-311.</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Devalla S.K., Liang Z., Pham T.H. et al. Glaucoma management in the era of artificial intelligence. Br J Ophthalmol 2019; 104(3): 301-311.</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Chamard C., Villain M., Bron A. et al. Prevalence of Unknown Ocular Hypertension, Glaucoma Suspects, and Glaucoma in Patients Seen in an Ophthalmology Center in France. Ophthalmic Res. 2020; 63(3): 295-301.</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Kelly S.R., Khawaja A.P., Bryan S.R. et al. Progression from ocular hypertension to visual field loss in the English hospital eye service. Br J Ophthalmol. 2020. doi: 10.1136/bjophthalmol-2019-315052.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Phu J., Khuu S.K., Agar A. et al. Visualizing the Consistency of Clinical Characteristics that Distinguish Healthy Persons, Glaucoma Suspect Patients, and Manifest Glaucoma Patients. Ophthalmology. Glaucoma. 2020; 3: 274-287.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Leibowitz H.M., Krueger D.E., Maunder L.R. et al. The Framingham Eye Study monograph: an ophthalmological and epidemiological study of cataract, glaucoma, diabetic retinopathy, macular degeneration, and visual acuity in a general population of 2631 adults, 1973-1975. Surv Ophthalmol. 1980; 24(Suppl): 335-610.</w:t>
      </w:r>
    </w:p>
    <w:p w:rsidR="00251421" w:rsidRPr="00251421" w:rsidRDefault="00251421" w:rsidP="00251421">
      <w:pPr>
        <w:numPr>
          <w:ilvl w:val="0"/>
          <w:numId w:val="39"/>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International Statistical Classification of Diseases and Related Health Problems 10</w:t>
      </w:r>
      <w:r w:rsidRPr="00251421">
        <w:rPr>
          <w:rFonts w:ascii="Times New Roman" w:eastAsia="Times New Roman" w:hAnsi="Times New Roman" w:cs="Times New Roman"/>
          <w:color w:val="222222"/>
          <w:sz w:val="20"/>
          <w:szCs w:val="20"/>
          <w:vertAlign w:val="superscript"/>
          <w:lang w:eastAsia="ru-RU"/>
        </w:rPr>
        <w:t>th</w:t>
      </w:r>
      <w:r w:rsidRPr="00251421">
        <w:rPr>
          <w:rFonts w:ascii="Times New Roman" w:eastAsia="Times New Roman" w:hAnsi="Times New Roman" w:cs="Times New Roman"/>
          <w:color w:val="222222"/>
          <w:sz w:val="27"/>
          <w:szCs w:val="27"/>
          <w:lang w:eastAsia="ru-RU"/>
        </w:rPr>
        <w:t> Revision (ICD-10). WHO Version for; 2016. URL:</w:t>
      </w:r>
      <w:hyperlink r:id="rId6" w:anchor="/H40-H42" w:history="1">
        <w:r w:rsidRPr="00251421">
          <w:rPr>
            <w:rFonts w:ascii="Times New Roman" w:eastAsia="Times New Roman" w:hAnsi="Times New Roman" w:cs="Times New Roman"/>
            <w:color w:val="1976D2"/>
            <w:sz w:val="27"/>
            <w:szCs w:val="27"/>
            <w:u w:val="single"/>
            <w:lang w:eastAsia="ru-RU"/>
          </w:rPr>
          <w:t> https://icd.who.int/browse10/2016/en#/H40-H42</w:t>
        </w:r>
      </w:hyperlink>
      <w:r w:rsidRPr="00251421">
        <w:rPr>
          <w:rFonts w:ascii="Times New Roman" w:eastAsia="Times New Roman" w:hAnsi="Times New Roman" w:cs="Times New Roman"/>
          <w:color w:val="222222"/>
          <w:sz w:val="27"/>
          <w:szCs w:val="27"/>
          <w:lang w:eastAsia="ru-RU"/>
        </w:rPr>
        <w:t> (дата обращения 25.05.2024).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Buck"s 2019 ICD-10-CM Physician Edition E-Book, 1st Ed. New York: Saunders, 2019: 1600.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Нестеров А.П., Бунин А.Я. О новой классификации первичной глаукомы. Вестник офтальмологии. 1977; 5; 38-42.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Нестеров А.П., Егоров Е.А. Классификация глаукомы. Клиническая офтальмология. 2001; 2(2): 35-37.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Malik R., Swanson W.H., Garway-Heath D.F. «Structure-function relationship» in glaucoma: past thinking and current concepts. Clin Exp Ophthalmol. 2012; 40: 369-380.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Bierings R.A.J.M., van Sonderen F.L.P. Jansonius N.M.  Visual    complaints of patients with glaucoma and controls under optimal and extreme luminance conditions. Acta Ophthalmol. 2018; 96(3): 288-294.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Enoch J., Jones L., Taylor D.J. et al. How do different lighting conditions affect the vision and quality of life of people with glaucoma? A systematic review. Eye. 2020; 34(1): 138-154.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Peters D., Bengtsson B., Heijl A. Factors associated with lifetime risk of open-angle glaucoma blindness. Acta Ophthalmologica. 2014; 92(5): 421-425.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Friedman D.S., Wilson M.R., Liebmann J.M. et al. An evidence-based assessment of risk factors for the progression of ocular hypertension and glaucoma. Am J Ophthalmol. 2004; 138(3): 19-31.</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Coleman AL, Miglior S. Risk factors for glaucoma onset and progression. Surv Ophthalmol. 2008; 53(1):3-10.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Intraocular Pressure. Consensus Series - 4. / Ed. R.N. Weinreb, J.D. Brandt, D. Garway-Heath, F. Medeiros. Amsterdam: Kugler Publications, 2007: 128.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Diagnosis of Primary Open Angle Glaucoma. Consensus Series - 10 / Ed. R.N. Weinreb., D. Garway-Heath, C. Leung, F. Medeiros, J. Liebmann. Amsterdam: Kugler Publications, 2017: 234.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Quigley H.A., Katz.J., Derick.R.J.et al. An evaluation of optic disc and nerve fiber layer examinations in monitoring progression of early glaucoma damage. Ophthalmology 1992; 99:19-28.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Quigley H.A., Addicks E.M., Green W.R. Optic nerve damage in human glaucoma. III. Quantitative correlation of nerve fiber loss and visual field defects in glaucoma, ischemic neuropathy, papilledema and toxic neuropathy. Arch Ophthalmol. 1982; 100: 135-146.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Quigley H.A., Dunkelberger G.R., Green W.R. Retinal ganglion cell atrophy correlated with automated perimetry in human eyes with glaucomа. Am J Ophthalmol. 1989; 107(5): 453-464.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Anton A., Zangwill L., Emdadi A. et al. Nerve fiber layer measurements with scanning laser polarimetry in ocular hypertension. Arch Ophthalmol. 1997; 115: 331-334.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Егоров Е.А., Нестеров А.П. Первичная открытоугольная глаукома / в кн. Офтальмология. Национальное руководство под. ред. С.Э. Аветисова, Е.А. Егорова, Л.К. Мошетовой, Х.П. Тахчиди. М.: ГЭОТАР-Медиа, 2018: 713-726.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Cook J.A., Botello A.P., Elders A., et al. Systematic review of the agreement of tonometers with Goldmann applanation tonometry. Ophthalmology. 2012; 119(8): 1552-1557.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Sagri D., Lösche C.C., Bestges B.B., Krummenauer F. Is There Really Agreement between Rebound and Goldmann Applanation Tonometry Methods? Results of a Systematic Review of the Period 01/2005 to 08/2014. Klin Monbl Augenheilkd. 2015; 232(7): 850-857.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Балашевич Л.И., Качанов А.Б., Никулин С.А. и др. Влияние толщины роговицы на пневмотонометрические показатели внутриглазного давления. Офтальмохирургия. 2005; 1: 31-33.</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Алексеев В.Н., Егоров Е.А., Мартынова Е.Б. О распределении уровней внутриглазного давления в нормальной популяции. РМЖ. Клиническая офтальмология. 2001; 2(2): 38-40.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Егоров Е.А., Еричев В.П., Куроедов А.В. и др. Показатели офтальмотонометрии в здоровой популяции. Национальный журнал глаукома. 2018; 17(2): 91-98.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Colton D., Ederer F. The Distribution of Intraocular Pressure in the General Population. Surv Ophthalmol. 1980; 25(3): 123-129.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Егоров Е.А., Петров С.Ю., Городничий В.В. и др. Тонометрическое внутриглазное давление у взрослого населения: популяционное исследование. Национальный журнал глаукома. 2020; 19(2): 39-50.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Ittoop S.M., SooHoo J.R., Seibold L.K. et al. Systematic Review of Current Devices for 24-h Intraocular Pressure Monitoring. Adv Ther. 2016; 33(10): 1679-1690.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Konstas A.G., Kahook M.Y., Araie M. et al. Diurnal and 24-h Intraocular Pressures in Glaucoma: Monitoring Strategies and Impact on Prognosis and Treatment. Adv Ther. 2018. 35(11): 1775-1804.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Краснов М.М. Клиностатическая проба для ранней диагностики глаукомы. Вестник офтальмологии. 1963; 1: 26-28.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Хадикова Э.В. Ортостатические колебания уровня внутриглазного давления в норме и при глаукоме. Вестник ОГУ. 2004; 12: 45-46.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Prata T.S., De Moraes C.G., Kanadani F.N. Posture-induced intraocular pressure changes: considerations regarding body position in glaucoma patients. Surv Ophthalmol. 2010; 55(5): 445-453.</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Нестеров А.П., Егоров Е.А. Клинические особенности глаукоматозной атрофии зрительного нерва. Вестник офтальмологии. 1978; 1: 5-8.</w:t>
      </w:r>
    </w:p>
    <w:p w:rsidR="00251421" w:rsidRPr="00251421" w:rsidRDefault="00251421" w:rsidP="00251421">
      <w:pPr>
        <w:numPr>
          <w:ilvl w:val="0"/>
          <w:numId w:val="39"/>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Saccà S.C.,</w:t>
      </w:r>
      <w:hyperlink r:id="rId7" w:history="1">
        <w:r w:rsidRPr="00251421">
          <w:rPr>
            <w:rFonts w:ascii="Times New Roman" w:eastAsia="Times New Roman" w:hAnsi="Times New Roman" w:cs="Times New Roman"/>
            <w:color w:val="1976D2"/>
            <w:sz w:val="27"/>
            <w:szCs w:val="27"/>
            <w:u w:val="single"/>
            <w:lang w:eastAsia="ru-RU"/>
          </w:rPr>
          <w:t> </w:t>
        </w:r>
      </w:hyperlink>
      <w:r w:rsidRPr="00251421">
        <w:rPr>
          <w:rFonts w:ascii="Times New Roman" w:eastAsia="Times New Roman" w:hAnsi="Times New Roman" w:cs="Times New Roman"/>
          <w:color w:val="222222"/>
          <w:sz w:val="27"/>
          <w:szCs w:val="27"/>
          <w:lang w:eastAsia="ru-RU"/>
        </w:rPr>
        <w:t>Rolando M.,</w:t>
      </w:r>
      <w:hyperlink r:id="rId8" w:history="1">
        <w:r w:rsidRPr="00251421">
          <w:rPr>
            <w:rFonts w:ascii="Times New Roman" w:eastAsia="Times New Roman" w:hAnsi="Times New Roman" w:cs="Times New Roman"/>
            <w:color w:val="1976D2"/>
            <w:sz w:val="27"/>
            <w:szCs w:val="27"/>
            <w:u w:val="single"/>
            <w:lang w:eastAsia="ru-RU"/>
          </w:rPr>
          <w:t> </w:t>
        </w:r>
      </w:hyperlink>
      <w:r w:rsidRPr="00251421">
        <w:rPr>
          <w:rFonts w:ascii="Times New Roman" w:eastAsia="Times New Roman" w:hAnsi="Times New Roman" w:cs="Times New Roman"/>
          <w:color w:val="222222"/>
          <w:sz w:val="27"/>
          <w:szCs w:val="27"/>
          <w:lang w:eastAsia="ru-RU"/>
        </w:rPr>
        <w:t>Marletta A. et al. Fluctuations of intraocular pressure during the day in open-angle glaucoma, normal-tension glaucoma and normal subjects.</w:t>
      </w:r>
      <w:hyperlink r:id="rId9" w:history="1">
        <w:r w:rsidRPr="00251421">
          <w:rPr>
            <w:rFonts w:ascii="Times New Roman" w:eastAsia="Times New Roman" w:hAnsi="Times New Roman" w:cs="Times New Roman"/>
            <w:color w:val="1976D2"/>
            <w:sz w:val="27"/>
            <w:szCs w:val="27"/>
            <w:u w:val="single"/>
            <w:lang w:eastAsia="ru-RU"/>
          </w:rPr>
          <w:t> </w:t>
        </w:r>
      </w:hyperlink>
      <w:r w:rsidRPr="00251421">
        <w:rPr>
          <w:rFonts w:ascii="Times New Roman" w:eastAsia="Times New Roman" w:hAnsi="Times New Roman" w:cs="Times New Roman"/>
          <w:color w:val="222222"/>
          <w:sz w:val="27"/>
          <w:szCs w:val="27"/>
          <w:lang w:eastAsia="ru-RU"/>
        </w:rPr>
        <w:t>Ophthalmologica. 1998; 212(2): 115-119.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Bengtsson B., Leske M.C., Hyman L., Heijl A. Fluctuation of intraocular pressure and glaucoma progression in the early manifest glaucoma trial. Ophthalmology. 2007; 114(2): 205-209.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Астахов Ю.С., Устинова Е.И., Катинас Г.С. и др. О традиционных и современных способах исследования колебаний офтальмотонуса. Офтальмологические ведомости. 2008; 1(2): 7-12.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Leske M.C., Heijl A., Hussein M., Bengtsson B., Hyman L., Komaroff E. Factors for glaucoma progression and the effect of treatment: the early manifest glaucoma trial. Arch Ophthalmol. 2003; 121(1): 48-56.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Stewart W.C., Konstas A.G.P., Nelson L.A., Kruft B. Meta-analysis of 24-hour intraocular pressure studies evaluating the efficacy of glaucoma medicines. Ophthalmology.  2008; 115(7): 1117-1122.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Абышева Л.Д., Авдеев Р.В., Александров А.С. и др. Оптимальные характеристики верхней границы офтальмотонуса у пациентов с развитой стадией первичной открытоугольной глаукомы с точки зрения доказательной медицины. Клиническая офтальмология. 2015; 3: 111-123</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Diaconita V., Quinn M., Jamal D., et al. Washout Duration of Prostaglandin Analogues: A Systematic Review and Meta-analysis. J Ophthalmol. 2018; 2018: 3190684.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Congdon N.G., Spaeth G.L., Augsburger J., et al. A proposed simple method for measurement in the anterior chamber angle: biometric gonioscopy. Ophthalmology. 1999; 106(11): 2161-2167.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Шульпина Н.Б. Биомикроскопия глаза. М.: Медицина. 1974: 264.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Spaeth G.L. The normal development of the human anterior chamber angle: a new system of descriptive grading. Trans. Ophthalmol. Soc. UK. 1971;91:709-739.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Gonioscopy anatomy of the angle of the anterior chamber of the eye. In. SRe, ed. In: Shaffer R.N. Stereoscopic manual of gonioscopy. St. Louis, Mosby, 1962: 92.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Sakata L.M., Lavanya R., Friedman D.S. et al. Comparison of gonioscopy and anterior segment ocular coherence tomography in detecting angle closure in different quadrants of the anterior chamber angle. Ophthalmology. 2008; 115(5): 769-774.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Jonas J.B., Gusek G.C., Naumann G.O.H. Optic disc, cup and neuroretinal rim size, configuration and correlations in normal eyes. Invest Ophthalmol Vis Sci. 1998; 29(7): 1151-1158.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Morgan J.E., Bourtsoukli I., Rajkumar K.N., et al. The accuracy of the inferior.superior.nasal.temporal neuroretinal rim area rule for diagnosing glaucomatous optic disc damage. Ophthalmology. 2012; 119(4): 723-730.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Harizman N., Oliveira C., Chiang A., et al. The ISNT rule and differentiation of normal from glaucomatous eyes. Arch Ophthalmol. 2006; 124: 1579-1583.</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Куроедов А.В., Городничий В.В., Огородникова В.Ю. и др. Офтальмоскопическая характеристика изменений диска зрительного нерва и слоя нервных волокон при глаукоме (пособие для врачей). М.: «Дом печати «Столичный бизнес», 2011: 48.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Егоров Е.А. Фото- и стереофотографические методики изучения глазного дна. Военно-медицинский журнал. 1977; 5: 46-47.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Glaucoma Imaging / Eds. Iester M., Garway-Heath D., Lemij H. Savona: PubliComm, 2017: 144.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Spaeth G.L., Henderer J., Liu C., et al. The disc damage likelihood scale: reproducibility of a new method of estimating the amount of optic nerve damage caused by glaucoma. Trans Am Ophthalmol Soc. 2002; 100: 181-185.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Ernest P., Viechtbauer W., Schouten J.S., et al. The influence of the assessment method on the incidence of visual field progression in glaucoma: a network meta-analysis. Acta Ophthalmol. 2012; 90(1): 10-19.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Yanagisawa M., Murata H., Matsuura M., et al. Investigating the structure-function relationship using Goldmann V standard automated perimetry where glaucomatous damage is advanced. Ophthalmic Physiol Opt. 2019; 39: 441-450.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Mowatt G., Burr J.M., Cook J.A., et al. Screening tests for detecting open-angle glaucoma: systematic review and meta-analysis. Invest Ophthalmol Vis Sci. 2008; 49(12): 5373-5385.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Doughty M.J., Zaman M.L. Human corneal thickness and its impact on intraocular pressure measures: a review and meta-analysis approach. Surv Ophthalmol. 2000; 44(5): 367-408.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Ehlers N., Bramsen T., Sperling S. Applanation tonometry and central corneal thickness. Acta Ophthalmol (Copenh). 1975; 53(1): 34-43.</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Belovay G.W., Goldberg I. The thick and thin of the central corneal thickness in glaucoma. Eye (Lond). 2018; 32(5): 915-923.</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Аветисов С.Э., Бубнова И.А., Антонов А.А. Биомеханические свойства роговицы: клиническое значение, методы исследования, возможности систематизации подходов к изучению. Вестник офтальмологии. 2010; 126(6): 3-7.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Herman D.C. Increased corneal thickness in patients with ocular hypertension. Arch. Ophthalmol. 2001; 119(3): 334-336.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Kansal V., Armstrong J.J., Pintwala R., Hutnik C. Optical coherence tomography for glaucoma diagnosis: An evidence based meta-analysis. PLoS One. 2018; 13(1): e0190621.</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Нероев В.В., Шамшинова А.М. Электрофизиологические методы исследования / В кн. Офтальмология. Национальное руководство под ред. С.Э. Аветисова, Е.А. Егорова, Л.К. Мошетовой, В.В. Нероева, Х.П. Тахчиди. М.: ГЭОТАР-Медиа, 2008: 159-175.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Волков В.В. Глаукома открытоугольная. М.: Медицинское информационное агентство, 2008: 352.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Волков В.В. Глаукома при псевдонормальном давлении. М.: Медицина, 2001: 352.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The effectiveness of intraocular pressure reduction in the treatment of normal-tension glaucoma. Collaborative Normal-Tension Glaucoma Study Group. Am J Ophthalmol. 1998; 126(4): 498-505.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Lichter P.R., Musch D.C., Gillespie B.W. et al. Interim clinical outcomes in the Collaborative Initial Glaucoma Treatment Study comparing initial treatment randomized to medications or surgery. Ophthalmology. 2001; 108(11): 1943-1953.</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Heijl A., Leske M.C., Bengtsson B. et al. Reduction of intraocular pressure and glaucoma progression: results from the Early Manifest Glaucoma Trial. Arch Ophthalmol. 2002. 120(10): 1268-1279.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Авдеев Р.В., Александров А.С., Бакунина Н.А. и др. Сопоставление режимов лечения больных с первичной открытоугольной глаукомой с характеристиками прогрессирования заболевания. Часть 1. Состояние показателей офтальмотонуса. Национальный журнал глаукома. 2018; 17(1): 14-28.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Musch D.C., Gillespie B.W., Niziol L.M. et al. CIGTS Study Group. Intraocular pressure control and long-term visual field loss in the Collaborative Initial Glaucoma Treatment Study. Ophthalmology. 2011; 118(9): 1766-1773.</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Chauhan B.C., Garway-Heath D.F., Goni F.J. et al. Practical recommendations for measuring rates of visual field change in glaucoma. Br J Ophthalmol 2008; 92: 569-573.</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Budenz D.L., Anderson D.R., Feuer W.J. et al. Detection and prognostic significance of optic disc hemorrhages during the Ocular Hypertension Treatment Study. Ophthalmology. 2006;113(12):2137-2143</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Herman D.C., Gordon M.O., Beiser J.A. et al. Topical ocular hypotensive medication and lens opacification: evidence from the ocular hypertension treatment study. Am J Ophthalmol. 2006; 142(5): 800-810;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Bhorade A.M., Wilson B.S., Gordon M.O. et al. The utility of the monocular trial: data from the ocular hypertension treatment study. Ophthalmology. 2010; 117(11): 2047-2054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Barnett E.M., Fantin A., Wilson B.S. et al. The incidence of retinal vein occlusion in the ocular hypertension treatment study. Ophthalmology. 2010; 117(3): 484-488.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Miglior S., Pfeiffer N., Torri V. et al. Predictive factors for open-angle glaucoma among patients with ocular hypertension in the European Glaucoma Prevention Study. Ophthalmology. 2007; 114(1): 3-9.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Medical Treatment of Glaucoma. WGA Consensus Series - 7. / Eds. Weinreb R., Makoto A., Susanna R., Goldberg I., Migdal C., Liebmann J. Kugler Publications, 2010: 309.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Kobelt G. Comparative data for all countries. In: Primary open-angle glaucoma. Differences in international treatment patterns and costs. / Eds. Jönsson B., Krieglstein G. Oxford, England: ISIS Medical Media, 1998: 116-126.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Куроедов А.В., Брежнев А.Ю., Ловпаче Дж.Н. и др. Целесообразность применения дифференцированных («ступенчатых») стартовых подходов к лечению больных с разными стадиями глаукомы. Национальный журнал глаукома. 2018; 3: 77-85.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Куроедов А.В., Кондракова И.В., Городничий В.В., Гапонько О.В Клинические возможности предотвращения толератности при использовании комбинированной терапии у больных с первичной открытоугольной глаукомой. Военно-медицинский журнал. 2019; 5: 50-58.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Li T., Lindsley K., Rouse B., et al. Comparative Effectiveness of First-Line Medications for Primary Open-Angle Glaucoma: A Systematic Review and Network Meta-analysis. Ophthalmology. 2016; 123(1): 129-140.</w:t>
      </w:r>
    </w:p>
    <w:p w:rsidR="00251421" w:rsidRPr="00251421" w:rsidRDefault="00251421" w:rsidP="00251421">
      <w:pPr>
        <w:numPr>
          <w:ilvl w:val="0"/>
          <w:numId w:val="39"/>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Li F.,</w:t>
      </w:r>
      <w:hyperlink r:id="rId10" w:history="1">
        <w:r w:rsidRPr="00251421">
          <w:rPr>
            <w:rFonts w:ascii="Times New Roman" w:eastAsia="Times New Roman" w:hAnsi="Times New Roman" w:cs="Times New Roman"/>
            <w:color w:val="1976D2"/>
            <w:sz w:val="27"/>
            <w:szCs w:val="27"/>
            <w:u w:val="single"/>
            <w:lang w:eastAsia="ru-RU"/>
          </w:rPr>
          <w:t> </w:t>
        </w:r>
      </w:hyperlink>
      <w:r w:rsidRPr="00251421">
        <w:rPr>
          <w:rFonts w:ascii="Times New Roman" w:eastAsia="Times New Roman" w:hAnsi="Times New Roman" w:cs="Times New Roman"/>
          <w:color w:val="222222"/>
          <w:sz w:val="27"/>
          <w:szCs w:val="27"/>
          <w:lang w:eastAsia="ru-RU"/>
        </w:rPr>
        <w:t>Huang W.,</w:t>
      </w:r>
      <w:hyperlink r:id="rId11" w:history="1">
        <w:r w:rsidRPr="00251421">
          <w:rPr>
            <w:rFonts w:ascii="Times New Roman" w:eastAsia="Times New Roman" w:hAnsi="Times New Roman" w:cs="Times New Roman"/>
            <w:color w:val="1976D2"/>
            <w:sz w:val="27"/>
            <w:szCs w:val="27"/>
            <w:u w:val="single"/>
            <w:lang w:eastAsia="ru-RU"/>
          </w:rPr>
          <w:t> </w:t>
        </w:r>
      </w:hyperlink>
      <w:r w:rsidRPr="00251421">
        <w:rPr>
          <w:rFonts w:ascii="Times New Roman" w:eastAsia="Times New Roman" w:hAnsi="Times New Roman" w:cs="Times New Roman"/>
          <w:color w:val="222222"/>
          <w:sz w:val="27"/>
          <w:szCs w:val="27"/>
          <w:lang w:eastAsia="ru-RU"/>
        </w:rPr>
        <w:t>Zhang X. Efficacy and safety of different regimens for primary open-angle glaucoma or ocular hypertension: a systematic review and network meta-analysis</w:t>
      </w:r>
      <w:hyperlink r:id="rId12" w:history="1">
        <w:r w:rsidRPr="00251421">
          <w:rPr>
            <w:rFonts w:ascii="Times New Roman" w:eastAsia="Times New Roman" w:hAnsi="Times New Roman" w:cs="Times New Roman"/>
            <w:color w:val="1976D2"/>
            <w:sz w:val="27"/>
            <w:szCs w:val="27"/>
            <w:u w:val="single"/>
            <w:lang w:eastAsia="ru-RU"/>
          </w:rPr>
          <w:t> </w:t>
        </w:r>
      </w:hyperlink>
      <w:r w:rsidRPr="00251421">
        <w:rPr>
          <w:rFonts w:ascii="Times New Roman" w:eastAsia="Times New Roman" w:hAnsi="Times New Roman" w:cs="Times New Roman"/>
          <w:color w:val="222222"/>
          <w:sz w:val="27"/>
          <w:szCs w:val="27"/>
          <w:lang w:eastAsia="ru-RU"/>
        </w:rPr>
        <w:t>Acta Ophthalmol. 2018; 96(3): e277-e284.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Fung A.T., Reid S.E., Jones M.P., et al. Meta-analysis of randomised controlled trials comparing latanoprost with brimonidine in the treatment of open-angle glaucoma, ocular hypertension or normal-tension glaucoma. Br J Ophthalmol. 2007; 91(1): 62-68.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Tang W., Zhang F., Liu K., et al. Efficacy and safety of prostaglandin analogues in primary open-angle glaucoma or ocular hypertension patients. A meta-analysis. Medicine. 2019; 98(30): e16597.</w:t>
      </w:r>
    </w:p>
    <w:p w:rsidR="00251421" w:rsidRPr="00251421" w:rsidRDefault="00251421" w:rsidP="00251421">
      <w:pPr>
        <w:numPr>
          <w:ilvl w:val="0"/>
          <w:numId w:val="39"/>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Konstas A.G.,</w:t>
      </w:r>
      <w:hyperlink r:id="rId13" w:history="1">
        <w:r w:rsidRPr="00251421">
          <w:rPr>
            <w:rFonts w:ascii="Times New Roman" w:eastAsia="Times New Roman" w:hAnsi="Times New Roman" w:cs="Times New Roman"/>
            <w:color w:val="1976D2"/>
            <w:sz w:val="27"/>
            <w:szCs w:val="27"/>
            <w:u w:val="single"/>
            <w:lang w:eastAsia="ru-RU"/>
          </w:rPr>
          <w:t> </w:t>
        </w:r>
      </w:hyperlink>
      <w:r w:rsidRPr="00251421">
        <w:rPr>
          <w:rFonts w:ascii="Times New Roman" w:eastAsia="Times New Roman" w:hAnsi="Times New Roman" w:cs="Times New Roman"/>
          <w:color w:val="222222"/>
          <w:sz w:val="27"/>
          <w:szCs w:val="27"/>
          <w:lang w:eastAsia="ru-RU"/>
        </w:rPr>
        <w:t>Katsanos A.G.,</w:t>
      </w:r>
      <w:hyperlink r:id="rId14" w:history="1">
        <w:r w:rsidRPr="00251421">
          <w:rPr>
            <w:rFonts w:ascii="Times New Roman" w:eastAsia="Times New Roman" w:hAnsi="Times New Roman" w:cs="Times New Roman"/>
            <w:color w:val="1976D2"/>
            <w:sz w:val="27"/>
            <w:szCs w:val="27"/>
            <w:u w:val="single"/>
            <w:lang w:eastAsia="ru-RU"/>
          </w:rPr>
          <w:t> </w:t>
        </w:r>
      </w:hyperlink>
      <w:r w:rsidRPr="00251421">
        <w:rPr>
          <w:rFonts w:ascii="Times New Roman" w:eastAsia="Times New Roman" w:hAnsi="Times New Roman" w:cs="Times New Roman"/>
          <w:color w:val="222222"/>
          <w:sz w:val="27"/>
          <w:szCs w:val="27"/>
          <w:lang w:eastAsia="ru-RU"/>
        </w:rPr>
        <w:t>Quaranta L., et al. Twenty-four hour efficacy of glaucoma medications.</w:t>
      </w:r>
      <w:hyperlink r:id="rId15" w:history="1">
        <w:r w:rsidRPr="00251421">
          <w:rPr>
            <w:rFonts w:ascii="Times New Roman" w:eastAsia="Times New Roman" w:hAnsi="Times New Roman" w:cs="Times New Roman"/>
            <w:color w:val="1976D2"/>
            <w:sz w:val="27"/>
            <w:szCs w:val="27"/>
            <w:u w:val="single"/>
            <w:lang w:eastAsia="ru-RU"/>
          </w:rPr>
          <w:t> </w:t>
        </w:r>
      </w:hyperlink>
      <w:r w:rsidRPr="00251421">
        <w:rPr>
          <w:rFonts w:ascii="Times New Roman" w:eastAsia="Times New Roman" w:hAnsi="Times New Roman" w:cs="Times New Roman"/>
          <w:color w:val="222222"/>
          <w:sz w:val="27"/>
          <w:szCs w:val="27"/>
          <w:lang w:eastAsia="ru-RU"/>
        </w:rPr>
        <w:t>Prog Brain Res. 2015; 221: 297-318.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Van der Valk R., Webers S.A.B., Schouten J.S.A.G., et al. Intraocular pressure-lowering effects of all commonly used glaucoma drugs: a meta-analysis of randomized clinical trials. Ophthalmology. 2005; 112(7): 1177-1185.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Erb C. Glaucoma and Dry Eye. Bremen: UNI-MED Verlag AG, 2012: 102.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Erb C., Lanzl I., Seidova S.F., Kimmich F. Preservative-free tafluprost 0.0015% in the treatment of patients with glaucoma and ocular hypertension. Adv Ther. 2011; 28(7): 575-585.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Uusitalo H., Egorov E., Kaarniranta K., et al. Benefits of switching from latanoprost to preservative-free tafluprost eye drops: a meta-analysis of two Phase IIIb clinical trials. Clin Ophthalmol. 2016; 10: 445-454.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Zhang X., Vadoothker S., Munir W.M., Saeedi O. Ocular Surface Disease and Glaucoma Medications: A Clinical Approach. Eye Contact Lens. 2019; 45(1): 11-18.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Бржеский В.В. Глаукома и синдром «сухого» глаза. М.: ООО «Компания БОРГЕС», 2018: 228.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Lin L., Zhao Y.J., Chew P.T., et al. Comparative efficacy and tolerability of topical prostaglandin analogues for primary open-angle glaucoma and ocular hypertension. Ann Pharmacother. 2014; 48(12): 1585-1593.</w:t>
      </w:r>
    </w:p>
    <w:p w:rsidR="00251421" w:rsidRPr="00251421" w:rsidRDefault="00251421" w:rsidP="00251421">
      <w:pPr>
        <w:numPr>
          <w:ilvl w:val="0"/>
          <w:numId w:val="39"/>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Liu A.W.,</w:t>
      </w:r>
      <w:hyperlink r:id="rId16" w:history="1">
        <w:r w:rsidRPr="00251421">
          <w:rPr>
            <w:rFonts w:ascii="Times New Roman" w:eastAsia="Times New Roman" w:hAnsi="Times New Roman" w:cs="Times New Roman"/>
            <w:color w:val="1976D2"/>
            <w:sz w:val="27"/>
            <w:szCs w:val="27"/>
            <w:u w:val="single"/>
            <w:lang w:eastAsia="ru-RU"/>
          </w:rPr>
          <w:t> </w:t>
        </w:r>
      </w:hyperlink>
      <w:r w:rsidRPr="00251421">
        <w:rPr>
          <w:rFonts w:ascii="Times New Roman" w:eastAsia="Times New Roman" w:hAnsi="Times New Roman" w:cs="Times New Roman"/>
          <w:color w:val="222222"/>
          <w:sz w:val="27"/>
          <w:szCs w:val="27"/>
          <w:lang w:eastAsia="ru-RU"/>
        </w:rPr>
        <w:t>Gan L.Y.,</w:t>
      </w:r>
      <w:hyperlink r:id="rId17" w:history="1">
        <w:r w:rsidRPr="00251421">
          <w:rPr>
            <w:rFonts w:ascii="Times New Roman" w:eastAsia="Times New Roman" w:hAnsi="Times New Roman" w:cs="Times New Roman"/>
            <w:color w:val="1976D2"/>
            <w:sz w:val="27"/>
            <w:szCs w:val="27"/>
            <w:u w:val="single"/>
            <w:lang w:eastAsia="ru-RU"/>
          </w:rPr>
          <w:t> </w:t>
        </w:r>
      </w:hyperlink>
      <w:r w:rsidRPr="00251421">
        <w:rPr>
          <w:rFonts w:ascii="Times New Roman" w:eastAsia="Times New Roman" w:hAnsi="Times New Roman" w:cs="Times New Roman"/>
          <w:color w:val="222222"/>
          <w:sz w:val="27"/>
          <w:szCs w:val="27"/>
          <w:lang w:eastAsia="ru-RU"/>
        </w:rPr>
        <w:t>Yao X.,</w:t>
      </w:r>
      <w:hyperlink r:id="rId18" w:history="1">
        <w:r w:rsidRPr="00251421">
          <w:rPr>
            <w:rFonts w:ascii="Times New Roman" w:eastAsia="Times New Roman" w:hAnsi="Times New Roman" w:cs="Times New Roman"/>
            <w:color w:val="1976D2"/>
            <w:sz w:val="27"/>
            <w:szCs w:val="27"/>
            <w:u w:val="single"/>
            <w:lang w:eastAsia="ru-RU"/>
          </w:rPr>
          <w:t> </w:t>
        </w:r>
      </w:hyperlink>
      <w:r w:rsidRPr="00251421">
        <w:rPr>
          <w:rFonts w:ascii="Times New Roman" w:eastAsia="Times New Roman" w:hAnsi="Times New Roman" w:cs="Times New Roman"/>
          <w:color w:val="222222"/>
          <w:sz w:val="27"/>
          <w:szCs w:val="27"/>
          <w:lang w:eastAsia="ru-RU"/>
        </w:rPr>
        <w:t>Zhou J. Long-term assessment of prostaglandin analogs and timolol fixed combinations vs prostaglandin analogs monotherapy.</w:t>
      </w:r>
      <w:hyperlink r:id="rId19" w:history="1">
        <w:r w:rsidRPr="00251421">
          <w:rPr>
            <w:rFonts w:ascii="Times New Roman" w:eastAsia="Times New Roman" w:hAnsi="Times New Roman" w:cs="Times New Roman"/>
            <w:color w:val="1976D2"/>
            <w:sz w:val="27"/>
            <w:szCs w:val="27"/>
            <w:u w:val="single"/>
            <w:lang w:eastAsia="ru-RU"/>
          </w:rPr>
          <w:t> </w:t>
        </w:r>
      </w:hyperlink>
      <w:r w:rsidRPr="00251421">
        <w:rPr>
          <w:rFonts w:ascii="Times New Roman" w:eastAsia="Times New Roman" w:hAnsi="Times New Roman" w:cs="Times New Roman"/>
          <w:color w:val="222222"/>
          <w:sz w:val="27"/>
          <w:szCs w:val="27"/>
          <w:lang w:eastAsia="ru-RU"/>
        </w:rPr>
        <w:t>Int J Ophthalmol. 2016; 9(5): 750-756.</w:t>
      </w:r>
    </w:p>
    <w:p w:rsidR="00251421" w:rsidRPr="00251421" w:rsidRDefault="00251421" w:rsidP="00251421">
      <w:pPr>
        <w:numPr>
          <w:ilvl w:val="0"/>
          <w:numId w:val="39"/>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Cheng J.W.,</w:t>
      </w:r>
      <w:hyperlink r:id="rId20" w:history="1">
        <w:r w:rsidRPr="00251421">
          <w:rPr>
            <w:rFonts w:ascii="Times New Roman" w:eastAsia="Times New Roman" w:hAnsi="Times New Roman" w:cs="Times New Roman"/>
            <w:color w:val="1976D2"/>
            <w:sz w:val="27"/>
            <w:szCs w:val="27"/>
            <w:u w:val="single"/>
            <w:lang w:eastAsia="ru-RU"/>
          </w:rPr>
          <w:t> </w:t>
        </w:r>
      </w:hyperlink>
      <w:r w:rsidRPr="00251421">
        <w:rPr>
          <w:rFonts w:ascii="Times New Roman" w:eastAsia="Times New Roman" w:hAnsi="Times New Roman" w:cs="Times New Roman"/>
          <w:color w:val="222222"/>
          <w:sz w:val="27"/>
          <w:szCs w:val="27"/>
          <w:lang w:eastAsia="ru-RU"/>
        </w:rPr>
        <w:t>Li Y.,</w:t>
      </w:r>
      <w:hyperlink r:id="rId21" w:history="1">
        <w:r w:rsidRPr="00251421">
          <w:rPr>
            <w:rFonts w:ascii="Times New Roman" w:eastAsia="Times New Roman" w:hAnsi="Times New Roman" w:cs="Times New Roman"/>
            <w:color w:val="1976D2"/>
            <w:sz w:val="27"/>
            <w:szCs w:val="27"/>
            <w:u w:val="single"/>
            <w:lang w:eastAsia="ru-RU"/>
          </w:rPr>
          <w:t> </w:t>
        </w:r>
      </w:hyperlink>
      <w:r w:rsidRPr="00251421">
        <w:rPr>
          <w:rFonts w:ascii="Times New Roman" w:eastAsia="Times New Roman" w:hAnsi="Times New Roman" w:cs="Times New Roman"/>
          <w:color w:val="222222"/>
          <w:sz w:val="27"/>
          <w:szCs w:val="27"/>
          <w:lang w:eastAsia="ru-RU"/>
        </w:rPr>
        <w:t>Wei R.L. Systematic review of intraocular pressure-lowering effects of adjunctive medications added to latanoprost.</w:t>
      </w:r>
      <w:hyperlink r:id="rId22" w:history="1">
        <w:r w:rsidRPr="00251421">
          <w:rPr>
            <w:rFonts w:ascii="Times New Roman" w:eastAsia="Times New Roman" w:hAnsi="Times New Roman" w:cs="Times New Roman"/>
            <w:color w:val="1976D2"/>
            <w:sz w:val="27"/>
            <w:szCs w:val="27"/>
            <w:u w:val="single"/>
            <w:lang w:eastAsia="ru-RU"/>
          </w:rPr>
          <w:t> </w:t>
        </w:r>
      </w:hyperlink>
      <w:r w:rsidRPr="00251421">
        <w:rPr>
          <w:rFonts w:ascii="Times New Roman" w:eastAsia="Times New Roman" w:hAnsi="Times New Roman" w:cs="Times New Roman"/>
          <w:color w:val="222222"/>
          <w:sz w:val="27"/>
          <w:szCs w:val="27"/>
          <w:lang w:eastAsia="ru-RU"/>
        </w:rPr>
        <w:t>Ophthalmic Res. 2009; 42(2): 99-105.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Liu Y., Zhao J., Zhong X., et al. Efficacy and Safety of Brinzolamide as Add-On to Prostaglandin Analogues or β-Blocker for Glaucoma and Ocular Hypertension: A Systematic Review and Meta-Analysis. Front. Pharmacol. 2019; 10: 679-689.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Olthoff C.M., Schouten J.S., van de Borne B.W., Webers C.A. Noncompliance with ocular hypotensive treatment in patients with glaucoma or ocular hypertension an evidence-based review. Ophthalmology. 2005; 112(6): 953-961.</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Kymes S.M., Plotzke M.R., Kass M.A., et al. Effect of patient’s life expectancy on the cost-effectiveness of treatment for ocular hypertension. Arch. Ophthalmol. 2010; 128(5): 613-618.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Ho J.D., Hu C.C., Lin H.C. Antiglaucoma medications during pregnancy and the risk of low birth weight: a population-based study. Br. J. Ophthalmol. 2009;93(10):1283-1286.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Чернякова Т.В., Брежнев А.Ю., Газизова И.Р. и др. Особенности течения и лечения глаукомы в период беременности.  Клиническая медицина. 2020; 98(3): 178-184.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Gazzard G., Konstantakopoulou E., Garway-Heath D., et al. Selective laser trabeculoplasty versus eye drops for first-line treatment of ocular hypertension and glaucoma (LiGHT): a multicentre randomised controlled trial. Lancet. 2019; 393(10180): 1505-1516.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Kennedy J.B., SooHoo J.R., Kahook M.Y., Seibold L.K. Selective Laser Trabeculoplasty: An Update. Asia Pac J Ophthalmol (Phila). 2016; 5(1): 63-69.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Garg A., Gazzard G. Selective laser trabeculoplasty: past, present, and future. Eye (Lond). 2018; 32(5): 863-876.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Zhang L., Weizer J.S., Musch D.C. Perioperative medications for preventing temporarily increased intraocular pressure after laser trabeculoplasty. Cochrane Database Syst Rev. 2017. 23;2:CD010746.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Wong M.O., Lee J.W., Choy B.N., et al. Systematic review and meta-analysis on the efficacy of selective laser trabeculoplasty in open-angle glaucoma. Surv Ophthalmol. 2015; 60(1): 36-50.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McAlinden C. Selective laser trabeculoplasty (SLT) vs other treatment modalities for glaucoma: systematic review. Eye (Lond). 2014; 28(3): 249-258.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Michelessi M., Lindsley K. Peripheral iridotomy for pigmentary glaucoma. Cochrane Database Syst Rev. 2016; 2: D005655.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Соколовская Т.В., Дога А.В., Магарамов Д.А., Кочеткова Ю.А. YAG-лазерная активация трабекулы в лечении больных первичной открытоугольной глаукомой. Офтальмохирургия. 2014; 1: 47-52.</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Ramdas W.D. The relation between dietary intake and glaucoma: a systematic review. Acta Ophthalmol. 2018; 96(6): 550-556.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Loskutova E., O’Brien C., Loskutov I., Loughman J. Nutritional supplementation in the treatment of glaucoma: A systematic review. Surv Ophthalmol. 2019; 64(2): 195-216.</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Sena D.F., Lindsley K. Neuroprotection for treatment of glaucoma in adults. Cochrane Database Syst Rev. 2017; 1: CD006539.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Chang E.E., Goldberg J.L. Glaucoma 2.0: neuroprotection, neuroregeneration, neuroenhancement. Ophthalmology 2012; 119(5): 979-986&amp;</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Weinreb R.N., Goldberg I. Recent advances in glaucoma neuroprotection. Int Glaucoma Rev. CME Supplement. 2007; 9-3: 30-31.</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Лоскутов И.А., Саверская Е.Н., Лоскутова Е.И. Ретинопротекция как терапевтическая стратегия глаукомы: обзор исторических и современных мировых тенденций. Национальный журнал глаукома. 2016; 16(4): 86-97.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Morrone L.A., Rombolà L., Adornetto A. et al. Rational Basis for Nutraceuticals in the Treatment of Glaucoma. Curr Neuropharmacology, 2018; 16: 1004-1017.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Francis B.A., Varma R., Vigen C., et al. Los Angeles Latino Eye Study Group. Population and high-risk group screening for glaucoma: the Los Angeles Latino Eye Study. Invest Ophthalmol Vis Sci. 2011; 52(9): 6257-64.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Glaucoma: Diagnosis and Management / Ed. J. Sparrow.  London: NICE, 2017: 324.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Melancia D., AbegãoPinto L., Marques-Neves C. Cataract Surgery and Intraocular Pressure. Ophthalmic Res 2015; 53: 141-148.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Mansberger S.L., Gordon M.O., Jampel H.D. et al. Reduction in intraocular pressure after cataract extraction: the Ocular Hypertension Treatment Study. Ophthalmology. 2012; 119: 1826-1831.</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Ahmad M., Chocron I., Shrivastava A. Considerations for refractive surgery in the glaucoma patient. Curr Opin Ophthalmol. 2017; 28(4): 310-315.</w:t>
      </w:r>
    </w:p>
    <w:p w:rsidR="00251421" w:rsidRPr="00251421" w:rsidRDefault="00251421" w:rsidP="00251421">
      <w:pPr>
        <w:numPr>
          <w:ilvl w:val="0"/>
          <w:numId w:val="39"/>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Kozobolis V.,</w:t>
      </w:r>
      <w:r w:rsidRPr="00251421">
        <w:rPr>
          <w:rFonts w:ascii="Times New Roman" w:eastAsia="Times New Roman" w:hAnsi="Times New Roman" w:cs="Times New Roman"/>
          <w:color w:val="222222"/>
          <w:sz w:val="20"/>
          <w:szCs w:val="20"/>
          <w:vertAlign w:val="superscript"/>
          <w:lang w:eastAsia="ru-RU"/>
        </w:rPr>
        <w:t> </w:t>
      </w:r>
      <w:r w:rsidRPr="00251421">
        <w:rPr>
          <w:rFonts w:ascii="Times New Roman" w:eastAsia="Times New Roman" w:hAnsi="Times New Roman" w:cs="Times New Roman"/>
          <w:color w:val="222222"/>
          <w:sz w:val="27"/>
          <w:szCs w:val="27"/>
          <w:lang w:eastAsia="ru-RU"/>
        </w:rPr>
        <w:t>Konstantinidis A., Sideroudi H., Labiris G. The Effect of Corneal Refractive Surgery on Glaucoma. J Ophthalmol (Hindawi). 2017; 2017: 8914623.</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Shen L., Melles R.B., Metlapally R. et al. The Association of Refractive Error with Glaucoma in a Multiethnic Population. Ophthalmology. 2016; 123(1): 92-101.</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Park H.Y., Choi S.I., Choi J.A., Park C.K. Disc torsion and vertical disc tilt are related to subfoveal scleral thickness in open-angle glaucoma patients with myopia. Invest Ophthalmol Vis Sci. 2015; 56(8): 4927-4935.</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Shin H.Y., Park H.Y., Park C.K. The effect of myopic optic disc tilt on measurement of spectral-domain optical coherence tomography parameters. Br J Ophthalmol. 2015; 99(1): 69-74.</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Akashi A., Kanamori A., Ueda K., et al. The ability of SD-OCT to differentiate early glaucoma with high myopia from highly myopic controls and non-highly myopic controls. Invest Ophthalmol Vis Sci. 2015; 56(11): 6573-6580.</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Khawaja A.P., Chan M.P., Broadway D.C., et al. Systemic medication and intraocular pressure in a British population: the EPIC-Norfolk Eye Study. Ophthalmology. 2014; 121(8): 1501-1507.</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Masnoon N., Shakib S., Kalisch-Ellett L., Caughey G.E. What is polypharmacy? A systematic review of definitions. BMC Geriatr. 2017; 17(1): 230-239.</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Wu A., Khawaja A.P., Pasquale L.R., Stein J.D. A review of systemic medications that may modulate the risk of glaucoma. Eye. 2020; 34: 12-28.</w:t>
      </w:r>
    </w:p>
    <w:p w:rsidR="00251421" w:rsidRPr="00251421" w:rsidRDefault="00251421" w:rsidP="00251421">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Roughead E.E., Kalisch L.M., Pratt N.L., Killer G., et al. Managing glaucoma in those with co-morbidity: not as easy as it seems. Ophthalmic Epidemiol. 2012; 19(2): 74-82.</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251421" w:rsidRPr="00251421" w:rsidRDefault="00251421" w:rsidP="00251421">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lastRenderedPageBreak/>
        <w:t>Брежнев А.Ю., </w:t>
      </w:r>
      <w:r w:rsidRPr="00251421">
        <w:rPr>
          <w:rFonts w:ascii="Times New Roman" w:eastAsia="Times New Roman" w:hAnsi="Times New Roman" w:cs="Times New Roman"/>
          <w:color w:val="222222"/>
          <w:sz w:val="27"/>
          <w:szCs w:val="27"/>
          <w:lang w:eastAsia="ru-RU"/>
        </w:rPr>
        <w:t>к.м.н., доцент, ФГБОУ ВО «Курский государственный медицинский университет» Минздрава РФ, ОБУЗ «Офтальмологическая клиническая больница - Офтальмологический центр», ООО «Российское общество офтальмологов-глаукоматологов», ООО «Общество офтальмологов России», Курск</w:t>
      </w:r>
    </w:p>
    <w:p w:rsidR="00251421" w:rsidRPr="00251421" w:rsidRDefault="00251421" w:rsidP="00251421">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Газизова И.Р., </w:t>
      </w:r>
      <w:r w:rsidRPr="00251421">
        <w:rPr>
          <w:rFonts w:ascii="Times New Roman" w:eastAsia="Times New Roman" w:hAnsi="Times New Roman" w:cs="Times New Roman"/>
          <w:color w:val="222222"/>
          <w:sz w:val="27"/>
          <w:szCs w:val="27"/>
          <w:lang w:eastAsia="ru-RU"/>
        </w:rPr>
        <w:t>д.м.н., ФГБНУ ИЭМ Медицинский научный центр, ООО «Российское общество офтальмологов-глаукоматологов», ООО «Общество офтальмологов России», Санкт-Петербург</w:t>
      </w:r>
    </w:p>
    <w:p w:rsidR="00251421" w:rsidRPr="00251421" w:rsidRDefault="00251421" w:rsidP="00251421">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Догадова Л.П.,</w:t>
      </w:r>
      <w:r w:rsidRPr="00251421">
        <w:rPr>
          <w:rFonts w:ascii="Times New Roman" w:eastAsia="Times New Roman" w:hAnsi="Times New Roman" w:cs="Times New Roman"/>
          <w:color w:val="222222"/>
          <w:sz w:val="27"/>
          <w:szCs w:val="27"/>
          <w:lang w:eastAsia="ru-RU"/>
        </w:rPr>
        <w:t> к.м.н., профессор кафедры офтальмологии ФГБОУ ВО «Тихоокеанский государственный медицинский университет» Минздрава РФ, Главный офтальмолог ДФО, ООО «Российское общество офтальмологов-глаукоматологов», ООО «Общество офтальмологов России», Владивосток</w:t>
      </w:r>
    </w:p>
    <w:p w:rsidR="00251421" w:rsidRPr="00251421" w:rsidRDefault="00251421" w:rsidP="00251421">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Егоров Е.А.,</w:t>
      </w:r>
      <w:r w:rsidRPr="00251421">
        <w:rPr>
          <w:rFonts w:ascii="Times New Roman" w:eastAsia="Times New Roman" w:hAnsi="Times New Roman" w:cs="Times New Roman"/>
          <w:color w:val="222222"/>
          <w:sz w:val="27"/>
          <w:szCs w:val="27"/>
          <w:lang w:eastAsia="ru-RU"/>
        </w:rPr>
        <w:t> д.м.н., профессор кафедры офтальмологии им. акад. А.П. Нестерова лечебного факультета ФГАОУ ВО РНИМУ им. Пирогова Минздрава РФ, ООО «Российское общество офтальмологов-глаукоматологов», ООО «Общество офтальмологов России», Москва</w:t>
      </w:r>
    </w:p>
    <w:p w:rsidR="00251421" w:rsidRPr="00251421" w:rsidRDefault="00251421" w:rsidP="00251421">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Еричев В.П., </w:t>
      </w:r>
      <w:r w:rsidRPr="00251421">
        <w:rPr>
          <w:rFonts w:ascii="Times New Roman" w:eastAsia="Times New Roman" w:hAnsi="Times New Roman" w:cs="Times New Roman"/>
          <w:color w:val="222222"/>
          <w:sz w:val="27"/>
          <w:szCs w:val="27"/>
          <w:lang w:eastAsia="ru-RU"/>
        </w:rPr>
        <w:t>д.м.н., профессор, ООО «Российское общество офтальмологов-глаукоматологов», ООО «Общество офтальмологов России», Москва</w:t>
      </w:r>
    </w:p>
    <w:p w:rsidR="00251421" w:rsidRPr="00251421" w:rsidRDefault="00251421" w:rsidP="00251421">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Куроедов А.В., </w:t>
      </w:r>
      <w:r w:rsidRPr="00251421">
        <w:rPr>
          <w:rFonts w:ascii="Times New Roman" w:eastAsia="Times New Roman" w:hAnsi="Times New Roman" w:cs="Times New Roman"/>
          <w:color w:val="222222"/>
          <w:sz w:val="27"/>
          <w:szCs w:val="27"/>
          <w:lang w:eastAsia="ru-RU"/>
        </w:rPr>
        <w:t>д.м.н., доцент, начальник офтальмологического центра ФКУ «ЦВКГ им. Мандрыка» Минобороны РФ, заведующий кафедрой офтальмологии им. акад. А.П. Нестерова лечебного факультета ФГАОУ ВО РНИМУ им. Пирогова Минздрава РФ, ООО «Российское общество офтальмологов-глаукоматологов», ООО «Общество офтальмологов России», Москва</w:t>
      </w:r>
    </w:p>
    <w:p w:rsidR="00251421" w:rsidRPr="00251421" w:rsidRDefault="00251421" w:rsidP="00251421">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Ловпаче Дж.Н.,</w:t>
      </w:r>
      <w:r w:rsidRPr="00251421">
        <w:rPr>
          <w:rFonts w:ascii="Times New Roman" w:eastAsia="Times New Roman" w:hAnsi="Times New Roman" w:cs="Times New Roman"/>
          <w:color w:val="222222"/>
          <w:sz w:val="27"/>
          <w:szCs w:val="27"/>
          <w:lang w:eastAsia="ru-RU"/>
        </w:rPr>
        <w:t> к.м.н., независимый эксперт, ООО «Офтальмологическая клиника 3Z-МСК», ООО «Российское общество офтальмологов-глаукоматологов», ООО «Общество офтальмологов России», Москва</w:t>
      </w:r>
    </w:p>
    <w:p w:rsidR="00251421" w:rsidRPr="00251421" w:rsidRDefault="00251421" w:rsidP="00251421">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Малюгин Б.Э.,</w:t>
      </w:r>
      <w:r w:rsidRPr="00251421">
        <w:rPr>
          <w:rFonts w:ascii="Times New Roman" w:eastAsia="Times New Roman" w:hAnsi="Times New Roman" w:cs="Times New Roman"/>
          <w:color w:val="222222"/>
          <w:sz w:val="27"/>
          <w:szCs w:val="27"/>
          <w:lang w:eastAsia="ru-RU"/>
        </w:rPr>
        <w:t> д.м.н., профессор, заместитель генерального директора по науке ФГАУ НМИЦ «МНТК «Микрохирургия глаза» им. акад. Федорова Минздрава РФ, ООО «Общество офтальмологов России», Москва</w:t>
      </w:r>
    </w:p>
    <w:p w:rsidR="00251421" w:rsidRPr="00251421" w:rsidRDefault="00251421" w:rsidP="00251421">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Онуфрийчук О.Н.</w:t>
      </w:r>
      <w:r w:rsidRPr="00251421">
        <w:rPr>
          <w:rFonts w:ascii="Times New Roman" w:eastAsia="Times New Roman" w:hAnsi="Times New Roman" w:cs="Times New Roman"/>
          <w:color w:val="222222"/>
          <w:sz w:val="27"/>
          <w:szCs w:val="27"/>
          <w:lang w:eastAsia="ru-RU"/>
        </w:rPr>
        <w:t>, к.м.н., ФГБУ «НМИЦ детской травматологии и ортопедии им. Г.И. Турнера» Минздрава РФ, ООО «Российское общество офтальмологов-глаукоматологов», ООО «Общество офтальмологов России», Санкт-Петербург</w:t>
      </w:r>
    </w:p>
    <w:p w:rsidR="00251421" w:rsidRPr="00251421" w:rsidRDefault="00251421" w:rsidP="00251421">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Селезнев А.В., </w:t>
      </w:r>
      <w:r w:rsidRPr="00251421">
        <w:rPr>
          <w:rFonts w:ascii="Times New Roman" w:eastAsia="Times New Roman" w:hAnsi="Times New Roman" w:cs="Times New Roman"/>
          <w:color w:val="222222"/>
          <w:sz w:val="27"/>
          <w:szCs w:val="27"/>
          <w:lang w:eastAsia="ru-RU"/>
        </w:rPr>
        <w:t xml:space="preserve">к.м.н., доцент, ФГБОУ ВО «Ивановская государственная медицинская академия» Минздрава РФ, ООО «Российское общество </w:t>
      </w:r>
      <w:r w:rsidRPr="00251421">
        <w:rPr>
          <w:rFonts w:ascii="Times New Roman" w:eastAsia="Times New Roman" w:hAnsi="Times New Roman" w:cs="Times New Roman"/>
          <w:color w:val="222222"/>
          <w:sz w:val="27"/>
          <w:szCs w:val="27"/>
          <w:lang w:eastAsia="ru-RU"/>
        </w:rPr>
        <w:lastRenderedPageBreak/>
        <w:t>офтальмологов-глаукоматологов», ООО «Общество офтальмологов России», Иваново</w:t>
      </w:r>
    </w:p>
    <w:p w:rsidR="00251421" w:rsidRPr="00251421" w:rsidRDefault="00251421" w:rsidP="00251421">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Симонова С.В., </w:t>
      </w:r>
      <w:r w:rsidRPr="00251421">
        <w:rPr>
          <w:rFonts w:ascii="Times New Roman" w:eastAsia="Times New Roman" w:hAnsi="Times New Roman" w:cs="Times New Roman"/>
          <w:color w:val="222222"/>
          <w:sz w:val="27"/>
          <w:szCs w:val="27"/>
          <w:lang w:eastAsia="ru-RU"/>
        </w:rPr>
        <w:t>к.м.н., ГБУЗ «ГКБ №15 им. О.М. Филатова ДЗМ», ООО «Российское общество офтальмологов-глаукоматологов», Москва</w:t>
      </w:r>
    </w:p>
    <w:p w:rsidR="00251421" w:rsidRPr="00251421" w:rsidRDefault="00251421" w:rsidP="00251421">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Соколовская Т.В., </w:t>
      </w:r>
      <w:r w:rsidRPr="00251421">
        <w:rPr>
          <w:rFonts w:ascii="Times New Roman" w:eastAsia="Times New Roman" w:hAnsi="Times New Roman" w:cs="Times New Roman"/>
          <w:color w:val="222222"/>
          <w:sz w:val="27"/>
          <w:szCs w:val="27"/>
          <w:lang w:eastAsia="ru-RU"/>
        </w:rPr>
        <w:t>к.м.н., ведущий научный сотрудник отдела хирургического лечения глаукомы ФГАУ «НМИЦ «МНТК «Микрохирургия глаза» им. акад. Федорова Минздрава РФ, ООО «Общество офтальмологов России», Москва</w:t>
      </w:r>
    </w:p>
    <w:p w:rsidR="00251421" w:rsidRPr="00251421" w:rsidRDefault="00251421" w:rsidP="00251421">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Сороколетов Г.В.,</w:t>
      </w:r>
      <w:r w:rsidRPr="00251421">
        <w:rPr>
          <w:rFonts w:ascii="Times New Roman" w:eastAsia="Times New Roman" w:hAnsi="Times New Roman" w:cs="Times New Roman"/>
          <w:color w:val="222222"/>
          <w:sz w:val="27"/>
          <w:szCs w:val="27"/>
          <w:lang w:eastAsia="ru-RU"/>
        </w:rPr>
        <w:t> д.м.н., заведующий отделом хирургического лечения глаукомы ФГАУ «НМИЦ «МНТК «Микрохирургия глаза» им. акад. Федорова Минздрава РФ, ООО «Общество офтальмологов России», Москва</w:t>
      </w:r>
    </w:p>
    <w:p w:rsidR="00251421" w:rsidRPr="00251421" w:rsidRDefault="00251421" w:rsidP="00251421">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Ходжаев Н.С. </w:t>
      </w:r>
      <w:r w:rsidRPr="00251421">
        <w:rPr>
          <w:rFonts w:ascii="Times New Roman" w:eastAsia="Times New Roman" w:hAnsi="Times New Roman" w:cs="Times New Roman"/>
          <w:color w:val="222222"/>
          <w:sz w:val="27"/>
          <w:szCs w:val="27"/>
          <w:lang w:eastAsia="ru-RU"/>
        </w:rPr>
        <w:t>д.м.н., профессор, заместитель генерального директора по организационной работе и инновационному развитию ФГАУ «НМИЦ «МНТК «Микрохирургия глаза» им. академика С.Н. Федорова Минздрава РФ, ООО «Общество офтальмологов России», ООО «Российское общество офтальмологов-глаукоматологов», Москва </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Конфликт интересов</w:t>
      </w:r>
      <w:r w:rsidRPr="00251421">
        <w:rPr>
          <w:rFonts w:ascii="Times New Roman" w:eastAsia="Times New Roman" w:hAnsi="Times New Roman" w:cs="Times New Roman"/>
          <w:color w:val="222222"/>
          <w:sz w:val="27"/>
          <w:szCs w:val="27"/>
          <w:lang w:eastAsia="ru-RU"/>
        </w:rPr>
        <w:t> отсутствует.</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Методы, использованные для сбора/селекции доказательств: поиск в электронных базах данных, библиотечные ресурсы. Описание методов, использованных для сбора/селекции доказательств: доказательной базой для рекомендаций являются публикации, вошедшие в библиотеку Cochrane, базы данных EMBASE и MEDLINE, а также монографии и статьи в ведущих специализированных рецензируемых отечественных и зарубежных медицинских журналах по данной тематике с глубиной поиска не менее 10 лет.</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Уровни достоверности доказательств представлены в соответствии с методическими рекомендациями по разработке и актуализации клинических рекомендаций.</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Методы, использованные для оценки качества и силы доказательств: консенсус экспертов, оценка значимости в соответствии с рейтинговой схемой.</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Предварительная версия настоящих рекомендаций была рецензирована независимыми экспертами, с целью доступности для понимания интерпретации доказательств, лежащих в основе рекомендаций. Комментарии, полученные от экспертов, систематизировались и обсуждались членами рабочих групп ООО «Российское общество офтальмологов-глаукоматологов» и ООО «Общество офтальмологов России», а вносимые изменения регистрировались. Если же изменения не вносились, то учитывались причины отказа.</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Были получены комментарии врачей-офтальмологов первичного звена о доходчивости изложения рекомендаций и их оценка значимости рекомендаций, как рабочего инструмента в повседневной клинической практике.</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Для окончательной редакции и контроля качества исполнения рекомендации повторно проанализированы членами рабочих групп,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r w:rsidRPr="00251421">
        <w:rPr>
          <w:rFonts w:ascii="Times New Roman" w:eastAsia="Times New Roman" w:hAnsi="Times New Roman" w:cs="Times New Roman"/>
          <w:b/>
          <w:bCs/>
          <w:color w:val="222222"/>
          <w:sz w:val="27"/>
          <w:szCs w:val="27"/>
          <w:lang w:eastAsia="ru-RU"/>
        </w:rPr>
        <w:t> </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Экономический анализ</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Анализ стоимости не проводился и публикации по фармакоэкономике не анализировались.</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 </w:t>
      </w:r>
      <w:r w:rsidRPr="00251421">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1. Врачи-офтальмологи</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2. Врачи общей практики (семейные врачи);</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3. Медицинские оптики-оптометристы</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4. Ординаторы по специальности «Офтальмология» (31.08.59) и научно-педагогические кадры (аспиранты) по направлению подготовки «Клиническая медицина» (31.06.01), профиль - «Глазные болезни» (14.01.07)</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5.  Студенты медицинских Высших учебных заведений </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Таблица П1 – </w:t>
      </w:r>
      <w:r w:rsidRPr="00251421">
        <w:rPr>
          <w:rFonts w:ascii="Times New Roman" w:eastAsia="Times New Roman" w:hAnsi="Times New Roman" w:cs="Times New Roman"/>
          <w:color w:val="222222"/>
          <w:sz w:val="27"/>
          <w:szCs w:val="27"/>
          <w:lang w:eastAsia="ru-RU"/>
        </w:rPr>
        <w:t>Шкала оценки уровней достоверности доказательств.</w:t>
      </w:r>
    </w:p>
    <w:tbl>
      <w:tblPr>
        <w:tblW w:w="11850" w:type="dxa"/>
        <w:tblCellMar>
          <w:left w:w="0" w:type="dxa"/>
          <w:right w:w="0" w:type="dxa"/>
        </w:tblCellMar>
        <w:tblLook w:val="04A0" w:firstRow="1" w:lastRow="0" w:firstColumn="1" w:lastColumn="0" w:noHBand="0" w:noVBand="1"/>
      </w:tblPr>
      <w:tblGrid>
        <w:gridCol w:w="3375"/>
        <w:gridCol w:w="8475"/>
      </w:tblGrid>
      <w:tr w:rsidR="00251421" w:rsidRPr="00251421" w:rsidTr="0025142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lastRenderedPageBreak/>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 </w:t>
            </w:r>
          </w:p>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Иерархия дизайнов</w:t>
            </w:r>
          </w:p>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клинических исследований</w:t>
            </w:r>
          </w:p>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 </w:t>
            </w:r>
          </w:p>
        </w:tc>
      </w:tr>
      <w:tr w:rsidR="00251421" w:rsidRPr="00251421" w:rsidTr="0025142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b/>
                <w:bCs/>
                <w:sz w:val="27"/>
                <w:szCs w:val="27"/>
                <w:lang w:eastAsia="ru-RU"/>
              </w:rPr>
              <w:t>Определение уровень достоверности доказательств для лечебных,                    реабилитационных, профилактических вмешательств</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Систематический обзор рандомизированных клинических исследования с применением мета-анализа</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(помимо рандомизированные клинические исследования) с применением мета-анализа</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r w:rsidR="00251421" w:rsidRPr="00251421" w:rsidTr="0025142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b/>
                <w:bCs/>
                <w:sz w:val="27"/>
                <w:szCs w:val="27"/>
                <w:lang w:eastAsia="ru-RU"/>
              </w:rPr>
              <w:t>Определение уровень достоверности доказательств</w:t>
            </w:r>
          </w:p>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b/>
                <w:bCs/>
                <w:sz w:val="27"/>
                <w:szCs w:val="27"/>
                <w:lang w:eastAsia="ru-RU"/>
              </w:rPr>
              <w:t>для диагностических вмешательств</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Несравнительные исследования, описание клинического случая</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Таблица П2 – </w:t>
      </w:r>
      <w:r w:rsidRPr="00251421">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3482"/>
        <w:gridCol w:w="8368"/>
      </w:tblGrid>
      <w:tr w:rsidR="00251421" w:rsidRPr="00251421" w:rsidTr="0025142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Основание</w:t>
            </w:r>
          </w:p>
          <w:p w:rsidR="00251421" w:rsidRPr="00251421" w:rsidRDefault="00251421" w:rsidP="00251421">
            <w:pPr>
              <w:spacing w:after="0" w:line="240" w:lineRule="atLeast"/>
              <w:jc w:val="both"/>
              <w:rPr>
                <w:rFonts w:ascii="Verdana" w:eastAsia="Times New Roman" w:hAnsi="Verdana" w:cs="Times New Roman"/>
                <w:b/>
                <w:bCs/>
                <w:sz w:val="27"/>
                <w:szCs w:val="27"/>
                <w:lang w:eastAsia="ru-RU"/>
              </w:rPr>
            </w:pPr>
            <w:r w:rsidRPr="00251421">
              <w:rPr>
                <w:rFonts w:ascii="Verdana" w:eastAsia="Times New Roman" w:hAnsi="Verdana" w:cs="Times New Roman"/>
                <w:b/>
                <w:bCs/>
                <w:sz w:val="27"/>
                <w:szCs w:val="27"/>
                <w:lang w:eastAsia="ru-RU"/>
              </w:rPr>
              <w:t>рекомендации</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51421" w:rsidRPr="00251421" w:rsidTr="002514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1421" w:rsidRPr="00251421" w:rsidRDefault="00251421" w:rsidP="00251421">
            <w:pPr>
              <w:spacing w:after="0" w:line="240" w:lineRule="atLeast"/>
              <w:jc w:val="both"/>
              <w:rPr>
                <w:rFonts w:ascii="Verdana" w:eastAsia="Times New Roman" w:hAnsi="Verdana" w:cs="Times New Roman"/>
                <w:sz w:val="27"/>
                <w:szCs w:val="27"/>
                <w:lang w:eastAsia="ru-RU"/>
              </w:rPr>
            </w:pPr>
            <w:r w:rsidRPr="00251421">
              <w:rPr>
                <w:rFonts w:ascii="Verdana" w:eastAsia="Times New Roman" w:hAnsi="Verdana" w:cs="Times New Roman"/>
                <w:sz w:val="27"/>
                <w:szCs w:val="27"/>
                <w:lang w:eastAsia="ru-RU"/>
              </w:rPr>
              <w:t xml:space="preserve">Слабая рекомендация –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w:t>
            </w:r>
            <w:r w:rsidRPr="00251421">
              <w:rPr>
                <w:rFonts w:ascii="Verdana" w:eastAsia="Times New Roman" w:hAnsi="Verdana" w:cs="Times New Roman"/>
                <w:sz w:val="27"/>
                <w:szCs w:val="27"/>
                <w:lang w:eastAsia="ru-RU"/>
              </w:rPr>
              <w:lastRenderedPageBreak/>
              <w:t>и их выводы по интересующим исходам не являются согласованными)</w:t>
            </w:r>
            <w:r w:rsidRPr="00251421">
              <w:rPr>
                <w:rFonts w:ascii="Verdana" w:eastAsia="Times New Roman" w:hAnsi="Verdana" w:cs="Times New Roman"/>
                <w:b/>
                <w:bCs/>
                <w:sz w:val="27"/>
                <w:szCs w:val="27"/>
                <w:lang w:eastAsia="ru-RU"/>
              </w:rPr>
              <w:t> </w:t>
            </w:r>
          </w:p>
        </w:tc>
      </w:tr>
    </w:tbl>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lastRenderedPageBreak/>
        <w:t>Порядок обновления клинических рекомендаций</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клинические рекомендации пересматриваются не реже 1 раза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Данные клинические рекомендации разработаны с учетом следующих документов:</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Международная классификация болезней, травм и состояний, влияющих на здоровье, 10-го пересмотра (МКБ-10) (принята 43-ей Всемирной Ассамблеей Здравоохранения, 1990г.)</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«О переходе органов и учреждений здравоохранения Российской Федерации на Международную статистическую классификацию болезней и проблем, связанных со здоровьем Х пересмотра» (в ред. Приказа Минздрава РФ от 12.01.1998г. №3) Приказ Министерства здравоохранения РФ от 27.05.1997г. №170.</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 направлении перечня добавленных и исключенных рубрик МКБ-10». Письмо Министерства здравоохранения РФ 05.12.2014г. №13-2/166</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Федеральный закон от 21.11.2011г. № 323 «Об основах охраны здоровья граждан в Российской Федерации» (с изм. и доп., вступ. в силу с 01.04.2024).</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Федеральный закон от 25.12.2018 N 489-ФЗ (ред. от 11.06.2021)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«Об утверждении стандарта медицинской помощи больным с глаукомой» (стандарт медицинской помощи больным с глаукомой при оказании дорогостоящей (высокотехнологичной) медицинской помощи). Приказ Министерства здравоохранения и социального развития РФ от 06.09.2005г. №549.</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«Об утверждении стандарта медицинской помощи больным глаукомой» (стандарт медицинской помощи больным глаукомой при оказании амбулаторно-поликлинической помощи в 2007 году). Приказ Министерства здравоохранения и социального развития РФ от 13.10.2006г. №708.</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«Об утверждении стандарта медицинской помощи больным с глаукомой (при оказании специализированной помощи)» (стандарт медицинской помощи больным с глаукомой (при оказании специализированной помощи). Приказ Министерства здравоохранения и социального развития РФ от 21.05.2007г. №350</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 xml:space="preserve">«Об утверждении Порядка возложения на фельдшера, акушерку руководителем медицинской организации при организации оказания первичной медико-санитарной помощи и скорой медицинской помощи отдельных функций лечащего врача по непосредственному оказанию медицинской помощи пациенту в период наблюдения за ним и его лечения, в </w:t>
      </w:r>
      <w:r w:rsidRPr="00251421">
        <w:rPr>
          <w:rFonts w:ascii="Times New Roman" w:eastAsia="Times New Roman" w:hAnsi="Times New Roman" w:cs="Times New Roman"/>
          <w:color w:val="222222"/>
          <w:sz w:val="27"/>
          <w:szCs w:val="27"/>
          <w:lang w:eastAsia="ru-RU"/>
        </w:rPr>
        <w:lastRenderedPageBreak/>
        <w:t>том числе по назначению и применению лекарственных препаратов, включая наркотические лекарственные препараты и психотропные лекарственные препараты (с изменениями на 31 октября 2017 года)». Приказ Министерства здравоохранения РФ 23.03.2012г. №252н.</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«Об утверждении Порядка оказания медицинской помощи взрослому населению при заболеваниях глаза, его придаточного аппарата и орбиты». Приказ Министерства здравоохранения РФ от 12.11.2012г. №902н.</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«Об утверждении Положения об организации оказания специализированной, в том числе высокотехнологичной, медицинской помощи (с изменениями от 27 августа 2015 года)». Приказ Министерства здравоохранения РФ от 02.12.2014г. №796н.</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«Об утверждении критериев оценки качества медицинской помощи». Приказ Министерства здравоохранения РФ от 10.05.2017 г. №203н.</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«Об утверждении профессионального стандарта «Врач-офтальмолог». Приказ Министерства труда и социальной защиты РФ от 05.06.2017 г. №470н.</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Приказ Минздрава России от 13.10.2017 N 804н (ред. от 24.09.2020, с изм. от 26.10.2022) "Об утверждении номенклатуры медицинских услуг" (Зарегистрировано в Минюсте России 07.11.2017 N 48808)</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«Об утверждении критериев формирования перечня заболеваний, состояний (групп заболеваний, состояний), по которым разрабатываются клинические рекомендации». Приказ Министерства здравоохранения РФ от 28.02.2019 г. №101н.</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(с изменениями на 23 июня 2020 года). Приказ Министерства здравоохранения РФ от 28.02.2019 г. №103н.</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«Об утверждении порядка и сроков одобрения и утверждения клинических рекомендаций, критериев принятия научно-практическим советом решения об одобрении, отклонении или направлении на доработку клинических рекомендаций либо решения об их пересмотре». Приказ Министерства здравоохранения РФ от 28.02.2019 г. №104н.</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lastRenderedPageBreak/>
        <w:t>Приказ от 27 апреля 2021 года N 404н «Об утверждении Порядка проведения профилактического медицинского осмотра и диспансеризации определенных групп взрослого населения» (с изменениями на 28 сентября 2023 года)</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«Об утверждении перечня жизненно необходимых и важнейших лекарственных препаратов для медицинского применения на 2020 год, перечня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перечня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 и минимального ассортимента лекарственных препаратов, необходимых для оказания медицинской помощи» (с изменениями на 23 ноября 2020 года) (редакция, действующая с 1 января 2021 года). Распоряжение Правительства РФ от 12.10.2019 г. №2406-р.</w:t>
      </w:r>
    </w:p>
    <w:p w:rsidR="00251421" w:rsidRPr="00251421" w:rsidRDefault="00251421" w:rsidP="00251421">
      <w:pPr>
        <w:numPr>
          <w:ilvl w:val="0"/>
          <w:numId w:val="41"/>
        </w:numPr>
        <w:spacing w:after="240" w:line="390" w:lineRule="atLeast"/>
        <w:ind w:left="450"/>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Постановление Правительства РФ от 28.12.2023 N 2353 (ред. от 23.03.2024) «О Программе государственных гарантий бесплатного оказания гражданам медицинской помощи на 2024 год и на плановый период 2025 и 2026 годов».</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62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707139" id="Прямоугольник 1" o:spid="_x0000_s1026" alt="https://cr.minzdrav.gov.ru/schema/62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dsR9w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YPdsR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Рис. Алгоритм ведения пациентов с подозрением на ПОУГ (Цит. по Prum B.E. Jr., Lim M.C., Mansberger S.L., et al. Primary Open-Angle Glaucoma Suspect Preferred Practice Pattern(®) Guidelines [published correction appears in Ophthalmology. 2018;125(6):949]. Ophthalmology. 2016;123(1):138. doi:10.1016/j.ophtha.2015.10.055</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lastRenderedPageBreak/>
        <w:t>Приложение В. Информация для пациента</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Пациенты с ПГ должны быть информированы, что точный диагноз, а также возможность определения и последующего прогрессирования заболевания будут установлены с помощью комплекса современных методов исследования. Преимущества и риски применения каждого из методов лечения должны быть обсуждены с пациентом.</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Ниже представлена памятка для пациента с установленным диагнозом ПОУГ.</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Что такое ГЛАУКОМА?</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ГЛАУКОМА — это группа хронических заболеваний глаз, возникающее преимущественно у лиц старше 40-50 лет, основным проявлением которых является повышение уровня внутриглазного давления, приводящее к постепенному повреждению зрительного нерва и, как следствие, появлению дефектов в поле зрения («боковом» зрении) и понижению остроты зрения вплоть до полной слепоты.</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Как проявляется ГЛАУКОМА? Каковы симптомы заболевания?</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ГЛАУКОМА развивается постепенно, часто протекает без каких-либо проявлений, и именно в этом заключается ее опасность. Иногда признаками ГЛАУКОМЫ могут быть: периодическое «затуманивание» зрения; появление радужных кругов вокруг источника света, не исчезающих при усиленном мигании или протирании глаза; исчезновение четкости контуров при рассматривании различных предметов; ощущение «тяжести» или боли в глазу; появление «сетки» перед глазом; затруднение работы на близком расстоянии (например, чтение); необходимость частой смены очков; сложность ориентации в темноте. Также возможны головные боли, главным образом, в надбровных дугах и височных областях. В более поздних стадиях появляются сужения полей зрения с носовой стороны. Указанные симптомы могут наблюдаться и при других заболеваниях, не связанных с ГЛАУКОМОЙ, но их возникновение всегда должно служить поводом для срочного обращения к офтальмологу</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Если я хорошо вижу, значит у меня нет ГЛАУКОМЫ?</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 xml:space="preserve">ГЛАУКОМА - коварное заболевание, которое на начальных этапах протекает бессимптомно. Поэтому, независимо от того, есть у Вас жалобы или нет, Вы должны обязательно, в порядке диспансеризации, ежегодно проходить </w:t>
      </w:r>
      <w:r w:rsidRPr="00251421">
        <w:rPr>
          <w:rFonts w:ascii="Times New Roman" w:eastAsia="Times New Roman" w:hAnsi="Times New Roman" w:cs="Times New Roman"/>
          <w:color w:val="222222"/>
          <w:sz w:val="27"/>
          <w:szCs w:val="27"/>
          <w:lang w:eastAsia="ru-RU"/>
        </w:rPr>
        <w:lastRenderedPageBreak/>
        <w:t>профилактическое обследование у офтальмолога с обязательным измерением уровня ВГД и осмотром глазного дна. Объем исследований определяет врач.</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Каковы факторы риска, увеличивающие вероятность заболевания ГЛАУКОМОЙ?</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Факторы риска не являются непосредственной причиной заболевания ГЛАУКОМОЙ, но увеличивают вероятность ее возникновения. К ним относятся: возраст: ГЛАУКОМА обычно развивается у людей после 40 лет; наследственная предрасположенность: если у членов Вашей семьи или у близких родственников уже обнаружена ГЛАУКОМА; близорукость более 6 диоптрий; сахарный диабет; мигрень.</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Какое лечение назначит мне врач при ГЛАУКОМЕ?</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Основная цель лечения - снижение уровня ВГД, что позволяет стабилизировать процесс или замедлить скорость его прогрессирования в условиях приемлемого качества жизни. Если Вам поставлен диагноз ГЛАУКОМА, то обычно врач назначает глазные капли, понижающие уровень ВГД.  Если под влиянием медикаментозного лечения и при соблюдении предписанного режима глазное давление не снизится или снизится недостаточно, то Вам будет предложена лазерная или хирургическая операция. Выбор метода лечения ГЛАУКОМЫ определяется индивидуально, в зависимости от характера течения болезни, других сопутствующих факторов и относится к компетенции лечащего врача.</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color w:val="222222"/>
          <w:sz w:val="27"/>
          <w:szCs w:val="27"/>
          <w:lang w:eastAsia="ru-RU"/>
        </w:rPr>
        <w:t>Каков прогноз течения ГЛАУКОМЫ?</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Основным условием для сохранения удовлетворительных зрительных функций и связанного с ним качества жизни является своевременное выявление заболевания и его адекватное лечение. Вместе с тем ГЛАУКОМА – тяжелое хроническое прогрессирующее заболевание, которое и по сей день остается одной из основных причин необратимой слепоты и слабовидения в мире.</w:t>
      </w:r>
    </w:p>
    <w:p w:rsidR="00251421" w:rsidRPr="00251421" w:rsidRDefault="00251421" w:rsidP="0025142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51421">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51421" w:rsidRPr="00251421" w:rsidRDefault="00251421" w:rsidP="00251421">
      <w:pPr>
        <w:spacing w:after="0" w:line="240" w:lineRule="auto"/>
        <w:outlineLvl w:val="1"/>
        <w:rPr>
          <w:rFonts w:ascii="Times New Roman" w:eastAsia="Times New Roman" w:hAnsi="Times New Roman" w:cs="Times New Roman"/>
          <w:b/>
          <w:bCs/>
          <w:color w:val="222222"/>
          <w:sz w:val="33"/>
          <w:szCs w:val="33"/>
          <w:lang w:eastAsia="ru-RU"/>
        </w:rPr>
      </w:pPr>
      <w:r w:rsidRPr="00251421">
        <w:rPr>
          <w:rFonts w:ascii="Times New Roman" w:eastAsia="Times New Roman" w:hAnsi="Times New Roman" w:cs="Times New Roman"/>
          <w:b/>
          <w:bCs/>
          <w:color w:val="222222"/>
          <w:sz w:val="33"/>
          <w:szCs w:val="33"/>
          <w:lang w:eastAsia="ru-RU"/>
        </w:rPr>
        <w:lastRenderedPageBreak/>
        <w:t>Приложение Г1. Калькулятор риска развития глаукомы</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i/>
          <w:iCs/>
          <w:color w:val="333333"/>
          <w:sz w:val="27"/>
          <w:szCs w:val="27"/>
          <w:lang w:eastAsia="ru-RU"/>
        </w:rPr>
        <w:t>Название на русском языке:</w:t>
      </w:r>
      <w:r w:rsidRPr="00251421">
        <w:rPr>
          <w:rFonts w:ascii="Times New Roman" w:eastAsia="Times New Roman" w:hAnsi="Times New Roman" w:cs="Times New Roman"/>
          <w:color w:val="222222"/>
          <w:sz w:val="27"/>
          <w:szCs w:val="27"/>
          <w:lang w:eastAsia="ru-RU"/>
        </w:rPr>
        <w:t> Калькулятор риска развития глаукомы у лиц с офтальмогипертензией</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i/>
          <w:iCs/>
          <w:color w:val="333333"/>
          <w:sz w:val="27"/>
          <w:szCs w:val="27"/>
          <w:lang w:eastAsia="ru-RU"/>
        </w:rPr>
        <w:t>Оригинальное название (если есть):</w:t>
      </w:r>
      <w:r w:rsidRPr="00251421">
        <w:rPr>
          <w:rFonts w:ascii="Times New Roman" w:eastAsia="Times New Roman" w:hAnsi="Times New Roman" w:cs="Times New Roman"/>
          <w:color w:val="222222"/>
          <w:sz w:val="27"/>
          <w:szCs w:val="27"/>
          <w:lang w:eastAsia="ru-RU"/>
        </w:rPr>
        <w:t> S.T.A.R II (The Scoring Tool for Assessing Risk) Glaucoma Risk Calculator</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i/>
          <w:iCs/>
          <w:color w:val="333333"/>
          <w:sz w:val="27"/>
          <w:szCs w:val="27"/>
          <w:lang w:eastAsia="ru-RU"/>
        </w:rPr>
        <w:t>Источник (официальный сайт разработчиков, публикация с валидацией): </w:t>
      </w:r>
      <w:r w:rsidRPr="00251421">
        <w:rPr>
          <w:rFonts w:ascii="Times New Roman" w:eastAsia="Times New Roman" w:hAnsi="Times New Roman" w:cs="Times New Roman"/>
          <w:color w:val="222222"/>
          <w:sz w:val="27"/>
          <w:szCs w:val="27"/>
          <w:lang w:eastAsia="ru-RU"/>
        </w:rPr>
        <w:t>Medeiros F.A., Weinreb R.N., Sample P.A. et al. Validation of a predictive model to estimate the risk of conversion from ocular hypertension to glaucoma. Arch Ophthalmol. 2005;123:1351-1360.</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i/>
          <w:iCs/>
          <w:color w:val="333333"/>
          <w:sz w:val="27"/>
          <w:szCs w:val="27"/>
          <w:lang w:eastAsia="ru-RU"/>
        </w:rPr>
        <w:t>Тип (подчеркнуть):</w:t>
      </w:r>
      <w:r w:rsidRPr="00251421">
        <w:rPr>
          <w:rFonts w:ascii="Times New Roman" w:eastAsia="Times New Roman" w:hAnsi="Times New Roman" w:cs="Times New Roman"/>
          <w:color w:val="222222"/>
          <w:sz w:val="27"/>
          <w:szCs w:val="27"/>
          <w:lang w:eastAsia="ru-RU"/>
        </w:rPr>
        <w:t> калькулятор риска развития заболевания</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i/>
          <w:iCs/>
          <w:color w:val="333333"/>
          <w:sz w:val="27"/>
          <w:szCs w:val="27"/>
          <w:lang w:eastAsia="ru-RU"/>
        </w:rPr>
        <w:t>Назначение: </w:t>
      </w:r>
      <w:r w:rsidRPr="00251421">
        <w:rPr>
          <w:rFonts w:ascii="Times New Roman" w:eastAsia="Times New Roman" w:hAnsi="Times New Roman" w:cs="Times New Roman"/>
          <w:color w:val="222222"/>
          <w:sz w:val="27"/>
          <w:szCs w:val="27"/>
          <w:lang w:eastAsia="ru-RU"/>
        </w:rPr>
        <w:t>определение риска развития глаукомы у пациентов с офтальмогипертензией в течение 5-ти лет</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i/>
          <w:iCs/>
          <w:color w:val="333333"/>
          <w:sz w:val="27"/>
          <w:szCs w:val="27"/>
          <w:lang w:eastAsia="ru-RU"/>
        </w:rPr>
        <w:t>Содержание (шаблон): </w:t>
      </w:r>
      <w:r w:rsidRPr="00251421">
        <w:rPr>
          <w:rFonts w:ascii="Times New Roman" w:eastAsia="Times New Roman" w:hAnsi="Times New Roman" w:cs="Times New Roman"/>
          <w:color w:val="222222"/>
          <w:sz w:val="27"/>
          <w:szCs w:val="27"/>
          <w:lang w:eastAsia="ru-RU"/>
        </w:rPr>
        <w:t>используемые параметры: возраст, уровень ВГД, ЦТР, соотношение диаметра экскавации к диаметру диска в вертикальном меридиане, периметрический индекс PSD.</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i/>
          <w:iCs/>
          <w:color w:val="333333"/>
          <w:sz w:val="27"/>
          <w:szCs w:val="27"/>
          <w:lang w:eastAsia="ru-RU"/>
        </w:rPr>
        <w:t>Ключ (интерпретация): </w:t>
      </w:r>
      <w:r w:rsidRPr="00251421">
        <w:rPr>
          <w:rFonts w:ascii="Times New Roman" w:eastAsia="Times New Roman" w:hAnsi="Times New Roman" w:cs="Times New Roman"/>
          <w:color w:val="222222"/>
          <w:sz w:val="27"/>
          <w:szCs w:val="27"/>
          <w:lang w:eastAsia="ru-RU"/>
        </w:rPr>
        <w:t>Исходя из полученных результатов риск развития глаукомы в течение 5 лет оценивается как:</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А) Низкий (полученный результат ниже 5%). Рекомендуемая тактика: наблюдение без лечения.</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Б) Умеренный (полученный результат составляет 5-15%). Рекомендуемая тактика: решение о медикаментозном лечении принимается индивидуально с учетом мнения пациента.</w:t>
      </w:r>
    </w:p>
    <w:p w:rsidR="00251421" w:rsidRPr="00251421" w:rsidRDefault="00251421" w:rsidP="00251421">
      <w:pPr>
        <w:spacing w:after="24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color w:val="222222"/>
          <w:sz w:val="27"/>
          <w:szCs w:val="27"/>
          <w:lang w:eastAsia="ru-RU"/>
        </w:rPr>
        <w:t>В) Высокий (полученный результат выше 15%). Рекомендуемая тактика: лечение, направленное на снижение уровня ВГД.</w:t>
      </w:r>
    </w:p>
    <w:p w:rsidR="00251421" w:rsidRPr="00251421" w:rsidRDefault="00251421" w:rsidP="00251421">
      <w:pPr>
        <w:spacing w:after="0" w:line="390" w:lineRule="atLeast"/>
        <w:jc w:val="both"/>
        <w:rPr>
          <w:rFonts w:ascii="Times New Roman" w:eastAsia="Times New Roman" w:hAnsi="Times New Roman" w:cs="Times New Roman"/>
          <w:color w:val="222222"/>
          <w:sz w:val="27"/>
          <w:szCs w:val="27"/>
          <w:lang w:eastAsia="ru-RU"/>
        </w:rPr>
      </w:pPr>
      <w:r w:rsidRPr="00251421">
        <w:rPr>
          <w:rFonts w:ascii="Times New Roman" w:eastAsia="Times New Roman" w:hAnsi="Times New Roman" w:cs="Times New Roman"/>
          <w:b/>
          <w:bCs/>
          <w:i/>
          <w:iCs/>
          <w:color w:val="333333"/>
          <w:sz w:val="27"/>
          <w:szCs w:val="27"/>
          <w:lang w:eastAsia="ru-RU"/>
        </w:rPr>
        <w:t>Пояснения. </w:t>
      </w:r>
      <w:r w:rsidRPr="00251421">
        <w:rPr>
          <w:rFonts w:ascii="Times New Roman" w:eastAsia="Times New Roman" w:hAnsi="Times New Roman" w:cs="Times New Roman"/>
          <w:color w:val="222222"/>
          <w:sz w:val="27"/>
          <w:szCs w:val="27"/>
          <w:lang w:eastAsia="ru-RU"/>
        </w:rPr>
        <w:t>Электронная версия калькулятора доступна для загрузки на смартфоны и планшеты (http://www.pocket.md/80/star-ii.html). Это наиболее распространенный из всех калькуляторов риска глаукомы у пациентов с офтальмогипертензией в настоящее время (Ameen S., Javaid F., Cordeiro M.F. Risk calculators in glaucoma // Exp Rev Ophthalmol. 2016; 11(1): 21-27. DOI: 10.1586/17469899.2016.1136213).</w:t>
      </w:r>
    </w:p>
    <w:p w:rsidR="006255D7" w:rsidRDefault="006255D7">
      <w:bookmarkStart w:id="0" w:name="_GoBack"/>
      <w:bookmarkEnd w:id="0"/>
    </w:p>
    <w:sectPr w:rsidR="006255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1E86"/>
    <w:multiLevelType w:val="multilevel"/>
    <w:tmpl w:val="4FA61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205228"/>
    <w:multiLevelType w:val="multilevel"/>
    <w:tmpl w:val="40183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C21A6D"/>
    <w:multiLevelType w:val="multilevel"/>
    <w:tmpl w:val="05B8D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BE6458"/>
    <w:multiLevelType w:val="multilevel"/>
    <w:tmpl w:val="9334D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9B4998"/>
    <w:multiLevelType w:val="multilevel"/>
    <w:tmpl w:val="036EF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B87DBC"/>
    <w:multiLevelType w:val="multilevel"/>
    <w:tmpl w:val="CD085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2C3AEC"/>
    <w:multiLevelType w:val="multilevel"/>
    <w:tmpl w:val="6F3CA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8313C1"/>
    <w:multiLevelType w:val="multilevel"/>
    <w:tmpl w:val="F9E6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C50923"/>
    <w:multiLevelType w:val="multilevel"/>
    <w:tmpl w:val="6128A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BB6A29"/>
    <w:multiLevelType w:val="multilevel"/>
    <w:tmpl w:val="DB4C9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122898"/>
    <w:multiLevelType w:val="multilevel"/>
    <w:tmpl w:val="2A1CC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572EB1"/>
    <w:multiLevelType w:val="multilevel"/>
    <w:tmpl w:val="F17CB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E67A9E"/>
    <w:multiLevelType w:val="multilevel"/>
    <w:tmpl w:val="C340F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557B90"/>
    <w:multiLevelType w:val="multilevel"/>
    <w:tmpl w:val="22EC3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5C78C8"/>
    <w:multiLevelType w:val="multilevel"/>
    <w:tmpl w:val="CBFC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D739AD"/>
    <w:multiLevelType w:val="multilevel"/>
    <w:tmpl w:val="B0F2E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7E3D00"/>
    <w:multiLevelType w:val="multilevel"/>
    <w:tmpl w:val="CED67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3B6798"/>
    <w:multiLevelType w:val="multilevel"/>
    <w:tmpl w:val="ED706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7D1A9B"/>
    <w:multiLevelType w:val="multilevel"/>
    <w:tmpl w:val="CE669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935B41"/>
    <w:multiLevelType w:val="multilevel"/>
    <w:tmpl w:val="487C3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F3E22D8"/>
    <w:multiLevelType w:val="multilevel"/>
    <w:tmpl w:val="D1B48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0957A8"/>
    <w:multiLevelType w:val="multilevel"/>
    <w:tmpl w:val="3946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E62DE3"/>
    <w:multiLevelType w:val="multilevel"/>
    <w:tmpl w:val="26946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7B049D"/>
    <w:multiLevelType w:val="multilevel"/>
    <w:tmpl w:val="6598D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055234"/>
    <w:multiLevelType w:val="multilevel"/>
    <w:tmpl w:val="A9A22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D5137C"/>
    <w:multiLevelType w:val="multilevel"/>
    <w:tmpl w:val="764E0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B67FE6"/>
    <w:multiLevelType w:val="multilevel"/>
    <w:tmpl w:val="E8F8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842F9E"/>
    <w:multiLevelType w:val="multilevel"/>
    <w:tmpl w:val="F5CAC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95D476F"/>
    <w:multiLevelType w:val="multilevel"/>
    <w:tmpl w:val="699AC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F31D3E"/>
    <w:multiLevelType w:val="multilevel"/>
    <w:tmpl w:val="031A5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70520"/>
    <w:multiLevelType w:val="multilevel"/>
    <w:tmpl w:val="A8869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AD6BA3"/>
    <w:multiLevelType w:val="multilevel"/>
    <w:tmpl w:val="249A8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DF7AE6"/>
    <w:multiLevelType w:val="multilevel"/>
    <w:tmpl w:val="28C21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4D36CB"/>
    <w:multiLevelType w:val="multilevel"/>
    <w:tmpl w:val="76D42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2D2486"/>
    <w:multiLevelType w:val="multilevel"/>
    <w:tmpl w:val="B27CD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8040DB"/>
    <w:multiLevelType w:val="multilevel"/>
    <w:tmpl w:val="8288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0E000B9"/>
    <w:multiLevelType w:val="multilevel"/>
    <w:tmpl w:val="F18A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F95E46"/>
    <w:multiLevelType w:val="multilevel"/>
    <w:tmpl w:val="FB8EF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494082"/>
    <w:multiLevelType w:val="multilevel"/>
    <w:tmpl w:val="08F4E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7EB4F4D"/>
    <w:multiLevelType w:val="multilevel"/>
    <w:tmpl w:val="193A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9A085F"/>
    <w:multiLevelType w:val="multilevel"/>
    <w:tmpl w:val="A8AA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3"/>
  </w:num>
  <w:num w:numId="3">
    <w:abstractNumId w:val="3"/>
  </w:num>
  <w:num w:numId="4">
    <w:abstractNumId w:val="27"/>
  </w:num>
  <w:num w:numId="5">
    <w:abstractNumId w:val="22"/>
  </w:num>
  <w:num w:numId="6">
    <w:abstractNumId w:val="15"/>
  </w:num>
  <w:num w:numId="7">
    <w:abstractNumId w:val="2"/>
  </w:num>
  <w:num w:numId="8">
    <w:abstractNumId w:val="16"/>
  </w:num>
  <w:num w:numId="9">
    <w:abstractNumId w:val="38"/>
  </w:num>
  <w:num w:numId="10">
    <w:abstractNumId w:val="6"/>
  </w:num>
  <w:num w:numId="11">
    <w:abstractNumId w:val="37"/>
  </w:num>
  <w:num w:numId="12">
    <w:abstractNumId w:val="21"/>
  </w:num>
  <w:num w:numId="13">
    <w:abstractNumId w:val="1"/>
  </w:num>
  <w:num w:numId="14">
    <w:abstractNumId w:val="31"/>
  </w:num>
  <w:num w:numId="15">
    <w:abstractNumId w:val="20"/>
  </w:num>
  <w:num w:numId="16">
    <w:abstractNumId w:val="24"/>
  </w:num>
  <w:num w:numId="17">
    <w:abstractNumId w:val="11"/>
  </w:num>
  <w:num w:numId="18">
    <w:abstractNumId w:val="28"/>
  </w:num>
  <w:num w:numId="19">
    <w:abstractNumId w:val="14"/>
  </w:num>
  <w:num w:numId="20">
    <w:abstractNumId w:val="30"/>
  </w:num>
  <w:num w:numId="21">
    <w:abstractNumId w:val="5"/>
  </w:num>
  <w:num w:numId="22">
    <w:abstractNumId w:val="18"/>
  </w:num>
  <w:num w:numId="23">
    <w:abstractNumId w:val="8"/>
  </w:num>
  <w:num w:numId="24">
    <w:abstractNumId w:val="36"/>
  </w:num>
  <w:num w:numId="25">
    <w:abstractNumId w:val="25"/>
  </w:num>
  <w:num w:numId="26">
    <w:abstractNumId w:val="0"/>
  </w:num>
  <w:num w:numId="27">
    <w:abstractNumId w:val="29"/>
  </w:num>
  <w:num w:numId="28">
    <w:abstractNumId w:val="40"/>
  </w:num>
  <w:num w:numId="29">
    <w:abstractNumId w:val="33"/>
  </w:num>
  <w:num w:numId="30">
    <w:abstractNumId w:val="35"/>
  </w:num>
  <w:num w:numId="31">
    <w:abstractNumId w:val="34"/>
  </w:num>
  <w:num w:numId="32">
    <w:abstractNumId w:val="12"/>
  </w:num>
  <w:num w:numId="33">
    <w:abstractNumId w:val="32"/>
  </w:num>
  <w:num w:numId="34">
    <w:abstractNumId w:val="39"/>
  </w:num>
  <w:num w:numId="35">
    <w:abstractNumId w:val="13"/>
  </w:num>
  <w:num w:numId="36">
    <w:abstractNumId w:val="7"/>
  </w:num>
  <w:num w:numId="37">
    <w:abstractNumId w:val="10"/>
  </w:num>
  <w:num w:numId="38">
    <w:abstractNumId w:val="17"/>
  </w:num>
  <w:num w:numId="39">
    <w:abstractNumId w:val="26"/>
  </w:num>
  <w:num w:numId="40">
    <w:abstractNumId w:val="19"/>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5F6"/>
    <w:rsid w:val="00251421"/>
    <w:rsid w:val="006255D7"/>
    <w:rsid w:val="00D35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FF227F-50E4-4A4E-9ED6-C131B8799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514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5142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142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51421"/>
    <w:rPr>
      <w:rFonts w:ascii="Times New Roman" w:eastAsia="Times New Roman" w:hAnsi="Times New Roman" w:cs="Times New Roman"/>
      <w:b/>
      <w:bCs/>
      <w:sz w:val="36"/>
      <w:szCs w:val="36"/>
      <w:lang w:eastAsia="ru-RU"/>
    </w:rPr>
  </w:style>
  <w:style w:type="paragraph" w:customStyle="1" w:styleId="msonormal0">
    <w:name w:val="msonormal"/>
    <w:basedOn w:val="a"/>
    <w:rsid w:val="002514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251421"/>
  </w:style>
  <w:style w:type="paragraph" w:styleId="a3">
    <w:name w:val="Normal (Web)"/>
    <w:basedOn w:val="a"/>
    <w:uiPriority w:val="99"/>
    <w:semiHidden/>
    <w:unhideWhenUsed/>
    <w:rsid w:val="002514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251421"/>
    <w:rPr>
      <w:i/>
      <w:iCs/>
    </w:rPr>
  </w:style>
  <w:style w:type="character" w:styleId="a5">
    <w:name w:val="Strong"/>
    <w:basedOn w:val="a0"/>
    <w:uiPriority w:val="22"/>
    <w:qFormat/>
    <w:rsid w:val="00251421"/>
    <w:rPr>
      <w:b/>
      <w:bCs/>
    </w:rPr>
  </w:style>
  <w:style w:type="paragraph" w:customStyle="1" w:styleId="marginl">
    <w:name w:val="marginl"/>
    <w:basedOn w:val="a"/>
    <w:rsid w:val="002514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51421"/>
    <w:rPr>
      <w:color w:val="0000FF"/>
      <w:u w:val="single"/>
    </w:rPr>
  </w:style>
  <w:style w:type="character" w:styleId="a7">
    <w:name w:val="FollowedHyperlink"/>
    <w:basedOn w:val="a0"/>
    <w:uiPriority w:val="99"/>
    <w:semiHidden/>
    <w:unhideWhenUsed/>
    <w:rsid w:val="0025142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506948">
      <w:bodyDiv w:val="1"/>
      <w:marLeft w:val="0"/>
      <w:marRight w:val="0"/>
      <w:marTop w:val="0"/>
      <w:marBottom w:val="0"/>
      <w:divBdr>
        <w:top w:val="none" w:sz="0" w:space="0" w:color="auto"/>
        <w:left w:val="none" w:sz="0" w:space="0" w:color="auto"/>
        <w:bottom w:val="none" w:sz="0" w:space="0" w:color="auto"/>
        <w:right w:val="none" w:sz="0" w:space="0" w:color="auto"/>
      </w:divBdr>
      <w:divsChild>
        <w:div w:id="1274358561">
          <w:marLeft w:val="0"/>
          <w:marRight w:val="0"/>
          <w:marTop w:val="0"/>
          <w:marBottom w:val="0"/>
          <w:divBdr>
            <w:top w:val="none" w:sz="0" w:space="0" w:color="auto"/>
            <w:left w:val="none" w:sz="0" w:space="0" w:color="auto"/>
            <w:bottom w:val="single" w:sz="36" w:space="0" w:color="D3D3E8"/>
            <w:right w:val="none" w:sz="0" w:space="0" w:color="auto"/>
          </w:divBdr>
          <w:divsChild>
            <w:div w:id="1451900884">
              <w:marLeft w:val="0"/>
              <w:marRight w:val="0"/>
              <w:marTop w:val="0"/>
              <w:marBottom w:val="0"/>
              <w:divBdr>
                <w:top w:val="none" w:sz="0" w:space="0" w:color="auto"/>
                <w:left w:val="none" w:sz="0" w:space="0" w:color="auto"/>
                <w:bottom w:val="none" w:sz="0" w:space="0" w:color="auto"/>
                <w:right w:val="none" w:sz="0" w:space="0" w:color="auto"/>
              </w:divBdr>
              <w:divsChild>
                <w:div w:id="855077571">
                  <w:marLeft w:val="0"/>
                  <w:marRight w:val="0"/>
                  <w:marTop w:val="0"/>
                  <w:marBottom w:val="0"/>
                  <w:divBdr>
                    <w:top w:val="none" w:sz="0" w:space="0" w:color="auto"/>
                    <w:left w:val="none" w:sz="0" w:space="0" w:color="auto"/>
                    <w:bottom w:val="none" w:sz="0" w:space="0" w:color="auto"/>
                    <w:right w:val="none" w:sz="0" w:space="0" w:color="auto"/>
                  </w:divBdr>
                </w:div>
                <w:div w:id="2096709284">
                  <w:marLeft w:val="600"/>
                  <w:marRight w:val="450"/>
                  <w:marTop w:val="0"/>
                  <w:marBottom w:val="0"/>
                  <w:divBdr>
                    <w:top w:val="none" w:sz="0" w:space="0" w:color="auto"/>
                    <w:left w:val="none" w:sz="0" w:space="0" w:color="auto"/>
                    <w:bottom w:val="none" w:sz="0" w:space="0" w:color="auto"/>
                    <w:right w:val="none" w:sz="0" w:space="0" w:color="auto"/>
                  </w:divBdr>
                  <w:divsChild>
                    <w:div w:id="1276717321">
                      <w:marLeft w:val="0"/>
                      <w:marRight w:val="0"/>
                      <w:marTop w:val="0"/>
                      <w:marBottom w:val="150"/>
                      <w:divBdr>
                        <w:top w:val="none" w:sz="0" w:space="0" w:color="auto"/>
                        <w:left w:val="none" w:sz="0" w:space="0" w:color="auto"/>
                        <w:bottom w:val="none" w:sz="0" w:space="0" w:color="auto"/>
                        <w:right w:val="none" w:sz="0" w:space="0" w:color="auto"/>
                      </w:divBdr>
                    </w:div>
                    <w:div w:id="1259173229">
                      <w:marLeft w:val="0"/>
                      <w:marRight w:val="0"/>
                      <w:marTop w:val="0"/>
                      <w:marBottom w:val="150"/>
                      <w:divBdr>
                        <w:top w:val="none" w:sz="0" w:space="0" w:color="auto"/>
                        <w:left w:val="none" w:sz="0" w:space="0" w:color="auto"/>
                        <w:bottom w:val="none" w:sz="0" w:space="0" w:color="auto"/>
                        <w:right w:val="none" w:sz="0" w:space="0" w:color="auto"/>
                      </w:divBdr>
                    </w:div>
                    <w:div w:id="222377377">
                      <w:marLeft w:val="0"/>
                      <w:marRight w:val="0"/>
                      <w:marTop w:val="0"/>
                      <w:marBottom w:val="150"/>
                      <w:divBdr>
                        <w:top w:val="none" w:sz="0" w:space="0" w:color="auto"/>
                        <w:left w:val="none" w:sz="0" w:space="0" w:color="auto"/>
                        <w:bottom w:val="none" w:sz="0" w:space="0" w:color="auto"/>
                        <w:right w:val="none" w:sz="0" w:space="0" w:color="auto"/>
                      </w:divBdr>
                    </w:div>
                  </w:divsChild>
                </w:div>
                <w:div w:id="1504511080">
                  <w:marLeft w:val="600"/>
                  <w:marRight w:val="450"/>
                  <w:marTop w:val="0"/>
                  <w:marBottom w:val="0"/>
                  <w:divBdr>
                    <w:top w:val="none" w:sz="0" w:space="0" w:color="auto"/>
                    <w:left w:val="none" w:sz="0" w:space="0" w:color="auto"/>
                    <w:bottom w:val="none" w:sz="0" w:space="0" w:color="auto"/>
                    <w:right w:val="none" w:sz="0" w:space="0" w:color="auto"/>
                  </w:divBdr>
                  <w:divsChild>
                    <w:div w:id="852107353">
                      <w:marLeft w:val="0"/>
                      <w:marRight w:val="0"/>
                      <w:marTop w:val="0"/>
                      <w:marBottom w:val="150"/>
                      <w:divBdr>
                        <w:top w:val="none" w:sz="0" w:space="0" w:color="auto"/>
                        <w:left w:val="none" w:sz="0" w:space="0" w:color="auto"/>
                        <w:bottom w:val="none" w:sz="0" w:space="0" w:color="auto"/>
                        <w:right w:val="none" w:sz="0" w:space="0" w:color="auto"/>
                      </w:divBdr>
                    </w:div>
                    <w:div w:id="2001959189">
                      <w:marLeft w:val="0"/>
                      <w:marRight w:val="0"/>
                      <w:marTop w:val="0"/>
                      <w:marBottom w:val="150"/>
                      <w:divBdr>
                        <w:top w:val="none" w:sz="0" w:space="0" w:color="auto"/>
                        <w:left w:val="none" w:sz="0" w:space="0" w:color="auto"/>
                        <w:bottom w:val="none" w:sz="0" w:space="0" w:color="auto"/>
                        <w:right w:val="none" w:sz="0" w:space="0" w:color="auto"/>
                      </w:divBdr>
                    </w:div>
                  </w:divsChild>
                </w:div>
                <w:div w:id="1796486977">
                  <w:marLeft w:val="0"/>
                  <w:marRight w:val="450"/>
                  <w:marTop w:val="0"/>
                  <w:marBottom w:val="0"/>
                  <w:divBdr>
                    <w:top w:val="none" w:sz="0" w:space="0" w:color="auto"/>
                    <w:left w:val="none" w:sz="0" w:space="0" w:color="auto"/>
                    <w:bottom w:val="none" w:sz="0" w:space="0" w:color="auto"/>
                    <w:right w:val="none" w:sz="0" w:space="0" w:color="auto"/>
                  </w:divBdr>
                  <w:divsChild>
                    <w:div w:id="2014990634">
                      <w:marLeft w:val="0"/>
                      <w:marRight w:val="0"/>
                      <w:marTop w:val="0"/>
                      <w:marBottom w:val="150"/>
                      <w:divBdr>
                        <w:top w:val="none" w:sz="0" w:space="0" w:color="auto"/>
                        <w:left w:val="none" w:sz="0" w:space="0" w:color="auto"/>
                        <w:bottom w:val="none" w:sz="0" w:space="0" w:color="auto"/>
                        <w:right w:val="none" w:sz="0" w:space="0" w:color="auto"/>
                      </w:divBdr>
                    </w:div>
                    <w:div w:id="12236394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95796667">
          <w:marLeft w:val="0"/>
          <w:marRight w:val="0"/>
          <w:marTop w:val="0"/>
          <w:marBottom w:val="0"/>
          <w:divBdr>
            <w:top w:val="none" w:sz="0" w:space="0" w:color="auto"/>
            <w:left w:val="none" w:sz="0" w:space="0" w:color="auto"/>
            <w:bottom w:val="none" w:sz="0" w:space="0" w:color="auto"/>
            <w:right w:val="none" w:sz="0" w:space="0" w:color="auto"/>
          </w:divBdr>
          <w:divsChild>
            <w:div w:id="1232084022">
              <w:marLeft w:val="0"/>
              <w:marRight w:val="0"/>
              <w:marTop w:val="0"/>
              <w:marBottom w:val="0"/>
              <w:divBdr>
                <w:top w:val="none" w:sz="0" w:space="0" w:color="auto"/>
                <w:left w:val="none" w:sz="0" w:space="0" w:color="auto"/>
                <w:bottom w:val="none" w:sz="0" w:space="0" w:color="auto"/>
                <w:right w:val="none" w:sz="0" w:space="0" w:color="auto"/>
              </w:divBdr>
              <w:divsChild>
                <w:div w:id="1973053810">
                  <w:marLeft w:val="0"/>
                  <w:marRight w:val="0"/>
                  <w:marTop w:val="0"/>
                  <w:marBottom w:val="0"/>
                  <w:divBdr>
                    <w:top w:val="none" w:sz="0" w:space="0" w:color="auto"/>
                    <w:left w:val="none" w:sz="0" w:space="0" w:color="auto"/>
                    <w:bottom w:val="none" w:sz="0" w:space="0" w:color="auto"/>
                    <w:right w:val="none" w:sz="0" w:space="0" w:color="auto"/>
                  </w:divBdr>
                  <w:divsChild>
                    <w:div w:id="1945651642">
                      <w:marLeft w:val="0"/>
                      <w:marRight w:val="0"/>
                      <w:marTop w:val="0"/>
                      <w:marBottom w:val="0"/>
                      <w:divBdr>
                        <w:top w:val="none" w:sz="0" w:space="0" w:color="auto"/>
                        <w:left w:val="none" w:sz="0" w:space="0" w:color="auto"/>
                        <w:bottom w:val="none" w:sz="0" w:space="0" w:color="auto"/>
                        <w:right w:val="none" w:sz="0" w:space="0" w:color="auto"/>
                      </w:divBdr>
                      <w:divsChild>
                        <w:div w:id="47048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956381">
                  <w:marLeft w:val="0"/>
                  <w:marRight w:val="0"/>
                  <w:marTop w:val="0"/>
                  <w:marBottom w:val="0"/>
                  <w:divBdr>
                    <w:top w:val="none" w:sz="0" w:space="0" w:color="auto"/>
                    <w:left w:val="none" w:sz="0" w:space="0" w:color="auto"/>
                    <w:bottom w:val="none" w:sz="0" w:space="0" w:color="auto"/>
                    <w:right w:val="none" w:sz="0" w:space="0" w:color="auto"/>
                  </w:divBdr>
                  <w:divsChild>
                    <w:div w:id="1455979555">
                      <w:marLeft w:val="0"/>
                      <w:marRight w:val="0"/>
                      <w:marTop w:val="0"/>
                      <w:marBottom w:val="0"/>
                      <w:divBdr>
                        <w:top w:val="none" w:sz="0" w:space="0" w:color="auto"/>
                        <w:left w:val="none" w:sz="0" w:space="0" w:color="auto"/>
                        <w:bottom w:val="none" w:sz="0" w:space="0" w:color="auto"/>
                        <w:right w:val="none" w:sz="0" w:space="0" w:color="auto"/>
                      </w:divBdr>
                      <w:divsChild>
                        <w:div w:id="172733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541148">
                  <w:marLeft w:val="0"/>
                  <w:marRight w:val="0"/>
                  <w:marTop w:val="0"/>
                  <w:marBottom w:val="0"/>
                  <w:divBdr>
                    <w:top w:val="none" w:sz="0" w:space="0" w:color="auto"/>
                    <w:left w:val="none" w:sz="0" w:space="0" w:color="auto"/>
                    <w:bottom w:val="none" w:sz="0" w:space="0" w:color="auto"/>
                    <w:right w:val="none" w:sz="0" w:space="0" w:color="auto"/>
                  </w:divBdr>
                </w:div>
                <w:div w:id="159589182">
                  <w:marLeft w:val="0"/>
                  <w:marRight w:val="0"/>
                  <w:marTop w:val="0"/>
                  <w:marBottom w:val="0"/>
                  <w:divBdr>
                    <w:top w:val="none" w:sz="0" w:space="0" w:color="auto"/>
                    <w:left w:val="none" w:sz="0" w:space="0" w:color="auto"/>
                    <w:bottom w:val="none" w:sz="0" w:space="0" w:color="auto"/>
                    <w:right w:val="none" w:sz="0" w:space="0" w:color="auto"/>
                  </w:divBdr>
                  <w:divsChild>
                    <w:div w:id="825782076">
                      <w:marLeft w:val="0"/>
                      <w:marRight w:val="0"/>
                      <w:marTop w:val="0"/>
                      <w:marBottom w:val="0"/>
                      <w:divBdr>
                        <w:top w:val="none" w:sz="0" w:space="0" w:color="auto"/>
                        <w:left w:val="none" w:sz="0" w:space="0" w:color="auto"/>
                        <w:bottom w:val="none" w:sz="0" w:space="0" w:color="auto"/>
                        <w:right w:val="none" w:sz="0" w:space="0" w:color="auto"/>
                      </w:divBdr>
                      <w:divsChild>
                        <w:div w:id="59686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442241">
                  <w:marLeft w:val="0"/>
                  <w:marRight w:val="0"/>
                  <w:marTop w:val="0"/>
                  <w:marBottom w:val="0"/>
                  <w:divBdr>
                    <w:top w:val="none" w:sz="0" w:space="0" w:color="auto"/>
                    <w:left w:val="none" w:sz="0" w:space="0" w:color="auto"/>
                    <w:bottom w:val="none" w:sz="0" w:space="0" w:color="auto"/>
                    <w:right w:val="none" w:sz="0" w:space="0" w:color="auto"/>
                  </w:divBdr>
                  <w:divsChild>
                    <w:div w:id="1279485631">
                      <w:marLeft w:val="0"/>
                      <w:marRight w:val="0"/>
                      <w:marTop w:val="0"/>
                      <w:marBottom w:val="0"/>
                      <w:divBdr>
                        <w:top w:val="none" w:sz="0" w:space="0" w:color="auto"/>
                        <w:left w:val="none" w:sz="0" w:space="0" w:color="auto"/>
                        <w:bottom w:val="none" w:sz="0" w:space="0" w:color="auto"/>
                        <w:right w:val="none" w:sz="0" w:space="0" w:color="auto"/>
                      </w:divBdr>
                      <w:divsChild>
                        <w:div w:id="12269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2567">
                  <w:marLeft w:val="0"/>
                  <w:marRight w:val="0"/>
                  <w:marTop w:val="0"/>
                  <w:marBottom w:val="0"/>
                  <w:divBdr>
                    <w:top w:val="none" w:sz="0" w:space="0" w:color="auto"/>
                    <w:left w:val="none" w:sz="0" w:space="0" w:color="auto"/>
                    <w:bottom w:val="none" w:sz="0" w:space="0" w:color="auto"/>
                    <w:right w:val="none" w:sz="0" w:space="0" w:color="auto"/>
                  </w:divBdr>
                  <w:divsChild>
                    <w:div w:id="1942519268">
                      <w:marLeft w:val="0"/>
                      <w:marRight w:val="0"/>
                      <w:marTop w:val="0"/>
                      <w:marBottom w:val="0"/>
                      <w:divBdr>
                        <w:top w:val="none" w:sz="0" w:space="0" w:color="auto"/>
                        <w:left w:val="none" w:sz="0" w:space="0" w:color="auto"/>
                        <w:bottom w:val="none" w:sz="0" w:space="0" w:color="auto"/>
                        <w:right w:val="none" w:sz="0" w:space="0" w:color="auto"/>
                      </w:divBdr>
                      <w:divsChild>
                        <w:div w:id="176364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903453">
                  <w:marLeft w:val="0"/>
                  <w:marRight w:val="0"/>
                  <w:marTop w:val="0"/>
                  <w:marBottom w:val="0"/>
                  <w:divBdr>
                    <w:top w:val="none" w:sz="0" w:space="0" w:color="auto"/>
                    <w:left w:val="none" w:sz="0" w:space="0" w:color="auto"/>
                    <w:bottom w:val="none" w:sz="0" w:space="0" w:color="auto"/>
                    <w:right w:val="none" w:sz="0" w:space="0" w:color="auto"/>
                  </w:divBdr>
                  <w:divsChild>
                    <w:div w:id="192235568">
                      <w:marLeft w:val="0"/>
                      <w:marRight w:val="0"/>
                      <w:marTop w:val="0"/>
                      <w:marBottom w:val="0"/>
                      <w:divBdr>
                        <w:top w:val="none" w:sz="0" w:space="0" w:color="auto"/>
                        <w:left w:val="none" w:sz="0" w:space="0" w:color="auto"/>
                        <w:bottom w:val="none" w:sz="0" w:space="0" w:color="auto"/>
                        <w:right w:val="none" w:sz="0" w:space="0" w:color="auto"/>
                      </w:divBdr>
                      <w:divsChild>
                        <w:div w:id="174152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85407">
                  <w:marLeft w:val="0"/>
                  <w:marRight w:val="0"/>
                  <w:marTop w:val="0"/>
                  <w:marBottom w:val="0"/>
                  <w:divBdr>
                    <w:top w:val="none" w:sz="0" w:space="0" w:color="auto"/>
                    <w:left w:val="none" w:sz="0" w:space="0" w:color="auto"/>
                    <w:bottom w:val="none" w:sz="0" w:space="0" w:color="auto"/>
                    <w:right w:val="none" w:sz="0" w:space="0" w:color="auto"/>
                  </w:divBdr>
                  <w:divsChild>
                    <w:div w:id="1727870739">
                      <w:marLeft w:val="0"/>
                      <w:marRight w:val="0"/>
                      <w:marTop w:val="0"/>
                      <w:marBottom w:val="0"/>
                      <w:divBdr>
                        <w:top w:val="none" w:sz="0" w:space="0" w:color="auto"/>
                        <w:left w:val="none" w:sz="0" w:space="0" w:color="auto"/>
                        <w:bottom w:val="none" w:sz="0" w:space="0" w:color="auto"/>
                        <w:right w:val="none" w:sz="0" w:space="0" w:color="auto"/>
                      </w:divBdr>
                      <w:divsChild>
                        <w:div w:id="64173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078681">
                  <w:marLeft w:val="0"/>
                  <w:marRight w:val="0"/>
                  <w:marTop w:val="0"/>
                  <w:marBottom w:val="0"/>
                  <w:divBdr>
                    <w:top w:val="none" w:sz="0" w:space="0" w:color="auto"/>
                    <w:left w:val="none" w:sz="0" w:space="0" w:color="auto"/>
                    <w:bottom w:val="none" w:sz="0" w:space="0" w:color="auto"/>
                    <w:right w:val="none" w:sz="0" w:space="0" w:color="auto"/>
                  </w:divBdr>
                  <w:divsChild>
                    <w:div w:id="1608150943">
                      <w:marLeft w:val="0"/>
                      <w:marRight w:val="0"/>
                      <w:marTop w:val="0"/>
                      <w:marBottom w:val="0"/>
                      <w:divBdr>
                        <w:top w:val="none" w:sz="0" w:space="0" w:color="auto"/>
                        <w:left w:val="none" w:sz="0" w:space="0" w:color="auto"/>
                        <w:bottom w:val="none" w:sz="0" w:space="0" w:color="auto"/>
                        <w:right w:val="none" w:sz="0" w:space="0" w:color="auto"/>
                      </w:divBdr>
                      <w:divsChild>
                        <w:div w:id="211879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09623">
                  <w:marLeft w:val="0"/>
                  <w:marRight w:val="0"/>
                  <w:marTop w:val="0"/>
                  <w:marBottom w:val="0"/>
                  <w:divBdr>
                    <w:top w:val="none" w:sz="0" w:space="0" w:color="auto"/>
                    <w:left w:val="none" w:sz="0" w:space="0" w:color="auto"/>
                    <w:bottom w:val="none" w:sz="0" w:space="0" w:color="auto"/>
                    <w:right w:val="none" w:sz="0" w:space="0" w:color="auto"/>
                  </w:divBdr>
                  <w:divsChild>
                    <w:div w:id="1560239318">
                      <w:marLeft w:val="0"/>
                      <w:marRight w:val="0"/>
                      <w:marTop w:val="0"/>
                      <w:marBottom w:val="0"/>
                      <w:divBdr>
                        <w:top w:val="none" w:sz="0" w:space="0" w:color="auto"/>
                        <w:left w:val="none" w:sz="0" w:space="0" w:color="auto"/>
                        <w:bottom w:val="none" w:sz="0" w:space="0" w:color="auto"/>
                        <w:right w:val="none" w:sz="0" w:space="0" w:color="auto"/>
                      </w:divBdr>
                      <w:divsChild>
                        <w:div w:id="15146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412428">
                  <w:marLeft w:val="0"/>
                  <w:marRight w:val="0"/>
                  <w:marTop w:val="0"/>
                  <w:marBottom w:val="0"/>
                  <w:divBdr>
                    <w:top w:val="none" w:sz="0" w:space="0" w:color="auto"/>
                    <w:left w:val="none" w:sz="0" w:space="0" w:color="auto"/>
                    <w:bottom w:val="none" w:sz="0" w:space="0" w:color="auto"/>
                    <w:right w:val="none" w:sz="0" w:space="0" w:color="auto"/>
                  </w:divBdr>
                  <w:divsChild>
                    <w:div w:id="144931669">
                      <w:marLeft w:val="0"/>
                      <w:marRight w:val="0"/>
                      <w:marTop w:val="0"/>
                      <w:marBottom w:val="0"/>
                      <w:divBdr>
                        <w:top w:val="none" w:sz="0" w:space="0" w:color="auto"/>
                        <w:left w:val="none" w:sz="0" w:space="0" w:color="auto"/>
                        <w:bottom w:val="none" w:sz="0" w:space="0" w:color="auto"/>
                        <w:right w:val="none" w:sz="0" w:space="0" w:color="auto"/>
                      </w:divBdr>
                      <w:divsChild>
                        <w:div w:id="158113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08884">
                  <w:marLeft w:val="0"/>
                  <w:marRight w:val="0"/>
                  <w:marTop w:val="0"/>
                  <w:marBottom w:val="0"/>
                  <w:divBdr>
                    <w:top w:val="none" w:sz="0" w:space="0" w:color="auto"/>
                    <w:left w:val="none" w:sz="0" w:space="0" w:color="auto"/>
                    <w:bottom w:val="none" w:sz="0" w:space="0" w:color="auto"/>
                    <w:right w:val="none" w:sz="0" w:space="0" w:color="auto"/>
                  </w:divBdr>
                  <w:divsChild>
                    <w:div w:id="1035276521">
                      <w:marLeft w:val="0"/>
                      <w:marRight w:val="0"/>
                      <w:marTop w:val="0"/>
                      <w:marBottom w:val="0"/>
                      <w:divBdr>
                        <w:top w:val="none" w:sz="0" w:space="0" w:color="auto"/>
                        <w:left w:val="none" w:sz="0" w:space="0" w:color="auto"/>
                        <w:bottom w:val="none" w:sz="0" w:space="0" w:color="auto"/>
                        <w:right w:val="none" w:sz="0" w:space="0" w:color="auto"/>
                      </w:divBdr>
                      <w:divsChild>
                        <w:div w:id="155701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312165">
                  <w:marLeft w:val="0"/>
                  <w:marRight w:val="0"/>
                  <w:marTop w:val="0"/>
                  <w:marBottom w:val="0"/>
                  <w:divBdr>
                    <w:top w:val="none" w:sz="0" w:space="0" w:color="auto"/>
                    <w:left w:val="none" w:sz="0" w:space="0" w:color="auto"/>
                    <w:bottom w:val="none" w:sz="0" w:space="0" w:color="auto"/>
                    <w:right w:val="none" w:sz="0" w:space="0" w:color="auto"/>
                  </w:divBdr>
                  <w:divsChild>
                    <w:div w:id="807431343">
                      <w:marLeft w:val="0"/>
                      <w:marRight w:val="0"/>
                      <w:marTop w:val="0"/>
                      <w:marBottom w:val="0"/>
                      <w:divBdr>
                        <w:top w:val="none" w:sz="0" w:space="0" w:color="auto"/>
                        <w:left w:val="none" w:sz="0" w:space="0" w:color="auto"/>
                        <w:bottom w:val="none" w:sz="0" w:space="0" w:color="auto"/>
                        <w:right w:val="none" w:sz="0" w:space="0" w:color="auto"/>
                      </w:divBdr>
                      <w:divsChild>
                        <w:div w:id="34055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5359">
                  <w:marLeft w:val="0"/>
                  <w:marRight w:val="0"/>
                  <w:marTop w:val="0"/>
                  <w:marBottom w:val="0"/>
                  <w:divBdr>
                    <w:top w:val="none" w:sz="0" w:space="0" w:color="auto"/>
                    <w:left w:val="none" w:sz="0" w:space="0" w:color="auto"/>
                    <w:bottom w:val="none" w:sz="0" w:space="0" w:color="auto"/>
                    <w:right w:val="none" w:sz="0" w:space="0" w:color="auto"/>
                  </w:divBdr>
                  <w:divsChild>
                    <w:div w:id="455879916">
                      <w:marLeft w:val="0"/>
                      <w:marRight w:val="0"/>
                      <w:marTop w:val="0"/>
                      <w:marBottom w:val="0"/>
                      <w:divBdr>
                        <w:top w:val="none" w:sz="0" w:space="0" w:color="auto"/>
                        <w:left w:val="none" w:sz="0" w:space="0" w:color="auto"/>
                        <w:bottom w:val="none" w:sz="0" w:space="0" w:color="auto"/>
                        <w:right w:val="none" w:sz="0" w:space="0" w:color="auto"/>
                      </w:divBdr>
                      <w:divsChild>
                        <w:div w:id="13020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462442">
                  <w:marLeft w:val="0"/>
                  <w:marRight w:val="0"/>
                  <w:marTop w:val="0"/>
                  <w:marBottom w:val="0"/>
                  <w:divBdr>
                    <w:top w:val="none" w:sz="0" w:space="0" w:color="auto"/>
                    <w:left w:val="none" w:sz="0" w:space="0" w:color="auto"/>
                    <w:bottom w:val="none" w:sz="0" w:space="0" w:color="auto"/>
                    <w:right w:val="none" w:sz="0" w:space="0" w:color="auto"/>
                  </w:divBdr>
                  <w:divsChild>
                    <w:div w:id="405150963">
                      <w:marLeft w:val="0"/>
                      <w:marRight w:val="0"/>
                      <w:marTop w:val="0"/>
                      <w:marBottom w:val="0"/>
                      <w:divBdr>
                        <w:top w:val="none" w:sz="0" w:space="0" w:color="auto"/>
                        <w:left w:val="none" w:sz="0" w:space="0" w:color="auto"/>
                        <w:bottom w:val="none" w:sz="0" w:space="0" w:color="auto"/>
                        <w:right w:val="none" w:sz="0" w:space="0" w:color="auto"/>
                      </w:divBdr>
                      <w:divsChild>
                        <w:div w:id="10408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256344">
                  <w:marLeft w:val="0"/>
                  <w:marRight w:val="0"/>
                  <w:marTop w:val="0"/>
                  <w:marBottom w:val="0"/>
                  <w:divBdr>
                    <w:top w:val="none" w:sz="0" w:space="0" w:color="auto"/>
                    <w:left w:val="none" w:sz="0" w:space="0" w:color="auto"/>
                    <w:bottom w:val="none" w:sz="0" w:space="0" w:color="auto"/>
                    <w:right w:val="none" w:sz="0" w:space="0" w:color="auto"/>
                  </w:divBdr>
                  <w:divsChild>
                    <w:div w:id="1733887890">
                      <w:marLeft w:val="0"/>
                      <w:marRight w:val="0"/>
                      <w:marTop w:val="0"/>
                      <w:marBottom w:val="0"/>
                      <w:divBdr>
                        <w:top w:val="none" w:sz="0" w:space="0" w:color="auto"/>
                        <w:left w:val="none" w:sz="0" w:space="0" w:color="auto"/>
                        <w:bottom w:val="none" w:sz="0" w:space="0" w:color="auto"/>
                        <w:right w:val="none" w:sz="0" w:space="0" w:color="auto"/>
                      </w:divBdr>
                      <w:divsChild>
                        <w:div w:id="23327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432177">
                  <w:marLeft w:val="0"/>
                  <w:marRight w:val="0"/>
                  <w:marTop w:val="0"/>
                  <w:marBottom w:val="0"/>
                  <w:divBdr>
                    <w:top w:val="none" w:sz="0" w:space="0" w:color="auto"/>
                    <w:left w:val="none" w:sz="0" w:space="0" w:color="auto"/>
                    <w:bottom w:val="none" w:sz="0" w:space="0" w:color="auto"/>
                    <w:right w:val="none" w:sz="0" w:space="0" w:color="auto"/>
                  </w:divBdr>
                  <w:divsChild>
                    <w:div w:id="1759864903">
                      <w:marLeft w:val="0"/>
                      <w:marRight w:val="0"/>
                      <w:marTop w:val="0"/>
                      <w:marBottom w:val="0"/>
                      <w:divBdr>
                        <w:top w:val="none" w:sz="0" w:space="0" w:color="auto"/>
                        <w:left w:val="none" w:sz="0" w:space="0" w:color="auto"/>
                        <w:bottom w:val="none" w:sz="0" w:space="0" w:color="auto"/>
                        <w:right w:val="none" w:sz="0" w:space="0" w:color="auto"/>
                      </w:divBdr>
                      <w:divsChild>
                        <w:div w:id="11141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5410">
                  <w:marLeft w:val="0"/>
                  <w:marRight w:val="0"/>
                  <w:marTop w:val="0"/>
                  <w:marBottom w:val="0"/>
                  <w:divBdr>
                    <w:top w:val="none" w:sz="0" w:space="0" w:color="auto"/>
                    <w:left w:val="none" w:sz="0" w:space="0" w:color="auto"/>
                    <w:bottom w:val="none" w:sz="0" w:space="0" w:color="auto"/>
                    <w:right w:val="none" w:sz="0" w:space="0" w:color="auto"/>
                  </w:divBdr>
                  <w:divsChild>
                    <w:div w:id="1950697976">
                      <w:marLeft w:val="0"/>
                      <w:marRight w:val="0"/>
                      <w:marTop w:val="0"/>
                      <w:marBottom w:val="0"/>
                      <w:divBdr>
                        <w:top w:val="none" w:sz="0" w:space="0" w:color="auto"/>
                        <w:left w:val="none" w:sz="0" w:space="0" w:color="auto"/>
                        <w:bottom w:val="none" w:sz="0" w:space="0" w:color="auto"/>
                        <w:right w:val="none" w:sz="0" w:space="0" w:color="auto"/>
                      </w:divBdr>
                      <w:divsChild>
                        <w:div w:id="182330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801461">
                  <w:marLeft w:val="0"/>
                  <w:marRight w:val="0"/>
                  <w:marTop w:val="0"/>
                  <w:marBottom w:val="0"/>
                  <w:divBdr>
                    <w:top w:val="none" w:sz="0" w:space="0" w:color="auto"/>
                    <w:left w:val="none" w:sz="0" w:space="0" w:color="auto"/>
                    <w:bottom w:val="none" w:sz="0" w:space="0" w:color="auto"/>
                    <w:right w:val="none" w:sz="0" w:space="0" w:color="auto"/>
                  </w:divBdr>
                  <w:divsChild>
                    <w:div w:id="835222873">
                      <w:marLeft w:val="0"/>
                      <w:marRight w:val="0"/>
                      <w:marTop w:val="0"/>
                      <w:marBottom w:val="0"/>
                      <w:divBdr>
                        <w:top w:val="none" w:sz="0" w:space="0" w:color="auto"/>
                        <w:left w:val="none" w:sz="0" w:space="0" w:color="auto"/>
                        <w:bottom w:val="none" w:sz="0" w:space="0" w:color="auto"/>
                        <w:right w:val="none" w:sz="0" w:space="0" w:color="auto"/>
                      </w:divBdr>
                      <w:divsChild>
                        <w:div w:id="38988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500916">
                  <w:marLeft w:val="0"/>
                  <w:marRight w:val="0"/>
                  <w:marTop w:val="0"/>
                  <w:marBottom w:val="0"/>
                  <w:divBdr>
                    <w:top w:val="none" w:sz="0" w:space="0" w:color="auto"/>
                    <w:left w:val="none" w:sz="0" w:space="0" w:color="auto"/>
                    <w:bottom w:val="none" w:sz="0" w:space="0" w:color="auto"/>
                    <w:right w:val="none" w:sz="0" w:space="0" w:color="auto"/>
                  </w:divBdr>
                  <w:divsChild>
                    <w:div w:id="484051677">
                      <w:marLeft w:val="0"/>
                      <w:marRight w:val="0"/>
                      <w:marTop w:val="0"/>
                      <w:marBottom w:val="0"/>
                      <w:divBdr>
                        <w:top w:val="none" w:sz="0" w:space="0" w:color="auto"/>
                        <w:left w:val="none" w:sz="0" w:space="0" w:color="auto"/>
                        <w:bottom w:val="none" w:sz="0" w:space="0" w:color="auto"/>
                        <w:right w:val="none" w:sz="0" w:space="0" w:color="auto"/>
                      </w:divBdr>
                      <w:divsChild>
                        <w:div w:id="199972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846710">
                  <w:marLeft w:val="0"/>
                  <w:marRight w:val="0"/>
                  <w:marTop w:val="0"/>
                  <w:marBottom w:val="0"/>
                  <w:divBdr>
                    <w:top w:val="none" w:sz="0" w:space="0" w:color="auto"/>
                    <w:left w:val="none" w:sz="0" w:space="0" w:color="auto"/>
                    <w:bottom w:val="none" w:sz="0" w:space="0" w:color="auto"/>
                    <w:right w:val="none" w:sz="0" w:space="0" w:color="auto"/>
                  </w:divBdr>
                  <w:divsChild>
                    <w:div w:id="954026070">
                      <w:marLeft w:val="0"/>
                      <w:marRight w:val="0"/>
                      <w:marTop w:val="0"/>
                      <w:marBottom w:val="0"/>
                      <w:divBdr>
                        <w:top w:val="none" w:sz="0" w:space="0" w:color="auto"/>
                        <w:left w:val="none" w:sz="0" w:space="0" w:color="auto"/>
                        <w:bottom w:val="none" w:sz="0" w:space="0" w:color="auto"/>
                        <w:right w:val="none" w:sz="0" w:space="0" w:color="auto"/>
                      </w:divBdr>
                      <w:divsChild>
                        <w:div w:id="181279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66716">
                  <w:marLeft w:val="0"/>
                  <w:marRight w:val="0"/>
                  <w:marTop w:val="0"/>
                  <w:marBottom w:val="0"/>
                  <w:divBdr>
                    <w:top w:val="none" w:sz="0" w:space="0" w:color="auto"/>
                    <w:left w:val="none" w:sz="0" w:space="0" w:color="auto"/>
                    <w:bottom w:val="none" w:sz="0" w:space="0" w:color="auto"/>
                    <w:right w:val="none" w:sz="0" w:space="0" w:color="auto"/>
                  </w:divBdr>
                  <w:divsChild>
                    <w:div w:id="324894014">
                      <w:marLeft w:val="0"/>
                      <w:marRight w:val="0"/>
                      <w:marTop w:val="0"/>
                      <w:marBottom w:val="0"/>
                      <w:divBdr>
                        <w:top w:val="none" w:sz="0" w:space="0" w:color="auto"/>
                        <w:left w:val="none" w:sz="0" w:space="0" w:color="auto"/>
                        <w:bottom w:val="none" w:sz="0" w:space="0" w:color="auto"/>
                        <w:right w:val="none" w:sz="0" w:space="0" w:color="auto"/>
                      </w:divBdr>
                      <w:divsChild>
                        <w:div w:id="147806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11698">
                  <w:marLeft w:val="0"/>
                  <w:marRight w:val="0"/>
                  <w:marTop w:val="0"/>
                  <w:marBottom w:val="0"/>
                  <w:divBdr>
                    <w:top w:val="none" w:sz="0" w:space="0" w:color="auto"/>
                    <w:left w:val="none" w:sz="0" w:space="0" w:color="auto"/>
                    <w:bottom w:val="none" w:sz="0" w:space="0" w:color="auto"/>
                    <w:right w:val="none" w:sz="0" w:space="0" w:color="auto"/>
                  </w:divBdr>
                  <w:divsChild>
                    <w:div w:id="1001272325">
                      <w:marLeft w:val="0"/>
                      <w:marRight w:val="0"/>
                      <w:marTop w:val="0"/>
                      <w:marBottom w:val="0"/>
                      <w:divBdr>
                        <w:top w:val="none" w:sz="0" w:space="0" w:color="auto"/>
                        <w:left w:val="none" w:sz="0" w:space="0" w:color="auto"/>
                        <w:bottom w:val="none" w:sz="0" w:space="0" w:color="auto"/>
                        <w:right w:val="none" w:sz="0" w:space="0" w:color="auto"/>
                      </w:divBdr>
                      <w:divsChild>
                        <w:div w:id="167491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92992">
                  <w:marLeft w:val="0"/>
                  <w:marRight w:val="0"/>
                  <w:marTop w:val="0"/>
                  <w:marBottom w:val="0"/>
                  <w:divBdr>
                    <w:top w:val="none" w:sz="0" w:space="0" w:color="auto"/>
                    <w:left w:val="none" w:sz="0" w:space="0" w:color="auto"/>
                    <w:bottom w:val="none" w:sz="0" w:space="0" w:color="auto"/>
                    <w:right w:val="none" w:sz="0" w:space="0" w:color="auto"/>
                  </w:divBdr>
                  <w:divsChild>
                    <w:div w:id="1879588094">
                      <w:marLeft w:val="0"/>
                      <w:marRight w:val="0"/>
                      <w:marTop w:val="0"/>
                      <w:marBottom w:val="0"/>
                      <w:divBdr>
                        <w:top w:val="none" w:sz="0" w:space="0" w:color="auto"/>
                        <w:left w:val="none" w:sz="0" w:space="0" w:color="auto"/>
                        <w:bottom w:val="none" w:sz="0" w:space="0" w:color="auto"/>
                        <w:right w:val="none" w:sz="0" w:space="0" w:color="auto"/>
                      </w:divBdr>
                      <w:divsChild>
                        <w:div w:id="184551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1532">
                  <w:marLeft w:val="0"/>
                  <w:marRight w:val="0"/>
                  <w:marTop w:val="0"/>
                  <w:marBottom w:val="0"/>
                  <w:divBdr>
                    <w:top w:val="none" w:sz="0" w:space="0" w:color="auto"/>
                    <w:left w:val="none" w:sz="0" w:space="0" w:color="auto"/>
                    <w:bottom w:val="none" w:sz="0" w:space="0" w:color="auto"/>
                    <w:right w:val="none" w:sz="0" w:space="0" w:color="auto"/>
                  </w:divBdr>
                  <w:divsChild>
                    <w:div w:id="1591427164">
                      <w:marLeft w:val="0"/>
                      <w:marRight w:val="0"/>
                      <w:marTop w:val="0"/>
                      <w:marBottom w:val="0"/>
                      <w:divBdr>
                        <w:top w:val="none" w:sz="0" w:space="0" w:color="auto"/>
                        <w:left w:val="none" w:sz="0" w:space="0" w:color="auto"/>
                        <w:bottom w:val="none" w:sz="0" w:space="0" w:color="auto"/>
                        <w:right w:val="none" w:sz="0" w:space="0" w:color="auto"/>
                      </w:divBdr>
                      <w:divsChild>
                        <w:div w:id="162511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92374">
                  <w:marLeft w:val="0"/>
                  <w:marRight w:val="0"/>
                  <w:marTop w:val="0"/>
                  <w:marBottom w:val="0"/>
                  <w:divBdr>
                    <w:top w:val="none" w:sz="0" w:space="0" w:color="auto"/>
                    <w:left w:val="none" w:sz="0" w:space="0" w:color="auto"/>
                    <w:bottom w:val="none" w:sz="0" w:space="0" w:color="auto"/>
                    <w:right w:val="none" w:sz="0" w:space="0" w:color="auto"/>
                  </w:divBdr>
                  <w:divsChild>
                    <w:div w:id="639725623">
                      <w:marLeft w:val="0"/>
                      <w:marRight w:val="0"/>
                      <w:marTop w:val="0"/>
                      <w:marBottom w:val="0"/>
                      <w:divBdr>
                        <w:top w:val="none" w:sz="0" w:space="0" w:color="auto"/>
                        <w:left w:val="none" w:sz="0" w:space="0" w:color="auto"/>
                        <w:bottom w:val="none" w:sz="0" w:space="0" w:color="auto"/>
                        <w:right w:val="none" w:sz="0" w:space="0" w:color="auto"/>
                      </w:divBdr>
                      <w:divsChild>
                        <w:div w:id="135307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363422">
                  <w:marLeft w:val="0"/>
                  <w:marRight w:val="0"/>
                  <w:marTop w:val="0"/>
                  <w:marBottom w:val="0"/>
                  <w:divBdr>
                    <w:top w:val="none" w:sz="0" w:space="0" w:color="auto"/>
                    <w:left w:val="none" w:sz="0" w:space="0" w:color="auto"/>
                    <w:bottom w:val="none" w:sz="0" w:space="0" w:color="auto"/>
                    <w:right w:val="none" w:sz="0" w:space="0" w:color="auto"/>
                  </w:divBdr>
                  <w:divsChild>
                    <w:div w:id="2103260458">
                      <w:marLeft w:val="0"/>
                      <w:marRight w:val="0"/>
                      <w:marTop w:val="0"/>
                      <w:marBottom w:val="0"/>
                      <w:divBdr>
                        <w:top w:val="none" w:sz="0" w:space="0" w:color="auto"/>
                        <w:left w:val="none" w:sz="0" w:space="0" w:color="auto"/>
                        <w:bottom w:val="none" w:sz="0" w:space="0" w:color="auto"/>
                        <w:right w:val="none" w:sz="0" w:space="0" w:color="auto"/>
                      </w:divBdr>
                      <w:divsChild>
                        <w:div w:id="55897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524831">
                  <w:marLeft w:val="0"/>
                  <w:marRight w:val="0"/>
                  <w:marTop w:val="0"/>
                  <w:marBottom w:val="0"/>
                  <w:divBdr>
                    <w:top w:val="none" w:sz="0" w:space="0" w:color="auto"/>
                    <w:left w:val="none" w:sz="0" w:space="0" w:color="auto"/>
                    <w:bottom w:val="none" w:sz="0" w:space="0" w:color="auto"/>
                    <w:right w:val="none" w:sz="0" w:space="0" w:color="auto"/>
                  </w:divBdr>
                  <w:divsChild>
                    <w:div w:id="490297269">
                      <w:marLeft w:val="0"/>
                      <w:marRight w:val="0"/>
                      <w:marTop w:val="0"/>
                      <w:marBottom w:val="0"/>
                      <w:divBdr>
                        <w:top w:val="none" w:sz="0" w:space="0" w:color="auto"/>
                        <w:left w:val="none" w:sz="0" w:space="0" w:color="auto"/>
                        <w:bottom w:val="none" w:sz="0" w:space="0" w:color="auto"/>
                        <w:right w:val="none" w:sz="0" w:space="0" w:color="auto"/>
                      </w:divBdr>
                      <w:divsChild>
                        <w:div w:id="128931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Marletta%20A%5BAuthor%5D&amp;amp;cauthor=true&amp;amp;cauthor_uid=9486551" TargetMode="External"/><Relationship Id="rId13" Type="http://schemas.openxmlformats.org/officeDocument/2006/relationships/hyperlink" Target="https://www.ncbi.nlm.nih.gov/pubmed/?term=Katsanos%20A%5BAuthor%5D&amp;amp;cauthor=true&amp;amp;cauthor_uid=26518084" TargetMode="External"/><Relationship Id="rId18" Type="http://schemas.openxmlformats.org/officeDocument/2006/relationships/hyperlink" Target="https://www.ncbi.nlm.nih.gov/pubmed/?term=Zhou%20J%5BAuthor%5D&amp;amp;cauthor=true&amp;amp;cauthor_uid=27275435" TargetMode="External"/><Relationship Id="rId3" Type="http://schemas.openxmlformats.org/officeDocument/2006/relationships/settings" Target="settings.xml"/><Relationship Id="rId21" Type="http://schemas.openxmlformats.org/officeDocument/2006/relationships/hyperlink" Target="https://www.ncbi.nlm.nih.gov/pubmed/?term=Wei%20RL%5BAuthor%5D&amp;amp;cauthor=true&amp;amp;cauthor_uid=19546601" TargetMode="External"/><Relationship Id="rId7" Type="http://schemas.openxmlformats.org/officeDocument/2006/relationships/hyperlink" Target="https://www.ncbi.nlm.nih.gov/pubmed/?term=Rolando%20M%5BAuthor%5D&amp;amp;cauthor=true&amp;amp;cauthor_uid=9486551" TargetMode="External"/><Relationship Id="rId12" Type="http://schemas.openxmlformats.org/officeDocument/2006/relationships/hyperlink" Target="https://www.ncbi.nlm.nih.gov/pubmed/29144028" TargetMode="External"/><Relationship Id="rId17" Type="http://schemas.openxmlformats.org/officeDocument/2006/relationships/hyperlink" Target="https://www.ncbi.nlm.nih.gov/pubmed/?term=Yao%20X%5BAuthor%5D&amp;amp;cauthor=true&amp;amp;cauthor_uid=27275435" TargetMode="External"/><Relationship Id="rId2" Type="http://schemas.openxmlformats.org/officeDocument/2006/relationships/styles" Target="styles.xml"/><Relationship Id="rId16" Type="http://schemas.openxmlformats.org/officeDocument/2006/relationships/hyperlink" Target="https://www.ncbi.nlm.nih.gov/pubmed/?term=Gan%20LY%5BAuthor%5D&amp;amp;cauthor=true&amp;amp;cauthor_uid=27275435" TargetMode="External"/><Relationship Id="rId20" Type="http://schemas.openxmlformats.org/officeDocument/2006/relationships/hyperlink" Target="https://www.ncbi.nlm.nih.gov/pubmed/?term=Li%20Y%5BAuthor%5D&amp;amp;cauthor=true&amp;amp;cauthor_uid=19546601" TargetMode="External"/><Relationship Id="rId1" Type="http://schemas.openxmlformats.org/officeDocument/2006/relationships/numbering" Target="numbering.xml"/><Relationship Id="rId6" Type="http://schemas.openxmlformats.org/officeDocument/2006/relationships/hyperlink" Target="https://icd.who.int/browse10/2016/en" TargetMode="External"/><Relationship Id="rId11" Type="http://schemas.openxmlformats.org/officeDocument/2006/relationships/hyperlink" Target="https://www.ncbi.nlm.nih.gov/pubmed/?term=Zhang%20X%5BAuthor%5D&amp;amp;cauthor=true&amp;amp;cauthor_uid=29144028"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www.ncbi.nlm.nih.gov/pubmed/26518084" TargetMode="External"/><Relationship Id="rId23" Type="http://schemas.openxmlformats.org/officeDocument/2006/relationships/fontTable" Target="fontTable.xml"/><Relationship Id="rId10" Type="http://schemas.openxmlformats.org/officeDocument/2006/relationships/hyperlink" Target="https://www.ncbi.nlm.nih.gov/pubmed/?term=Huang%20W%5BAuthor%5D&amp;amp;cauthor=true&amp;amp;cauthor_uid=29144028" TargetMode="External"/><Relationship Id="rId19" Type="http://schemas.openxmlformats.org/officeDocument/2006/relationships/hyperlink" Target="https://www.ncbi.nlm.nih.gov/pubmed/?term=Long-term+assessment+of+prostaglandin+analogs+and+timolol+fixed+combinations+prostaglandin+analogs+monotherapy" TargetMode="External"/><Relationship Id="rId4" Type="http://schemas.openxmlformats.org/officeDocument/2006/relationships/webSettings" Target="webSettings.xml"/><Relationship Id="rId9" Type="http://schemas.openxmlformats.org/officeDocument/2006/relationships/hyperlink" Target="https://www.ncbi.nlm.nih.gov/pubmed/9486551" TargetMode="External"/><Relationship Id="rId14" Type="http://schemas.openxmlformats.org/officeDocument/2006/relationships/hyperlink" Target="https://www.ncbi.nlm.nih.gov/pubmed/?term=Quaranta%20L%5BAuthor%5D&amp;amp;cauthor=true&amp;amp;cauthor_uid=26518084" TargetMode="External"/><Relationship Id="rId22" Type="http://schemas.openxmlformats.org/officeDocument/2006/relationships/hyperlink" Target="https://www.ncbi.nlm.nih.gov/pubmed/195466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74</Pages>
  <Words>19056</Words>
  <Characters>108620</Characters>
  <Application>Microsoft Office Word</Application>
  <DocSecurity>0</DocSecurity>
  <Lines>905</Lines>
  <Paragraphs>254</Paragraphs>
  <ScaleCrop>false</ScaleCrop>
  <Company/>
  <LinksUpToDate>false</LinksUpToDate>
  <CharactersWithSpaces>127422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2024-08-20T10:10:00Z</dcterms:created>
  <dcterms:modified xsi:type="dcterms:W3CDTF">2024-08-20T10:11:00Z</dcterms:modified>
</cp:coreProperties>
</file>